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16C" w:rsidRPr="007D5047" w:rsidRDefault="007D5047" w:rsidP="007D5047">
      <w:pPr>
        <w:pStyle w:val="Odstavekseznama"/>
        <w:numPr>
          <w:ilvl w:val="0"/>
          <w:numId w:val="32"/>
        </w:numPr>
        <w:jc w:val="both"/>
        <w:rPr>
          <w:szCs w:val="24"/>
        </w:rPr>
      </w:pPr>
      <w:r>
        <w:rPr>
          <w:szCs w:val="24"/>
          <w:lang w:val="en-GB"/>
        </w:rPr>
        <w:t>Official Gazette of the Republic of Slovenia, No 42/17 of 4 August 2017 (in force as of 5 August 2017)</w:t>
      </w:r>
    </w:p>
    <w:p w:rsidR="00262ABF" w:rsidRDefault="00423995" w:rsidP="00262ABF">
      <w:pPr>
        <w:jc w:val="both"/>
        <w:rPr>
          <w:szCs w:val="24"/>
        </w:rPr>
      </w:pPr>
      <w:r>
        <w:rPr>
          <w:szCs w:val="24"/>
        </w:rPr>
        <w:t>__________________________________________________________________________________</w:t>
      </w:r>
    </w:p>
    <w:p w:rsidR="00955F13" w:rsidRDefault="00955F13" w:rsidP="00955F13">
      <w:pPr>
        <w:jc w:val="both"/>
      </w:pPr>
      <w:r>
        <w:rPr>
          <w:lang w:val="en-GB"/>
        </w:rPr>
        <w:t>Pursuant to the third paragraph of Article 13 of the Banking Act (Official Gazette of the Republic of Slovenia, Nos. 25/15, 44/16 [ZRPPB] and 77/16 [ZCKR]; hereinafter: the ZBan-2), and the first paragraph of Article 31 of the Bank of Slovenia Act (Official Gazette of the Republic of Slovenia, Nos. 72/06 [official consolidated version] and 59/11), the Governing Board of the Bank of Slovenia hereby issues the following</w:t>
      </w:r>
    </w:p>
    <w:p w:rsidR="00B6600E" w:rsidRDefault="00B6600E" w:rsidP="00B6600E">
      <w:pPr>
        <w:jc w:val="both"/>
      </w:pPr>
    </w:p>
    <w:p w:rsidR="00287BB2" w:rsidRPr="00AA314E" w:rsidRDefault="00287BB2"/>
    <w:p w:rsidR="00AA21A2" w:rsidRPr="004D6E38" w:rsidRDefault="00B6600E" w:rsidP="00B6600E">
      <w:pPr>
        <w:jc w:val="center"/>
        <w:rPr>
          <w:b/>
        </w:rPr>
      </w:pPr>
      <w:r>
        <w:rPr>
          <w:b/>
          <w:bCs/>
          <w:lang w:val="en-GB"/>
        </w:rPr>
        <w:t xml:space="preserve">REGULATION </w:t>
      </w:r>
    </w:p>
    <w:p w:rsidR="00B6600E" w:rsidRPr="004D6E38" w:rsidRDefault="00B6600E" w:rsidP="00B6600E">
      <w:pPr>
        <w:jc w:val="center"/>
        <w:rPr>
          <w:b/>
        </w:rPr>
      </w:pPr>
      <w:r>
        <w:rPr>
          <w:b/>
          <w:bCs/>
          <w:lang w:val="en-GB"/>
        </w:rPr>
        <w:t>on the application of the Guidelines on LCR disclosure to complement the disclosure of liquidity risk management under Article 435 of Regulation (EU) No 575/2013</w:t>
      </w:r>
    </w:p>
    <w:p w:rsidR="00D76FC7" w:rsidRDefault="00D76FC7" w:rsidP="00B6600E">
      <w:pPr>
        <w:jc w:val="center"/>
        <w:rPr>
          <w:b/>
        </w:rPr>
      </w:pPr>
    </w:p>
    <w:p w:rsidR="00C4547D" w:rsidRPr="00AA314E" w:rsidRDefault="00C4547D" w:rsidP="00B6600E">
      <w:pPr>
        <w:jc w:val="center"/>
        <w:rPr>
          <w:b/>
        </w:rPr>
      </w:pPr>
    </w:p>
    <w:p w:rsidR="00D76FC7" w:rsidRPr="00D907BD" w:rsidRDefault="00D76FC7" w:rsidP="00D907BD">
      <w:pPr>
        <w:jc w:val="center"/>
        <w:rPr>
          <w:b/>
        </w:rPr>
      </w:pPr>
      <w:r w:rsidRPr="00D907BD">
        <w:rPr>
          <w:b/>
          <w:bCs/>
          <w:lang w:val="en-GB"/>
        </w:rPr>
        <w:t>Article 1</w:t>
      </w:r>
    </w:p>
    <w:p w:rsidR="00AA21A2" w:rsidRPr="00B6600E" w:rsidRDefault="00AA21A2" w:rsidP="00D76FC7">
      <w:pPr>
        <w:pStyle w:val="Odstavekseznama"/>
        <w:ind w:left="0"/>
        <w:jc w:val="center"/>
        <w:rPr>
          <w:b/>
        </w:rPr>
      </w:pPr>
      <w:r>
        <w:rPr>
          <w:b/>
          <w:bCs/>
          <w:lang w:val="en-GB"/>
        </w:rPr>
        <w:t>(purpose and field of application)</w:t>
      </w:r>
    </w:p>
    <w:p w:rsidR="008B7774" w:rsidRDefault="008B7774"/>
    <w:p w:rsidR="00200364" w:rsidRDefault="008B7774" w:rsidP="007C460F">
      <w:pPr>
        <w:pStyle w:val="Odstavekseznama"/>
        <w:numPr>
          <w:ilvl w:val="0"/>
          <w:numId w:val="23"/>
        </w:numPr>
        <w:tabs>
          <w:tab w:val="left" w:pos="426"/>
        </w:tabs>
        <w:ind w:left="0" w:firstLine="0"/>
        <w:jc w:val="both"/>
      </w:pPr>
      <w:r>
        <w:rPr>
          <w:lang w:val="en-GB"/>
        </w:rPr>
        <w:t>Pursuant to Article 16(1) of Regulation (EU) No 1093/2010 of the European Parliament and of the Council of 24 November 2010 establishing a European Supervisory Authority (European Banking Authority), amending Decision No 716/2009/EC and repealing Commission Decision 2009/78/EC (OJ L 331 of 15 December 2010, p 12; hereinafter: Regulation (EU) No 1093/2010), on 21 June 2017 the European Banking Authority issued the Guidelines on LCR disclosure to complement the disclosure of liquidity risk management under Article 435 of Regulation (EU) No 575/2013 (hereinafter: the guidelines), which are published on its website.</w:t>
      </w:r>
    </w:p>
    <w:p w:rsidR="00200364" w:rsidRDefault="00200364" w:rsidP="007C460F">
      <w:pPr>
        <w:pStyle w:val="Odstavekseznama"/>
        <w:tabs>
          <w:tab w:val="left" w:pos="426"/>
        </w:tabs>
        <w:ind w:left="426"/>
        <w:contextualSpacing w:val="0"/>
        <w:jc w:val="both"/>
      </w:pPr>
    </w:p>
    <w:p w:rsidR="00200364" w:rsidRDefault="008B7774" w:rsidP="00A556A6">
      <w:pPr>
        <w:pStyle w:val="Odstavekseznama"/>
        <w:numPr>
          <w:ilvl w:val="0"/>
          <w:numId w:val="23"/>
        </w:numPr>
        <w:tabs>
          <w:tab w:val="left" w:pos="426"/>
        </w:tabs>
        <w:ind w:left="0" w:firstLine="0"/>
        <w:jc w:val="both"/>
      </w:pPr>
      <w:r w:rsidRPr="003F2FA2">
        <w:rPr>
          <w:lang w:val="en-GB"/>
        </w:rPr>
        <w:t>The guidelines referred to in the first paragraph of this article regulate the disclosure of liquidity risk management under Article 435 of Regulation (EU) No 575/2013 of the European Parliament and of the Council of 26 June 2013 on prudential requirements for credit institutions and investment firms and amending Regulation (EU) No 648/2012 (OJ L 176 of 27 June 2013, p 1; hereinafter: Regulation (EU) No 575/2013) in relation to liquidity risk by providing a harmonised structure for the disclosure of information required</w:t>
      </w:r>
      <w:r w:rsidRPr="00E3015C">
        <w:rPr>
          <w:lang w:val="en-GB"/>
        </w:rPr>
        <w:t xml:space="preserve"> under Article 435(1) of the aforementioned regulation.</w:t>
      </w:r>
    </w:p>
    <w:p w:rsidR="00200364" w:rsidRDefault="00200364" w:rsidP="007C460F">
      <w:pPr>
        <w:pStyle w:val="Odstavekseznama"/>
      </w:pPr>
    </w:p>
    <w:p w:rsidR="00492724" w:rsidRDefault="00EC265F" w:rsidP="007C460F">
      <w:pPr>
        <w:pStyle w:val="Odstavekseznama"/>
        <w:numPr>
          <w:ilvl w:val="0"/>
          <w:numId w:val="23"/>
        </w:numPr>
        <w:tabs>
          <w:tab w:val="left" w:pos="426"/>
        </w:tabs>
        <w:contextualSpacing w:val="0"/>
        <w:jc w:val="both"/>
      </w:pPr>
      <w:r>
        <w:rPr>
          <w:lang w:val="en-GB"/>
        </w:rPr>
        <w:t>The guidelines apply to:</w:t>
      </w:r>
    </w:p>
    <w:p w:rsidR="00492724" w:rsidRDefault="004A2B38" w:rsidP="007C460F">
      <w:pPr>
        <w:pStyle w:val="Odstavekseznama"/>
        <w:numPr>
          <w:ilvl w:val="0"/>
          <w:numId w:val="27"/>
        </w:numPr>
        <w:ind w:hanging="357"/>
        <w:jc w:val="both"/>
      </w:pPr>
      <w:r>
        <w:rPr>
          <w:lang w:val="en-GB"/>
        </w:rPr>
        <w:t>credit institutions as defined in point (1) of Article 4(1) of Regulation (EU) No 575/2013; and</w:t>
      </w:r>
    </w:p>
    <w:p w:rsidR="00A24777" w:rsidRPr="0001624E" w:rsidRDefault="00492724" w:rsidP="007C460F">
      <w:pPr>
        <w:pStyle w:val="Odstavekseznama"/>
        <w:numPr>
          <w:ilvl w:val="0"/>
          <w:numId w:val="27"/>
        </w:numPr>
        <w:tabs>
          <w:tab w:val="left" w:pos="426"/>
        </w:tabs>
        <w:ind w:hanging="357"/>
        <w:jc w:val="both"/>
      </w:pPr>
      <w:r>
        <w:rPr>
          <w:lang w:val="en-GB"/>
        </w:rPr>
        <w:t xml:space="preserve">competent authorities as defined in point (i) of Article 4(2) of Regulation (EU) No 1093/2010. </w:t>
      </w:r>
    </w:p>
    <w:p w:rsidR="00876A1D" w:rsidRDefault="00876A1D" w:rsidP="00876A1D">
      <w:pPr>
        <w:tabs>
          <w:tab w:val="left" w:pos="426"/>
        </w:tabs>
        <w:jc w:val="both"/>
        <w:rPr>
          <w:b/>
        </w:rPr>
      </w:pPr>
    </w:p>
    <w:p w:rsidR="00876A1D" w:rsidRPr="00876A1D" w:rsidRDefault="00876A1D" w:rsidP="00876A1D">
      <w:pPr>
        <w:tabs>
          <w:tab w:val="left" w:pos="426"/>
        </w:tabs>
        <w:jc w:val="both"/>
        <w:rPr>
          <w:b/>
        </w:rPr>
      </w:pPr>
    </w:p>
    <w:p w:rsidR="00AA21A2" w:rsidRPr="00D907BD" w:rsidRDefault="00AA21A2" w:rsidP="00D907BD">
      <w:pPr>
        <w:jc w:val="center"/>
        <w:rPr>
          <w:b/>
        </w:rPr>
      </w:pPr>
      <w:r w:rsidRPr="00D907BD">
        <w:rPr>
          <w:b/>
          <w:bCs/>
          <w:lang w:val="en-GB"/>
        </w:rPr>
        <w:t>Article 2</w:t>
      </w:r>
    </w:p>
    <w:p w:rsidR="00AA21A2" w:rsidRPr="00B6600E" w:rsidRDefault="00AA21A2" w:rsidP="00D76FC7">
      <w:pPr>
        <w:pStyle w:val="Odstavekseznama"/>
        <w:ind w:left="0"/>
        <w:jc w:val="center"/>
        <w:rPr>
          <w:b/>
        </w:rPr>
      </w:pPr>
      <w:r>
        <w:rPr>
          <w:b/>
          <w:bCs/>
          <w:lang w:val="en-GB"/>
        </w:rPr>
        <w:t>(content of regulation and scope of application of guidelines)</w:t>
      </w:r>
    </w:p>
    <w:p w:rsidR="00CD3AFB" w:rsidRDefault="00CD3AFB" w:rsidP="00CD3AFB">
      <w:pPr>
        <w:pStyle w:val="Odstavekseznama"/>
        <w:tabs>
          <w:tab w:val="left" w:pos="426"/>
        </w:tabs>
        <w:ind w:left="0"/>
        <w:jc w:val="both"/>
      </w:pPr>
    </w:p>
    <w:p w:rsidR="00EC265F" w:rsidRDefault="00EC265F" w:rsidP="004E307D">
      <w:pPr>
        <w:pStyle w:val="Odstavekseznama"/>
        <w:numPr>
          <w:ilvl w:val="0"/>
          <w:numId w:val="28"/>
        </w:numPr>
        <w:tabs>
          <w:tab w:val="left" w:pos="426"/>
        </w:tabs>
        <w:jc w:val="both"/>
      </w:pPr>
      <w:r>
        <w:rPr>
          <w:lang w:val="en-GB"/>
        </w:rPr>
        <w:t>By virtue of this regulation the Bank of Slovenia sets out the application of the guidelines to:</w:t>
      </w:r>
    </w:p>
    <w:p w:rsidR="00EC265F" w:rsidRDefault="00EC265F" w:rsidP="00262ABF">
      <w:pPr>
        <w:pStyle w:val="Odstavekseznama"/>
        <w:numPr>
          <w:ilvl w:val="0"/>
          <w:numId w:val="31"/>
        </w:numPr>
        <w:jc w:val="both"/>
      </w:pPr>
      <w:r>
        <w:rPr>
          <w:lang w:val="en-GB"/>
        </w:rPr>
        <w:t>banks and savings banks that in accordance with the ZBan-2 have obtained an authorisation to provide banking services in the Republic of Slovenia (hereinafter: banks) and are required to meet the disclosure requirements set out in Part Eight of Regulation (EU) No 575/2013; and</w:t>
      </w:r>
    </w:p>
    <w:p w:rsidR="00EC265F" w:rsidRPr="00DD5CAF" w:rsidRDefault="00EC265F" w:rsidP="00262ABF">
      <w:pPr>
        <w:pStyle w:val="Odstavekseznama"/>
        <w:numPr>
          <w:ilvl w:val="0"/>
          <w:numId w:val="31"/>
        </w:numPr>
        <w:jc w:val="both"/>
      </w:pPr>
      <w:r>
        <w:rPr>
          <w:lang w:val="en-GB"/>
        </w:rPr>
        <w:t xml:space="preserve">the Bank of Slovenia, when in accordance with the ZBan-2 in its role as the competent authority it is exercising supervisory powers and tasks over banks referred to in point 1 of this paragraph. </w:t>
      </w:r>
    </w:p>
    <w:p w:rsidR="000B2C8A" w:rsidRPr="00DD5CAF" w:rsidRDefault="000B2C8A" w:rsidP="000B2C8A">
      <w:pPr>
        <w:tabs>
          <w:tab w:val="left" w:pos="426"/>
        </w:tabs>
        <w:jc w:val="both"/>
      </w:pPr>
    </w:p>
    <w:p w:rsidR="00EF2A82" w:rsidRDefault="00EF2A82" w:rsidP="004E307D">
      <w:pPr>
        <w:pStyle w:val="Odstavekseznama"/>
        <w:numPr>
          <w:ilvl w:val="0"/>
          <w:numId w:val="28"/>
        </w:numPr>
        <w:tabs>
          <w:tab w:val="left" w:pos="426"/>
        </w:tabs>
        <w:ind w:left="0" w:firstLine="0"/>
        <w:jc w:val="both"/>
      </w:pPr>
      <w:r>
        <w:rPr>
          <w:lang w:val="en-GB"/>
        </w:rPr>
        <w:t>Banks that are required to take account of the Guidelines on disclosure requirements under Part Eight of Regulation (EU) No 575/2013 (EBA/GL/2016/11) shall take full account of the provisions of the guidelines in the parts addressed to banks.</w:t>
      </w:r>
    </w:p>
    <w:p w:rsidR="00EF2A82" w:rsidRDefault="00EF2A82" w:rsidP="00963264">
      <w:pPr>
        <w:tabs>
          <w:tab w:val="left" w:pos="426"/>
        </w:tabs>
        <w:jc w:val="both"/>
      </w:pPr>
    </w:p>
    <w:p w:rsidR="00963264" w:rsidRDefault="00963264" w:rsidP="004E307D">
      <w:pPr>
        <w:pStyle w:val="Odstavekseznama"/>
        <w:numPr>
          <w:ilvl w:val="0"/>
          <w:numId w:val="28"/>
        </w:numPr>
        <w:tabs>
          <w:tab w:val="left" w:pos="426"/>
        </w:tabs>
        <w:ind w:left="0" w:firstLine="0"/>
        <w:jc w:val="both"/>
      </w:pPr>
      <w:r>
        <w:rPr>
          <w:lang w:val="en-GB"/>
        </w:rPr>
        <w:t>Banks that are not defined as global systemically important institutions in accordance with Commission Delegated Regulation (EU) No 1222/2014 and all its subsequent amendments and banks that are not defined as other systemically important institutions pursuant to Article 131(3) of Directive 2013/36/EU as stated in EBA/GL/2014/10 shall take account of the provisions of the guidelines in the parts addressed to such banks.</w:t>
      </w:r>
    </w:p>
    <w:p w:rsidR="00EC265F" w:rsidRDefault="00EC265F" w:rsidP="003A3133">
      <w:pPr>
        <w:pStyle w:val="Odstavekseznama"/>
        <w:numPr>
          <w:ilvl w:val="0"/>
          <w:numId w:val="28"/>
        </w:numPr>
        <w:tabs>
          <w:tab w:val="left" w:pos="426"/>
        </w:tabs>
        <w:ind w:left="0" w:firstLine="0"/>
        <w:jc w:val="both"/>
      </w:pPr>
      <w:r>
        <w:rPr>
          <w:lang w:val="en-GB"/>
        </w:rPr>
        <w:t>In exercising its supervisory powers and tasks in accordance with the ZBan-2 and Regulation (EU) No 575/2013, the Bank of Slovenia shall take full account of the provisions of the guidelines in the parts relating to the exercise of the powers and tasks of the competent authority.</w:t>
      </w:r>
    </w:p>
    <w:p w:rsidR="009D6E05" w:rsidRPr="009D6E05" w:rsidRDefault="009D6E05" w:rsidP="009D6E05">
      <w:pPr>
        <w:autoSpaceDE w:val="0"/>
        <w:autoSpaceDN w:val="0"/>
        <w:adjustRightInd w:val="0"/>
        <w:rPr>
          <w:color w:val="000000"/>
          <w:sz w:val="24"/>
          <w:szCs w:val="24"/>
        </w:rPr>
      </w:pPr>
    </w:p>
    <w:p w:rsidR="00366259" w:rsidRDefault="00366259" w:rsidP="00CD3AFB"/>
    <w:p w:rsidR="00B6600E" w:rsidRPr="00D907BD" w:rsidRDefault="00B6600E" w:rsidP="00D907BD">
      <w:pPr>
        <w:jc w:val="center"/>
        <w:rPr>
          <w:b/>
        </w:rPr>
      </w:pPr>
      <w:r w:rsidRPr="00D907BD">
        <w:rPr>
          <w:b/>
          <w:bCs/>
          <w:lang w:val="en-GB"/>
        </w:rPr>
        <w:t>Article 3</w:t>
      </w:r>
    </w:p>
    <w:p w:rsidR="00B6317A" w:rsidRPr="00B6600E" w:rsidRDefault="00B6317A" w:rsidP="00B6317A">
      <w:pPr>
        <w:pStyle w:val="Odstavekseznama"/>
        <w:ind w:left="0"/>
        <w:jc w:val="center"/>
        <w:rPr>
          <w:b/>
        </w:rPr>
      </w:pPr>
      <w:r>
        <w:rPr>
          <w:b/>
          <w:bCs/>
          <w:lang w:val="en-GB"/>
        </w:rPr>
        <w:t>(entry into force)</w:t>
      </w:r>
    </w:p>
    <w:p w:rsidR="00B6600E" w:rsidRDefault="00B6600E" w:rsidP="00B6600E"/>
    <w:p w:rsidR="00DE0060" w:rsidRDefault="00DE0060" w:rsidP="00DE0060">
      <w:pPr>
        <w:tabs>
          <w:tab w:val="left" w:pos="426"/>
        </w:tabs>
        <w:jc w:val="both"/>
      </w:pPr>
      <w:r>
        <w:rPr>
          <w:lang w:val="en-GB"/>
        </w:rPr>
        <w:t>This regulation shall enter into force on the day after its publication in the Official Gazette of the Republic of Slovenia, and shall begin to be applied on 31 December 2017.</w:t>
      </w:r>
    </w:p>
    <w:p w:rsidR="00B6600E" w:rsidRDefault="00B6600E" w:rsidP="00B6600E"/>
    <w:p w:rsidR="00D32066" w:rsidRDefault="00D32066" w:rsidP="00B6600E"/>
    <w:p w:rsidR="00B6600E" w:rsidRDefault="00B6600E" w:rsidP="00B6600E"/>
    <w:p w:rsidR="00B6600E" w:rsidRDefault="00B6600E" w:rsidP="00B6600E">
      <w:r>
        <w:rPr>
          <w:lang w:val="en-GB"/>
        </w:rPr>
        <w:t>Ljubljana, 1 August 2017</w:t>
      </w:r>
    </w:p>
    <w:p w:rsidR="00B6600E" w:rsidRDefault="00B6600E" w:rsidP="00B6600E">
      <w:r>
        <w:rPr>
          <w:lang w:val="en-GB"/>
        </w:rPr>
        <w:t xml:space="preserve"> </w:t>
      </w:r>
    </w:p>
    <w:p w:rsidR="00287BB2" w:rsidRDefault="00287BB2" w:rsidP="00B6600E"/>
    <w:p w:rsidR="00B6600E" w:rsidRDefault="00B6600E" w:rsidP="00B6600E">
      <w:pPr>
        <w:ind w:left="6379"/>
      </w:pPr>
      <w:r>
        <w:rPr>
          <w:lang w:val="en-GB"/>
        </w:rPr>
        <w:t xml:space="preserve">      Boštjan Jazbec</w:t>
      </w:r>
    </w:p>
    <w:p w:rsidR="00B6600E" w:rsidRDefault="00575F6C" w:rsidP="00B6600E">
      <w:pPr>
        <w:ind w:left="6379"/>
      </w:pPr>
      <w:r>
        <w:rPr>
          <w:lang w:val="en-GB"/>
        </w:rPr>
        <w:t xml:space="preserve">         President, </w:t>
      </w:r>
    </w:p>
    <w:p w:rsidR="00B6600E" w:rsidRDefault="00BF08C3" w:rsidP="000928EF">
      <w:pPr>
        <w:ind w:left="6379"/>
      </w:pPr>
      <w:r>
        <w:rPr>
          <w:lang w:val="en-GB"/>
        </w:rPr>
        <w:t>Governing Board of the Bank of Slovenia</w:t>
      </w:r>
    </w:p>
    <w:sectPr w:rsidR="00B6600E" w:rsidSect="001A3A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D4" w:rsidRDefault="000D35D4" w:rsidP="00D76FC7">
      <w:r>
        <w:separator/>
      </w:r>
    </w:p>
  </w:endnote>
  <w:endnote w:type="continuationSeparator" w:id="0">
    <w:p w:rsidR="000D35D4" w:rsidRDefault="000D35D4" w:rsidP="00D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D4" w:rsidRDefault="000D35D4" w:rsidP="00D76FC7">
      <w:r>
        <w:separator/>
      </w:r>
    </w:p>
  </w:footnote>
  <w:footnote w:type="continuationSeparator" w:id="0">
    <w:p w:rsidR="000D35D4" w:rsidRDefault="000D35D4" w:rsidP="00D7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23"/>
    <w:multiLevelType w:val="hybridMultilevel"/>
    <w:tmpl w:val="E5942566"/>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6734D9"/>
    <w:multiLevelType w:val="hybridMultilevel"/>
    <w:tmpl w:val="D604E6B2"/>
    <w:lvl w:ilvl="0" w:tplc="D23AB73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6C1AAE"/>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929A1"/>
    <w:multiLevelType w:val="hybridMultilevel"/>
    <w:tmpl w:val="89261A52"/>
    <w:lvl w:ilvl="0" w:tplc="D7D4906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6969DE"/>
    <w:multiLevelType w:val="hybridMultilevel"/>
    <w:tmpl w:val="4B509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6D12BA"/>
    <w:multiLevelType w:val="hybridMultilevel"/>
    <w:tmpl w:val="3C282308"/>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5D015F"/>
    <w:multiLevelType w:val="hybridMultilevel"/>
    <w:tmpl w:val="989062A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DD3C31"/>
    <w:multiLevelType w:val="hybridMultilevel"/>
    <w:tmpl w:val="3E827880"/>
    <w:lvl w:ilvl="0" w:tplc="C6B23C0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2D1D4A"/>
    <w:multiLevelType w:val="hybridMultilevel"/>
    <w:tmpl w:val="37565A50"/>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C522238"/>
    <w:multiLevelType w:val="hybridMultilevel"/>
    <w:tmpl w:val="DC74DEF0"/>
    <w:lvl w:ilvl="0" w:tplc="DCA8D36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B13684"/>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0E421B"/>
    <w:multiLevelType w:val="hybridMultilevel"/>
    <w:tmpl w:val="28CA3DA0"/>
    <w:lvl w:ilvl="0" w:tplc="34C25166">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2" w15:restartNumberingAfterBreak="0">
    <w:nsid w:val="22B81D73"/>
    <w:multiLevelType w:val="hybridMultilevel"/>
    <w:tmpl w:val="534E4EA0"/>
    <w:lvl w:ilvl="0" w:tplc="65A006C0">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33784D"/>
    <w:multiLevelType w:val="hybridMultilevel"/>
    <w:tmpl w:val="2416D1C6"/>
    <w:lvl w:ilvl="0" w:tplc="1E9C9FD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3A7137"/>
    <w:multiLevelType w:val="hybridMultilevel"/>
    <w:tmpl w:val="63064154"/>
    <w:lvl w:ilvl="0" w:tplc="0424000F">
      <w:start w:val="1"/>
      <w:numFmt w:val="decimal"/>
      <w:lvlText w:val="%1."/>
      <w:lvlJc w:val="left"/>
      <w:pPr>
        <w:ind w:left="51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F26431"/>
    <w:multiLevelType w:val="hybridMultilevel"/>
    <w:tmpl w:val="07709C92"/>
    <w:lvl w:ilvl="0" w:tplc="8B4673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7FF66D5"/>
    <w:multiLevelType w:val="hybridMultilevel"/>
    <w:tmpl w:val="3E0E1074"/>
    <w:lvl w:ilvl="0" w:tplc="15EA285A">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A104013"/>
    <w:multiLevelType w:val="hybridMultilevel"/>
    <w:tmpl w:val="B1220872"/>
    <w:lvl w:ilvl="0" w:tplc="04240001">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3B8A68CF"/>
    <w:multiLevelType w:val="hybridMultilevel"/>
    <w:tmpl w:val="57ACEE72"/>
    <w:lvl w:ilvl="0" w:tplc="A522A3B2">
      <w:start w:val="5"/>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6281E96"/>
    <w:multiLevelType w:val="hybridMultilevel"/>
    <w:tmpl w:val="EF2C18C2"/>
    <w:lvl w:ilvl="0" w:tplc="DCA8D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DBC67B6"/>
    <w:multiLevelType w:val="hybridMultilevel"/>
    <w:tmpl w:val="28CA3DA0"/>
    <w:lvl w:ilvl="0" w:tplc="34C25166">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1" w15:restartNumberingAfterBreak="0">
    <w:nsid w:val="4F7336FB"/>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0D66CF0"/>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8B02F4D"/>
    <w:multiLevelType w:val="hybridMultilevel"/>
    <w:tmpl w:val="418ABAB8"/>
    <w:lvl w:ilvl="0" w:tplc="7B04A8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5D00116E"/>
    <w:multiLevelType w:val="hybridMultilevel"/>
    <w:tmpl w:val="11FA1A2E"/>
    <w:lvl w:ilvl="0" w:tplc="D382D12C">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926315"/>
    <w:multiLevelType w:val="hybridMultilevel"/>
    <w:tmpl w:val="D2C45D52"/>
    <w:lvl w:ilvl="0" w:tplc="769E1EF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8C3398"/>
    <w:multiLevelType w:val="hybridMultilevel"/>
    <w:tmpl w:val="92F2C8EA"/>
    <w:lvl w:ilvl="0" w:tplc="F1DAC10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2404DB6"/>
    <w:multiLevelType w:val="hybridMultilevel"/>
    <w:tmpl w:val="F53E0AD0"/>
    <w:lvl w:ilvl="0" w:tplc="D23AB7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2BB3928"/>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4FF1B06"/>
    <w:multiLevelType w:val="hybridMultilevel"/>
    <w:tmpl w:val="6AB29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5BE44ED"/>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BAA0371"/>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26"/>
  </w:num>
  <w:num w:numId="3">
    <w:abstractNumId w:val="24"/>
  </w:num>
  <w:num w:numId="4">
    <w:abstractNumId w:val="25"/>
  </w:num>
  <w:num w:numId="5">
    <w:abstractNumId w:val="12"/>
  </w:num>
  <w:num w:numId="6">
    <w:abstractNumId w:val="31"/>
  </w:num>
  <w:num w:numId="7">
    <w:abstractNumId w:val="5"/>
  </w:num>
  <w:num w:numId="8">
    <w:abstractNumId w:val="10"/>
  </w:num>
  <w:num w:numId="9">
    <w:abstractNumId w:val="8"/>
  </w:num>
  <w:num w:numId="10">
    <w:abstractNumId w:val="2"/>
  </w:num>
  <w:num w:numId="11">
    <w:abstractNumId w:val="22"/>
  </w:num>
  <w:num w:numId="12">
    <w:abstractNumId w:val="28"/>
  </w:num>
  <w:num w:numId="13">
    <w:abstractNumId w:val="19"/>
  </w:num>
  <w:num w:numId="14">
    <w:abstractNumId w:val="0"/>
  </w:num>
  <w:num w:numId="15">
    <w:abstractNumId w:val="15"/>
  </w:num>
  <w:num w:numId="16">
    <w:abstractNumId w:val="13"/>
  </w:num>
  <w:num w:numId="17">
    <w:abstractNumId w:val="14"/>
  </w:num>
  <w:num w:numId="18">
    <w:abstractNumId w:val="21"/>
  </w:num>
  <w:num w:numId="19">
    <w:abstractNumId w:val="3"/>
  </w:num>
  <w:num w:numId="20">
    <w:abstractNumId w:val="23"/>
  </w:num>
  <w:num w:numId="21">
    <w:abstractNumId w:val="30"/>
  </w:num>
  <w:num w:numId="22">
    <w:abstractNumId w:val="7"/>
  </w:num>
  <w:num w:numId="23">
    <w:abstractNumId w:val="1"/>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
  </w:num>
  <w:num w:numId="27">
    <w:abstractNumId w:val="20"/>
  </w:num>
  <w:num w:numId="28">
    <w:abstractNumId w:val="16"/>
  </w:num>
  <w:num w:numId="29">
    <w:abstractNumId w:val="27"/>
  </w:num>
  <w:num w:numId="30">
    <w:abstractNumId w:val="18"/>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00E"/>
    <w:rsid w:val="000138FF"/>
    <w:rsid w:val="0001624E"/>
    <w:rsid w:val="00017E49"/>
    <w:rsid w:val="00020F10"/>
    <w:rsid w:val="0002570C"/>
    <w:rsid w:val="00026F90"/>
    <w:rsid w:val="00032CEE"/>
    <w:rsid w:val="00037CA5"/>
    <w:rsid w:val="0004708B"/>
    <w:rsid w:val="000668D2"/>
    <w:rsid w:val="0007261A"/>
    <w:rsid w:val="000835C2"/>
    <w:rsid w:val="000928EF"/>
    <w:rsid w:val="0009776B"/>
    <w:rsid w:val="000A1695"/>
    <w:rsid w:val="000B2C8A"/>
    <w:rsid w:val="000B51B8"/>
    <w:rsid w:val="000C0C4D"/>
    <w:rsid w:val="000D35D4"/>
    <w:rsid w:val="000D3E8E"/>
    <w:rsid w:val="000D5047"/>
    <w:rsid w:val="000E19A0"/>
    <w:rsid w:val="000E6A35"/>
    <w:rsid w:val="000F510B"/>
    <w:rsid w:val="000F76F2"/>
    <w:rsid w:val="00112129"/>
    <w:rsid w:val="00114226"/>
    <w:rsid w:val="0012348D"/>
    <w:rsid w:val="00123CD5"/>
    <w:rsid w:val="00124621"/>
    <w:rsid w:val="0012749F"/>
    <w:rsid w:val="001477C3"/>
    <w:rsid w:val="0015302F"/>
    <w:rsid w:val="00153FDA"/>
    <w:rsid w:val="00155BDE"/>
    <w:rsid w:val="00155F89"/>
    <w:rsid w:val="001846AC"/>
    <w:rsid w:val="00184A5F"/>
    <w:rsid w:val="001A3A71"/>
    <w:rsid w:val="001A62DA"/>
    <w:rsid w:val="001D3745"/>
    <w:rsid w:val="001D5C16"/>
    <w:rsid w:val="001E27C0"/>
    <w:rsid w:val="001F19C5"/>
    <w:rsid w:val="001F4617"/>
    <w:rsid w:val="001F5EFF"/>
    <w:rsid w:val="001F7295"/>
    <w:rsid w:val="00200364"/>
    <w:rsid w:val="0021221C"/>
    <w:rsid w:val="00214DA1"/>
    <w:rsid w:val="00223F71"/>
    <w:rsid w:val="002246D7"/>
    <w:rsid w:val="00224DAE"/>
    <w:rsid w:val="00227F56"/>
    <w:rsid w:val="00262ABF"/>
    <w:rsid w:val="0026482B"/>
    <w:rsid w:val="0027367E"/>
    <w:rsid w:val="00277B6F"/>
    <w:rsid w:val="00287BB2"/>
    <w:rsid w:val="002B0A03"/>
    <w:rsid w:val="002B2D5E"/>
    <w:rsid w:val="002D1132"/>
    <w:rsid w:val="002D2F04"/>
    <w:rsid w:val="002D6061"/>
    <w:rsid w:val="00301D4F"/>
    <w:rsid w:val="003037C1"/>
    <w:rsid w:val="00304869"/>
    <w:rsid w:val="00313CE3"/>
    <w:rsid w:val="00317BBC"/>
    <w:rsid w:val="0032574D"/>
    <w:rsid w:val="0033516C"/>
    <w:rsid w:val="00340EEB"/>
    <w:rsid w:val="00343815"/>
    <w:rsid w:val="00346053"/>
    <w:rsid w:val="003460EE"/>
    <w:rsid w:val="003525A3"/>
    <w:rsid w:val="0035530F"/>
    <w:rsid w:val="003635DA"/>
    <w:rsid w:val="00363EA3"/>
    <w:rsid w:val="00364F99"/>
    <w:rsid w:val="00366259"/>
    <w:rsid w:val="00372214"/>
    <w:rsid w:val="00376CDE"/>
    <w:rsid w:val="0038602A"/>
    <w:rsid w:val="003A02E3"/>
    <w:rsid w:val="003A3133"/>
    <w:rsid w:val="003C109C"/>
    <w:rsid w:val="003C76BA"/>
    <w:rsid w:val="003D0428"/>
    <w:rsid w:val="003F2FA2"/>
    <w:rsid w:val="003F4044"/>
    <w:rsid w:val="003F430A"/>
    <w:rsid w:val="003F71C3"/>
    <w:rsid w:val="0040061F"/>
    <w:rsid w:val="0040133D"/>
    <w:rsid w:val="004014C5"/>
    <w:rsid w:val="00407FCF"/>
    <w:rsid w:val="00417385"/>
    <w:rsid w:val="00420805"/>
    <w:rsid w:val="00423995"/>
    <w:rsid w:val="004550BB"/>
    <w:rsid w:val="00470DE2"/>
    <w:rsid w:val="00484965"/>
    <w:rsid w:val="00492724"/>
    <w:rsid w:val="0049547A"/>
    <w:rsid w:val="004A160B"/>
    <w:rsid w:val="004A2B38"/>
    <w:rsid w:val="004B5CF5"/>
    <w:rsid w:val="004C6723"/>
    <w:rsid w:val="004D5B18"/>
    <w:rsid w:val="004D6E38"/>
    <w:rsid w:val="004E2975"/>
    <w:rsid w:val="004E307D"/>
    <w:rsid w:val="00500541"/>
    <w:rsid w:val="005151FC"/>
    <w:rsid w:val="00532484"/>
    <w:rsid w:val="00543048"/>
    <w:rsid w:val="00552C3D"/>
    <w:rsid w:val="00552CFF"/>
    <w:rsid w:val="00553CB1"/>
    <w:rsid w:val="005544E0"/>
    <w:rsid w:val="00575F6C"/>
    <w:rsid w:val="005772D4"/>
    <w:rsid w:val="0059093D"/>
    <w:rsid w:val="00593553"/>
    <w:rsid w:val="00597F07"/>
    <w:rsid w:val="005B6C6E"/>
    <w:rsid w:val="005D3D50"/>
    <w:rsid w:val="005F0AC4"/>
    <w:rsid w:val="005F514C"/>
    <w:rsid w:val="00601F0B"/>
    <w:rsid w:val="006133DB"/>
    <w:rsid w:val="00616F6B"/>
    <w:rsid w:val="006205BC"/>
    <w:rsid w:val="0063409C"/>
    <w:rsid w:val="006433ED"/>
    <w:rsid w:val="006440CC"/>
    <w:rsid w:val="00664C04"/>
    <w:rsid w:val="006761A7"/>
    <w:rsid w:val="00683608"/>
    <w:rsid w:val="00683D12"/>
    <w:rsid w:val="00695EB7"/>
    <w:rsid w:val="006B1C8B"/>
    <w:rsid w:val="006C1B4C"/>
    <w:rsid w:val="006C22E0"/>
    <w:rsid w:val="006E5018"/>
    <w:rsid w:val="006E6BFE"/>
    <w:rsid w:val="006E736A"/>
    <w:rsid w:val="006F0AC3"/>
    <w:rsid w:val="006F5DBB"/>
    <w:rsid w:val="00710CFA"/>
    <w:rsid w:val="00714BF5"/>
    <w:rsid w:val="007150BF"/>
    <w:rsid w:val="00723998"/>
    <w:rsid w:val="00731C89"/>
    <w:rsid w:val="0073689D"/>
    <w:rsid w:val="00736BB1"/>
    <w:rsid w:val="00744C1C"/>
    <w:rsid w:val="00747B10"/>
    <w:rsid w:val="007550D8"/>
    <w:rsid w:val="00763103"/>
    <w:rsid w:val="00771A0B"/>
    <w:rsid w:val="007731A2"/>
    <w:rsid w:val="00777434"/>
    <w:rsid w:val="007871E2"/>
    <w:rsid w:val="007A4834"/>
    <w:rsid w:val="007A7DD6"/>
    <w:rsid w:val="007B414D"/>
    <w:rsid w:val="007B76C6"/>
    <w:rsid w:val="007C1C35"/>
    <w:rsid w:val="007C460F"/>
    <w:rsid w:val="007C62F2"/>
    <w:rsid w:val="007D5047"/>
    <w:rsid w:val="007E057A"/>
    <w:rsid w:val="007E11D8"/>
    <w:rsid w:val="008009B2"/>
    <w:rsid w:val="00815CCD"/>
    <w:rsid w:val="00823B26"/>
    <w:rsid w:val="0083244B"/>
    <w:rsid w:val="00832A6A"/>
    <w:rsid w:val="00836DD1"/>
    <w:rsid w:val="0086279A"/>
    <w:rsid w:val="00876A1D"/>
    <w:rsid w:val="008A0C61"/>
    <w:rsid w:val="008A64BF"/>
    <w:rsid w:val="008B0F02"/>
    <w:rsid w:val="008B7774"/>
    <w:rsid w:val="008C5634"/>
    <w:rsid w:val="008C739C"/>
    <w:rsid w:val="008D5B3E"/>
    <w:rsid w:val="008E6856"/>
    <w:rsid w:val="008F7F13"/>
    <w:rsid w:val="00921547"/>
    <w:rsid w:val="0094046E"/>
    <w:rsid w:val="00941C1B"/>
    <w:rsid w:val="00946D83"/>
    <w:rsid w:val="00953D3B"/>
    <w:rsid w:val="00955098"/>
    <w:rsid w:val="00955F13"/>
    <w:rsid w:val="00962405"/>
    <w:rsid w:val="00963264"/>
    <w:rsid w:val="00966BFF"/>
    <w:rsid w:val="0098387C"/>
    <w:rsid w:val="009A7A8F"/>
    <w:rsid w:val="009B298E"/>
    <w:rsid w:val="009D12B1"/>
    <w:rsid w:val="009D4A7D"/>
    <w:rsid w:val="009D58F8"/>
    <w:rsid w:val="009D6E05"/>
    <w:rsid w:val="009F2F85"/>
    <w:rsid w:val="009F3BA5"/>
    <w:rsid w:val="00A23052"/>
    <w:rsid w:val="00A24777"/>
    <w:rsid w:val="00A556A6"/>
    <w:rsid w:val="00A91FE8"/>
    <w:rsid w:val="00A92DF9"/>
    <w:rsid w:val="00AA0C2E"/>
    <w:rsid w:val="00AA150B"/>
    <w:rsid w:val="00AA21A2"/>
    <w:rsid w:val="00AA314E"/>
    <w:rsid w:val="00AA581A"/>
    <w:rsid w:val="00AC21F7"/>
    <w:rsid w:val="00AC6279"/>
    <w:rsid w:val="00AF42CE"/>
    <w:rsid w:val="00B46B9A"/>
    <w:rsid w:val="00B470F9"/>
    <w:rsid w:val="00B541FA"/>
    <w:rsid w:val="00B6317A"/>
    <w:rsid w:val="00B6600E"/>
    <w:rsid w:val="00B75FB5"/>
    <w:rsid w:val="00B8097B"/>
    <w:rsid w:val="00B8541A"/>
    <w:rsid w:val="00B87EEE"/>
    <w:rsid w:val="00BA2718"/>
    <w:rsid w:val="00BA4464"/>
    <w:rsid w:val="00BA508C"/>
    <w:rsid w:val="00BB06CA"/>
    <w:rsid w:val="00BB1A94"/>
    <w:rsid w:val="00BD6662"/>
    <w:rsid w:val="00BE3312"/>
    <w:rsid w:val="00BE3DDA"/>
    <w:rsid w:val="00BF05D9"/>
    <w:rsid w:val="00BF08C3"/>
    <w:rsid w:val="00BF1A5B"/>
    <w:rsid w:val="00BF2E1B"/>
    <w:rsid w:val="00BF3556"/>
    <w:rsid w:val="00BF6468"/>
    <w:rsid w:val="00C02273"/>
    <w:rsid w:val="00C0693E"/>
    <w:rsid w:val="00C12C80"/>
    <w:rsid w:val="00C16DF8"/>
    <w:rsid w:val="00C217A7"/>
    <w:rsid w:val="00C33487"/>
    <w:rsid w:val="00C34708"/>
    <w:rsid w:val="00C4547D"/>
    <w:rsid w:val="00C50B68"/>
    <w:rsid w:val="00C55A53"/>
    <w:rsid w:val="00C63643"/>
    <w:rsid w:val="00C662F2"/>
    <w:rsid w:val="00C72973"/>
    <w:rsid w:val="00C83F45"/>
    <w:rsid w:val="00C84511"/>
    <w:rsid w:val="00C869D6"/>
    <w:rsid w:val="00CA756A"/>
    <w:rsid w:val="00CB5F54"/>
    <w:rsid w:val="00CC0462"/>
    <w:rsid w:val="00CC27C0"/>
    <w:rsid w:val="00CC7E81"/>
    <w:rsid w:val="00CD3AFB"/>
    <w:rsid w:val="00CE0025"/>
    <w:rsid w:val="00CE0798"/>
    <w:rsid w:val="00CE3211"/>
    <w:rsid w:val="00CE5871"/>
    <w:rsid w:val="00CE6967"/>
    <w:rsid w:val="00CF3331"/>
    <w:rsid w:val="00CF5B4B"/>
    <w:rsid w:val="00D0161B"/>
    <w:rsid w:val="00D026E3"/>
    <w:rsid w:val="00D049D6"/>
    <w:rsid w:val="00D1362F"/>
    <w:rsid w:val="00D16B67"/>
    <w:rsid w:val="00D176ED"/>
    <w:rsid w:val="00D32066"/>
    <w:rsid w:val="00D46FAC"/>
    <w:rsid w:val="00D5038E"/>
    <w:rsid w:val="00D521A1"/>
    <w:rsid w:val="00D5339A"/>
    <w:rsid w:val="00D535D5"/>
    <w:rsid w:val="00D67B7B"/>
    <w:rsid w:val="00D76FC7"/>
    <w:rsid w:val="00D907BD"/>
    <w:rsid w:val="00D93BA9"/>
    <w:rsid w:val="00DA2505"/>
    <w:rsid w:val="00DA5D3C"/>
    <w:rsid w:val="00DB0E5B"/>
    <w:rsid w:val="00DC2DB5"/>
    <w:rsid w:val="00DC7978"/>
    <w:rsid w:val="00DE0060"/>
    <w:rsid w:val="00DE4894"/>
    <w:rsid w:val="00DE4FCB"/>
    <w:rsid w:val="00DF0AC5"/>
    <w:rsid w:val="00DF4BB5"/>
    <w:rsid w:val="00E273F1"/>
    <w:rsid w:val="00E3015C"/>
    <w:rsid w:val="00E4177E"/>
    <w:rsid w:val="00E43E7E"/>
    <w:rsid w:val="00E75150"/>
    <w:rsid w:val="00E85A99"/>
    <w:rsid w:val="00E8673E"/>
    <w:rsid w:val="00E87D6D"/>
    <w:rsid w:val="00EA0494"/>
    <w:rsid w:val="00EB19A5"/>
    <w:rsid w:val="00EC265F"/>
    <w:rsid w:val="00ED063B"/>
    <w:rsid w:val="00ED47C2"/>
    <w:rsid w:val="00EF1619"/>
    <w:rsid w:val="00EF2A82"/>
    <w:rsid w:val="00EF37F7"/>
    <w:rsid w:val="00EF6157"/>
    <w:rsid w:val="00EF6575"/>
    <w:rsid w:val="00EF7ED6"/>
    <w:rsid w:val="00F012F8"/>
    <w:rsid w:val="00F2382F"/>
    <w:rsid w:val="00F34B8B"/>
    <w:rsid w:val="00F3579B"/>
    <w:rsid w:val="00F369F4"/>
    <w:rsid w:val="00F608A0"/>
    <w:rsid w:val="00F64120"/>
    <w:rsid w:val="00F74A3E"/>
    <w:rsid w:val="00F76ED7"/>
    <w:rsid w:val="00F92BD3"/>
    <w:rsid w:val="00F96EE9"/>
    <w:rsid w:val="00FA3ACD"/>
    <w:rsid w:val="00FC2B8D"/>
    <w:rsid w:val="00FD2AED"/>
    <w:rsid w:val="00FD5295"/>
    <w:rsid w:val="00FD7E81"/>
    <w:rsid w:val="00FF2912"/>
    <w:rsid w:val="00FF31B9"/>
    <w:rsid w:val="00FF5D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6751E-1F70-4E41-B15D-1BD90BD3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uiPriority w:val="34"/>
    <w:qFormat/>
    <w:rsid w:val="00B6600E"/>
    <w:pPr>
      <w:ind w:left="720"/>
      <w:contextualSpacing/>
    </w:pPr>
  </w:style>
  <w:style w:type="character" w:styleId="Pripombasklic">
    <w:name w:val="annotation reference"/>
    <w:basedOn w:val="Privzetapisavaodstavka"/>
    <w:uiPriority w:val="99"/>
    <w:semiHidden/>
    <w:unhideWhenUsed/>
    <w:rsid w:val="00532484"/>
    <w:rPr>
      <w:sz w:val="16"/>
      <w:szCs w:val="16"/>
    </w:rPr>
  </w:style>
  <w:style w:type="paragraph" w:styleId="Pripombabesedilo">
    <w:name w:val="annotation text"/>
    <w:basedOn w:val="Navaden"/>
    <w:link w:val="PripombabesediloZnak"/>
    <w:uiPriority w:val="99"/>
    <w:semiHidden/>
    <w:unhideWhenUsed/>
    <w:rsid w:val="00532484"/>
    <w:rPr>
      <w:sz w:val="20"/>
      <w:szCs w:val="20"/>
    </w:rPr>
  </w:style>
  <w:style w:type="character" w:customStyle="1" w:styleId="PripombabesediloZnak">
    <w:name w:val="Pripomba – besedilo Znak"/>
    <w:basedOn w:val="Privzetapisavaodstavka"/>
    <w:link w:val="Pripombabesedilo"/>
    <w:uiPriority w:val="99"/>
    <w:semiHidden/>
    <w:rsid w:val="0053248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532484"/>
    <w:rPr>
      <w:b/>
      <w:bCs/>
    </w:rPr>
  </w:style>
  <w:style w:type="character" w:customStyle="1" w:styleId="ZadevapripombeZnak">
    <w:name w:val="Zadeva pripombe Znak"/>
    <w:basedOn w:val="PripombabesediloZnak"/>
    <w:link w:val="Zadevapripombe"/>
    <w:uiPriority w:val="99"/>
    <w:semiHidden/>
    <w:rsid w:val="0053248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5324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484"/>
    <w:rPr>
      <w:rFonts w:ascii="Tahoma" w:hAnsi="Tahoma" w:cs="Tahoma"/>
      <w:sz w:val="16"/>
      <w:szCs w:val="16"/>
    </w:rPr>
  </w:style>
  <w:style w:type="paragraph" w:customStyle="1" w:styleId="Default">
    <w:name w:val="Default"/>
    <w:rsid w:val="001846AC"/>
    <w:pPr>
      <w:autoSpaceDE w:val="0"/>
      <w:autoSpaceDN w:val="0"/>
      <w:adjustRightInd w:val="0"/>
      <w:spacing w:after="0" w:line="240" w:lineRule="auto"/>
    </w:pPr>
    <w:rPr>
      <w:rFonts w:ascii="EUAlbertina" w:hAnsi="EUAlbertina" w:cs="EUAlbertina"/>
      <w:color w:val="000000"/>
      <w:sz w:val="24"/>
      <w:szCs w:val="24"/>
    </w:rPr>
  </w:style>
  <w:style w:type="paragraph" w:styleId="Glava">
    <w:name w:val="header"/>
    <w:basedOn w:val="Navaden"/>
    <w:link w:val="GlavaZnak"/>
    <w:uiPriority w:val="99"/>
    <w:unhideWhenUsed/>
    <w:rsid w:val="00D76FC7"/>
    <w:pPr>
      <w:tabs>
        <w:tab w:val="center" w:pos="4536"/>
        <w:tab w:val="right" w:pos="9072"/>
      </w:tabs>
    </w:pPr>
  </w:style>
  <w:style w:type="character" w:customStyle="1" w:styleId="GlavaZnak">
    <w:name w:val="Glava Znak"/>
    <w:basedOn w:val="Privzetapisavaodstavka"/>
    <w:link w:val="Glava"/>
    <w:uiPriority w:val="99"/>
    <w:rsid w:val="00D76FC7"/>
    <w:rPr>
      <w:rFonts w:ascii="Times New Roman" w:hAnsi="Times New Roman" w:cs="Times New Roman"/>
    </w:rPr>
  </w:style>
  <w:style w:type="paragraph" w:styleId="Noga">
    <w:name w:val="footer"/>
    <w:basedOn w:val="Navaden"/>
    <w:link w:val="NogaZnak"/>
    <w:uiPriority w:val="99"/>
    <w:unhideWhenUsed/>
    <w:rsid w:val="00D76FC7"/>
    <w:pPr>
      <w:tabs>
        <w:tab w:val="center" w:pos="4536"/>
        <w:tab w:val="right" w:pos="9072"/>
      </w:tabs>
    </w:pPr>
  </w:style>
  <w:style w:type="character" w:customStyle="1" w:styleId="NogaZnak">
    <w:name w:val="Noga Znak"/>
    <w:basedOn w:val="Privzetapisavaodstavka"/>
    <w:link w:val="Noga"/>
    <w:uiPriority w:val="99"/>
    <w:rsid w:val="00D76FC7"/>
    <w:rPr>
      <w:rFonts w:ascii="Times New Roman" w:hAnsi="Times New Roman" w:cs="Times New Roman"/>
    </w:rPr>
  </w:style>
  <w:style w:type="paragraph" w:customStyle="1" w:styleId="CM1">
    <w:name w:val="CM1"/>
    <w:basedOn w:val="Default"/>
    <w:next w:val="Default"/>
    <w:uiPriority w:val="99"/>
    <w:rsid w:val="00CF3331"/>
    <w:rPr>
      <w:rFonts w:cstheme="minorBidi"/>
      <w:color w:val="auto"/>
    </w:rPr>
  </w:style>
  <w:style w:type="paragraph" w:customStyle="1" w:styleId="CM3">
    <w:name w:val="CM3"/>
    <w:basedOn w:val="Default"/>
    <w:next w:val="Default"/>
    <w:uiPriority w:val="99"/>
    <w:rsid w:val="00CF3331"/>
    <w:rPr>
      <w:rFonts w:cstheme="minorBidi"/>
      <w:color w:val="auto"/>
    </w:rPr>
  </w:style>
  <w:style w:type="character" w:styleId="Sprotnaopomba-sklic">
    <w:name w:val="footnote reference"/>
    <w:basedOn w:val="Privzetapisavaodstavka"/>
    <w:uiPriority w:val="99"/>
    <w:semiHidden/>
    <w:unhideWhenUsed/>
    <w:rsid w:val="000A1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367DB-DB65-4FF4-9277-34B2488E2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52F7EE-147B-4D91-855A-B245A17EBB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66C5EA-519D-42F0-A2EF-8A7F5DC7C378}">
  <ds:schemaRefs>
    <ds:schemaRef ds:uri="http://schemas.microsoft.com/sharepoint/v3/contenttype/forms"/>
  </ds:schemaRefs>
</ds:datastoreItem>
</file>

<file path=customXml/itemProps4.xml><?xml version="1.0" encoding="utf-8"?>
<ds:datastoreItem xmlns:ds="http://schemas.openxmlformats.org/officeDocument/2006/customXml" ds:itemID="{822BCDEE-BD85-4473-8C55-D4901E79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3548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Saša Rubin</dc:creator>
  <cp:lastModifiedBy>Weiss Monika</cp:lastModifiedBy>
  <cp:revision>1</cp:revision>
  <cp:lastPrinted>2017-09-01T06:25:00Z</cp:lastPrinted>
  <dcterms:created xsi:type="dcterms:W3CDTF">2017-09-21T11:20:00Z</dcterms:created>
  <dcterms:modified xsi:type="dcterms:W3CDTF">2017-09-21T11:20:00Z</dcterms:modified>
</cp:coreProperties>
</file>