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6C" w:rsidRDefault="00E8606C" w:rsidP="00E8606C">
      <w:pPr>
        <w:pStyle w:val="Odstavekseznama"/>
        <w:numPr>
          <w:ilvl w:val="0"/>
          <w:numId w:val="57"/>
        </w:numPr>
        <w:ind w:left="284" w:hanging="284"/>
        <w:jc w:val="both"/>
        <w:rPr>
          <w:lang w:val="en-GB"/>
        </w:rPr>
      </w:pPr>
      <w:r>
        <w:rPr>
          <w:lang w:val="en-GB"/>
        </w:rPr>
        <w:t xml:space="preserve">Official Gazette of the Republic of Slovenia, No. 69/17 of 8 December 2017 (in </w:t>
      </w:r>
      <w:r w:rsidR="00EB3E5C">
        <w:rPr>
          <w:lang w:val="en-GB"/>
        </w:rPr>
        <w:t>use</w:t>
      </w:r>
      <w:r>
        <w:rPr>
          <w:lang w:val="en-GB"/>
        </w:rPr>
        <w:t xml:space="preserve"> since </w:t>
      </w:r>
      <w:r w:rsidR="00BA0E05">
        <w:rPr>
          <w:lang w:val="en-GB"/>
        </w:rPr>
        <w:t xml:space="preserve">   </w:t>
      </w:r>
      <w:r w:rsidR="00EB3E5C">
        <w:rPr>
          <w:lang w:val="en-GB"/>
        </w:rPr>
        <w:t xml:space="preserve">    </w:t>
      </w:r>
      <w:r>
        <w:rPr>
          <w:lang w:val="en-GB"/>
        </w:rPr>
        <w:t>1 January 2018)</w:t>
      </w:r>
    </w:p>
    <w:p w:rsidR="00E8378C" w:rsidRDefault="00E8378C" w:rsidP="00E8378C">
      <w:pPr>
        <w:pBdr>
          <w:bottom w:val="single" w:sz="4" w:space="1" w:color="auto"/>
        </w:pBdr>
        <w:rPr>
          <w:noProof/>
          <w:lang w:val="en-GB"/>
        </w:rPr>
      </w:pPr>
    </w:p>
    <w:p w:rsidR="00C561EF" w:rsidRPr="00C4152C" w:rsidRDefault="00C561EF" w:rsidP="00C561EF">
      <w:pPr>
        <w:pStyle w:val="Odstavek"/>
        <w:spacing w:before="0"/>
        <w:rPr>
          <w:lang w:val="en-GB"/>
        </w:rPr>
      </w:pPr>
      <w:r w:rsidRPr="00C4152C">
        <w:rPr>
          <w:lang w:val="en-GB"/>
        </w:rPr>
        <w:t xml:space="preserve">Pursuant to the first paragraph of Article 93 of the Banking Act (Official Gazette of the </w:t>
      </w:r>
      <w:r w:rsidR="00B02509">
        <w:rPr>
          <w:lang w:val="en-GB"/>
        </w:rPr>
        <w:t>Republic of Slovenia, No. 25/15,</w:t>
      </w:r>
      <w:r w:rsidRPr="00C4152C">
        <w:rPr>
          <w:lang w:val="en-GB"/>
        </w:rPr>
        <w:t xml:space="preserve"> </w:t>
      </w:r>
      <w:r w:rsidR="004D5647">
        <w:rPr>
          <w:lang w:val="en-GB"/>
        </w:rPr>
        <w:t>44/16 – ZRPPB</w:t>
      </w:r>
      <w:r w:rsidR="00B02509">
        <w:rPr>
          <w:lang w:val="en-GB"/>
        </w:rPr>
        <w:t>,</w:t>
      </w:r>
      <w:r w:rsidR="004D5647">
        <w:rPr>
          <w:lang w:val="en-GB"/>
        </w:rPr>
        <w:t xml:space="preserve"> 77/16 – ZCKR</w:t>
      </w:r>
      <w:r w:rsidR="00B02509">
        <w:rPr>
          <w:lang w:val="en-GB"/>
        </w:rPr>
        <w:t xml:space="preserve"> and 41/17</w:t>
      </w:r>
      <w:r w:rsidR="004D5647">
        <w:rPr>
          <w:lang w:val="en-GB"/>
        </w:rPr>
        <w:t xml:space="preserve">, </w:t>
      </w:r>
      <w:r w:rsidRPr="00C4152C">
        <w:rPr>
          <w:lang w:val="en-GB"/>
        </w:rPr>
        <w:t>hereinafter: the ZBan-2) and the first paragraph of Article 31 of the Bank of Slovenia Act (Official Gazette of the Republic of Slovenia, Nos. 72/06 [official consolidated version]</w:t>
      </w:r>
      <w:r w:rsidR="00B02509">
        <w:rPr>
          <w:lang w:val="en-GB"/>
        </w:rPr>
        <w:t>,</w:t>
      </w:r>
      <w:r w:rsidRPr="00C4152C">
        <w:rPr>
          <w:lang w:val="en-GB"/>
        </w:rPr>
        <w:t xml:space="preserve"> 59/11</w:t>
      </w:r>
      <w:r w:rsidR="00B02509">
        <w:rPr>
          <w:lang w:val="en-GB"/>
        </w:rPr>
        <w:t xml:space="preserve"> and 55/17</w:t>
      </w:r>
      <w:r w:rsidRPr="00C4152C">
        <w:rPr>
          <w:lang w:val="en-GB"/>
        </w:rPr>
        <w:t xml:space="preserve">), the Governing Board of the Bank of Slovenia hereby issues the following </w:t>
      </w:r>
    </w:p>
    <w:p w:rsidR="00C561EF" w:rsidRPr="00C4152C" w:rsidRDefault="00C561EF" w:rsidP="00C561EF">
      <w:pPr>
        <w:pStyle w:val="CM2"/>
        <w:widowControl/>
        <w:autoSpaceDE/>
        <w:autoSpaceDN/>
        <w:adjustRightInd/>
        <w:spacing w:line="240" w:lineRule="auto"/>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Telobesedila"/>
        <w:jc w:val="center"/>
        <w:rPr>
          <w:b/>
          <w:szCs w:val="22"/>
          <w:lang w:val="en-GB"/>
        </w:rPr>
      </w:pPr>
      <w:r w:rsidRPr="00C4152C">
        <w:rPr>
          <w:b/>
          <w:bCs/>
          <w:szCs w:val="22"/>
          <w:lang w:val="en-GB"/>
        </w:rPr>
        <w:t>REGULATION</w:t>
      </w:r>
    </w:p>
    <w:p w:rsidR="00C561EF" w:rsidRPr="00C4152C" w:rsidRDefault="00C561EF" w:rsidP="00C561EF">
      <w:pPr>
        <w:pStyle w:val="Telobesedila"/>
        <w:jc w:val="center"/>
        <w:rPr>
          <w:b/>
          <w:szCs w:val="22"/>
          <w:lang w:val="en-GB"/>
        </w:rPr>
      </w:pPr>
    </w:p>
    <w:p w:rsidR="00C561EF" w:rsidRPr="00C4152C" w:rsidRDefault="00C561EF" w:rsidP="00C561EF">
      <w:pPr>
        <w:pStyle w:val="Telobesedila"/>
        <w:jc w:val="center"/>
        <w:rPr>
          <w:b/>
          <w:szCs w:val="22"/>
          <w:lang w:val="en-GB"/>
        </w:rPr>
      </w:pPr>
      <w:r w:rsidRPr="00C4152C">
        <w:rPr>
          <w:b/>
          <w:bCs/>
          <w:szCs w:val="22"/>
          <w:lang w:val="en-GB"/>
        </w:rPr>
        <w:t>ON THE BOOKS OF ACCOUNT AND ANNUAL REPORTS OF BANKS AND SAVINGS BANKS</w:t>
      </w:r>
    </w:p>
    <w:p w:rsidR="00C561EF" w:rsidRPr="00C4152C" w:rsidRDefault="00C561EF" w:rsidP="00C561EF">
      <w:pPr>
        <w:rPr>
          <w:b/>
          <w:sz w:val="22"/>
          <w:szCs w:val="22"/>
          <w:lang w:val="en-GB"/>
        </w:rPr>
      </w:pPr>
    </w:p>
    <w:p w:rsidR="00D611FF" w:rsidRPr="00D611FF" w:rsidRDefault="00D611FF" w:rsidP="00D611FF">
      <w:pPr>
        <w:rPr>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GENERAL PROVISIONS</w:t>
      </w: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w:t>
      </w:r>
    </w:p>
    <w:p w:rsidR="00C561EF" w:rsidRPr="00C4152C" w:rsidRDefault="00C561EF" w:rsidP="00C561EF">
      <w:pPr>
        <w:jc w:val="center"/>
        <w:rPr>
          <w:bCs/>
          <w:sz w:val="22"/>
          <w:szCs w:val="22"/>
          <w:lang w:val="en-GB"/>
        </w:rPr>
      </w:pPr>
      <w:r w:rsidRPr="00C4152C">
        <w:rPr>
          <w:sz w:val="22"/>
          <w:szCs w:val="22"/>
          <w:lang w:val="en-GB"/>
        </w:rPr>
        <w:t>(content of regulation)</w:t>
      </w:r>
    </w:p>
    <w:p w:rsidR="00C561EF" w:rsidRPr="00C4152C" w:rsidRDefault="00C561EF" w:rsidP="00C561EF">
      <w:pPr>
        <w:pStyle w:val="Odstavek"/>
        <w:numPr>
          <w:ilvl w:val="0"/>
          <w:numId w:val="4"/>
        </w:numPr>
        <w:rPr>
          <w:lang w:val="en-GB"/>
        </w:rPr>
      </w:pPr>
      <w:r w:rsidRPr="00C4152C">
        <w:rPr>
          <w:lang w:val="en-GB"/>
        </w:rPr>
        <w:t>This regulation sets out in detail:</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content of the general ledger as it relates to the keeping of the books of account; </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types and templates of the financial statements and consolidated financial statements of banks and savings banks (hereinafter: banks); </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w:t>
      </w:r>
      <w:r w:rsidR="007956CC" w:rsidRPr="00C4152C">
        <w:rPr>
          <w:lang w:val="en-GB"/>
        </w:rPr>
        <w:t xml:space="preserve">detailed </w:t>
      </w:r>
      <w:r w:rsidRPr="00C4152C">
        <w:rPr>
          <w:lang w:val="en-GB"/>
        </w:rPr>
        <w:t>content of the annual report and consolidated annual report of banks;</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w:t>
      </w:r>
      <w:r w:rsidR="007956CC" w:rsidRPr="00C4152C">
        <w:rPr>
          <w:lang w:val="en-GB"/>
        </w:rPr>
        <w:t xml:space="preserve">detailed </w:t>
      </w:r>
      <w:r w:rsidRPr="00C4152C">
        <w:rPr>
          <w:lang w:val="en-GB"/>
        </w:rPr>
        <w:t>content, form, method and frequency of and deadlines for the submission of financial information on an individual basis.</w:t>
      </w:r>
    </w:p>
    <w:p w:rsidR="00C561EF" w:rsidRPr="00C4152C" w:rsidRDefault="00C561EF" w:rsidP="00C561EF">
      <w:pPr>
        <w:pStyle w:val="Odstavek"/>
        <w:ind w:firstLine="360"/>
        <w:rPr>
          <w:lang w:val="en-GB"/>
        </w:rPr>
      </w:pPr>
      <w:r w:rsidRPr="00C4152C">
        <w:rPr>
          <w:lang w:val="en-GB"/>
        </w:rPr>
        <w:t>(2) Wherever this regulation makes reference to the provisions of other regulations, these provisions shall apply in their wording applicable at the time in question.</w:t>
      </w:r>
    </w:p>
    <w:p w:rsidR="00C561EF" w:rsidRPr="00C4152C" w:rsidRDefault="00C561EF" w:rsidP="00C561EF">
      <w:pPr>
        <w:pStyle w:val="Odstavek"/>
        <w:ind w:left="360"/>
        <w:rPr>
          <w:lang w:val="en-GB"/>
        </w:rPr>
      </w:pPr>
      <w:r w:rsidRPr="00C4152C">
        <w:rPr>
          <w:lang w:val="en-GB"/>
        </w:rPr>
        <w:t xml:space="preserve">(3) The provisions of this regulation shall apply </w:t>
      </w:r>
      <w:r w:rsidRPr="00C4152C">
        <w:rPr>
          <w:i/>
          <w:iCs/>
          <w:lang w:val="en-GB"/>
        </w:rPr>
        <w:t xml:space="preserve">mutatis mutandis </w:t>
      </w:r>
      <w:r w:rsidRPr="00C4152C">
        <w:rPr>
          <w:lang w:val="en-GB"/>
        </w:rPr>
        <w:t>to branches of third-country banks.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p>
    <w:p w:rsidR="00C561EF" w:rsidRPr="00C4152C" w:rsidRDefault="00C561EF" w:rsidP="00B80689">
      <w:pPr>
        <w:ind w:left="284"/>
        <w:jc w:val="center"/>
        <w:rPr>
          <w:bCs/>
          <w:sz w:val="22"/>
          <w:szCs w:val="22"/>
          <w:lang w:val="en-GB"/>
        </w:rPr>
      </w:pPr>
      <w:r w:rsidRPr="00C4152C">
        <w:rPr>
          <w:sz w:val="22"/>
          <w:szCs w:val="22"/>
          <w:lang w:val="en-GB"/>
        </w:rPr>
        <w:t>Article 2</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 xml:space="preserve">(definition of terms) </w:t>
      </w:r>
    </w:p>
    <w:p w:rsidR="00C561EF" w:rsidRPr="00C4152C" w:rsidRDefault="00C561EF" w:rsidP="00C561EF">
      <w:pPr>
        <w:pStyle w:val="Odstavek"/>
        <w:numPr>
          <w:ilvl w:val="0"/>
          <w:numId w:val="5"/>
        </w:numPr>
        <w:rPr>
          <w:lang w:val="en-GB"/>
        </w:rPr>
      </w:pPr>
      <w:r w:rsidRPr="00C4152C">
        <w:rPr>
          <w:lang w:val="en-GB"/>
        </w:rPr>
        <w:t>In this regulation the following abbreviated titles are used for European Union acts:</w:t>
      </w:r>
    </w:p>
    <w:p w:rsidR="00C561EF" w:rsidRPr="000F1147" w:rsidRDefault="00C561EF" w:rsidP="000F1147">
      <w:pPr>
        <w:pStyle w:val="Odstavek"/>
        <w:numPr>
          <w:ilvl w:val="5"/>
          <w:numId w:val="5"/>
        </w:numPr>
        <w:tabs>
          <w:tab w:val="clear" w:pos="4500"/>
        </w:tabs>
        <w:spacing w:before="0"/>
        <w:ind w:left="0"/>
        <w:rPr>
          <w:lang w:val="en-GB"/>
        </w:rPr>
      </w:pPr>
      <w:r w:rsidRPr="000F1147">
        <w:rPr>
          <w:lang w:val="en-GB"/>
        </w:rPr>
        <w:t>the IFRS are the International Financial Reporting Standards as adopted by the European Commission on the basis of Regulation (EC) No 1606/2002 of the European Parliament and of the Council of 19 July 2002 on the application of international accounting standards (OJ L 243/2002)</w:t>
      </w:r>
      <w:r w:rsidR="00BA0E05">
        <w:rPr>
          <w:lang w:val="en-GB"/>
        </w:rPr>
        <w:t xml:space="preserve"> </w:t>
      </w:r>
      <w:r w:rsidRPr="006B4232">
        <w:rPr>
          <w:lang w:val="en-GB"/>
        </w:rPr>
        <w:t>and Commission Regulation (EC) No 1126/2008 of 3 November 2008 adopting certain international accounting standards in accordance with Regulation (EC) No 1606/2002</w:t>
      </w:r>
      <w:r w:rsidR="00E52968" w:rsidRPr="006B4232">
        <w:rPr>
          <w:lang w:val="en-GB"/>
        </w:rPr>
        <w:t xml:space="preserve"> (OJ L 320/2008)</w:t>
      </w:r>
      <w:r w:rsidR="000F1147" w:rsidRPr="006B4232">
        <w:rPr>
          <w:lang w:val="en-GB"/>
        </w:rPr>
        <w:t xml:space="preserve">, </w:t>
      </w:r>
      <w:r w:rsidR="00A76FFA" w:rsidRPr="006B4232">
        <w:rPr>
          <w:lang w:val="en-GB"/>
        </w:rPr>
        <w:t xml:space="preserve">last amended by </w:t>
      </w:r>
      <w:r w:rsidR="000F1147" w:rsidRPr="006B4232">
        <w:rPr>
          <w:lang w:val="en-GB"/>
        </w:rPr>
        <w:t xml:space="preserve">Commission Regulation </w:t>
      </w:r>
      <w:r w:rsidR="0049312D" w:rsidRPr="006B4232">
        <w:rPr>
          <w:lang w:val="en-GB"/>
        </w:rPr>
        <w:t xml:space="preserve">(EC) No </w:t>
      </w:r>
      <w:r w:rsidR="000F1147" w:rsidRPr="000F1147">
        <w:rPr>
          <w:lang w:val="en-GB"/>
        </w:rPr>
        <w:t>2016</w:t>
      </w:r>
      <w:r w:rsidR="0049312D" w:rsidRPr="000F1147">
        <w:rPr>
          <w:lang w:val="en-GB"/>
        </w:rPr>
        <w:t>/20</w:t>
      </w:r>
      <w:r w:rsidR="000F1147" w:rsidRPr="000F1147">
        <w:rPr>
          <w:lang w:val="en-GB"/>
        </w:rPr>
        <w:t>67</w:t>
      </w:r>
      <w:r w:rsidR="0049312D" w:rsidRPr="000F1147">
        <w:rPr>
          <w:lang w:val="en-GB"/>
        </w:rPr>
        <w:t xml:space="preserve"> of </w:t>
      </w:r>
      <w:r w:rsidR="000F1147" w:rsidRPr="000F1147">
        <w:rPr>
          <w:lang w:val="en-GB"/>
        </w:rPr>
        <w:t>22</w:t>
      </w:r>
      <w:r w:rsidR="0049312D" w:rsidRPr="000F1147">
        <w:rPr>
          <w:lang w:val="en-GB"/>
        </w:rPr>
        <w:t xml:space="preserve"> </w:t>
      </w:r>
      <w:r w:rsidR="000F1147" w:rsidRPr="000F1147">
        <w:rPr>
          <w:lang w:val="en-GB"/>
        </w:rPr>
        <w:t>November 2016</w:t>
      </w:r>
      <w:r w:rsidR="0049312D" w:rsidRPr="000F1147">
        <w:rPr>
          <w:lang w:val="en-GB"/>
        </w:rPr>
        <w:t xml:space="preserve"> (OJ L </w:t>
      </w:r>
      <w:r w:rsidR="000F1147" w:rsidRPr="000F1147">
        <w:rPr>
          <w:lang w:val="en-GB"/>
        </w:rPr>
        <w:t>323</w:t>
      </w:r>
      <w:r w:rsidR="0049312D" w:rsidRPr="000F1147">
        <w:rPr>
          <w:lang w:val="en-GB"/>
        </w:rPr>
        <w:t>/20</w:t>
      </w:r>
      <w:r w:rsidR="000F1147" w:rsidRPr="000F1147">
        <w:rPr>
          <w:lang w:val="en-GB"/>
        </w:rPr>
        <w:t>16</w:t>
      </w:r>
      <w:r w:rsidR="0049312D" w:rsidRPr="000F1147">
        <w:rPr>
          <w:lang w:val="en-GB"/>
        </w:rPr>
        <w:t>)</w:t>
      </w:r>
      <w:r w:rsidR="005D0963" w:rsidRPr="000F1147">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575/2013 is Regulation (EU) No 575/2013 of the European Parliament and of the Council of 26 June 2013 on prudential requirements for credit institutions and investment firms and amending Regulation (EU) No 648/2012 (OJ L 176/2013);</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Directive 2013/36/EU is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176/2013)</w:t>
      </w:r>
      <w:r w:rsidR="0049312D">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1024/2013 is Council Regulation (EU) No 1024/2013 of 15 October 2013 conferring specific tasks on the European Central Bank concerning policies relating to the prudential supervision of credit institutions (OJ L 287/2013);</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Commission Implementing Regulation (EU) No 680/2014 is Commission Implementing Regulation (EU) No 680/2014 of 16 April 2014 laying down implementing technical standards with regard to supervisory reporting of institutions according to Regulation (EU) No 575/2013 of the European Parliament and of the Council (OJ L 191/</w:t>
      </w:r>
      <w:r w:rsidRPr="00885228">
        <w:rPr>
          <w:lang w:val="en-GB"/>
        </w:rPr>
        <w:t>2014)</w:t>
      </w:r>
      <w:r w:rsidR="00885228" w:rsidRPr="00885228">
        <w:rPr>
          <w:lang w:val="en-GB"/>
        </w:rPr>
        <w:t>, last</w:t>
      </w:r>
      <w:r w:rsidR="00885228">
        <w:rPr>
          <w:lang w:val="en-GB"/>
        </w:rPr>
        <w:t xml:space="preserve"> amended by </w:t>
      </w:r>
      <w:r w:rsidR="00885228" w:rsidRPr="00C4152C">
        <w:rPr>
          <w:lang w:val="en-GB"/>
        </w:rPr>
        <w:t xml:space="preserve">Commission Implementing Regulation (EU) </w:t>
      </w:r>
      <w:r w:rsidR="00885228">
        <w:rPr>
          <w:lang w:val="en-GB"/>
        </w:rPr>
        <w:t>2017</w:t>
      </w:r>
      <w:r w:rsidR="00885228" w:rsidRPr="00C4152C">
        <w:rPr>
          <w:lang w:val="en-GB"/>
        </w:rPr>
        <w:t>/</w:t>
      </w:r>
      <w:r w:rsidR="00885228">
        <w:rPr>
          <w:lang w:val="en-GB"/>
        </w:rPr>
        <w:t>1443</w:t>
      </w:r>
      <w:r w:rsidR="00885228" w:rsidRPr="00C4152C">
        <w:rPr>
          <w:lang w:val="en-GB"/>
        </w:rPr>
        <w:t xml:space="preserve"> of </w:t>
      </w:r>
      <w:r w:rsidR="00885228">
        <w:rPr>
          <w:lang w:val="en-GB"/>
        </w:rPr>
        <w:t>29</w:t>
      </w:r>
      <w:r w:rsidR="00885228" w:rsidRPr="00C4152C">
        <w:rPr>
          <w:lang w:val="en-GB"/>
        </w:rPr>
        <w:t xml:space="preserve"> </w:t>
      </w:r>
      <w:r w:rsidR="00885228">
        <w:rPr>
          <w:lang w:val="en-GB"/>
        </w:rPr>
        <w:t>June</w:t>
      </w:r>
      <w:r w:rsidR="00885228" w:rsidRPr="00C4152C">
        <w:rPr>
          <w:lang w:val="en-GB"/>
        </w:rPr>
        <w:t xml:space="preserve"> 201</w:t>
      </w:r>
      <w:r w:rsidR="00885228">
        <w:rPr>
          <w:lang w:val="en-GB"/>
        </w:rPr>
        <w:t>7 (OJ L 213/2017)</w:t>
      </w:r>
      <w:r w:rsidRPr="00C4152C">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468/2014 (ECB/2014/17) is Regulation (EU) No 468/2014 of the European Central Bank of 16 April 2014 establishing a framework for cooperation within the Single Supervisory Mechanism between the European Central Bank and national competent authorities and with national designated authorities (SSM Framework Regulation; ECB/2014/17; OJ L 141/2014).</w:t>
      </w:r>
    </w:p>
    <w:p w:rsidR="00C561EF" w:rsidRDefault="00C561EF" w:rsidP="00C561EF">
      <w:pPr>
        <w:pStyle w:val="Odstavek"/>
        <w:numPr>
          <w:ilvl w:val="0"/>
          <w:numId w:val="5"/>
        </w:numPr>
        <w:rPr>
          <w:lang w:val="en-GB"/>
        </w:rPr>
      </w:pPr>
      <w:r w:rsidRPr="00C4152C">
        <w:rPr>
          <w:lang w:val="en-GB"/>
        </w:rPr>
        <w:t>The terms used in this regulation shall have the same meanings as in the ZBan-2, Regulation (EU) No 575/2013, Regulation (EU) No 1024/2013 and Regulation (EU) No 468/2014 (ECB/2014/17), and in regulations issued on their basis.</w:t>
      </w:r>
    </w:p>
    <w:p w:rsidR="00C561EF" w:rsidRDefault="00C561EF" w:rsidP="00C561EF">
      <w:pPr>
        <w:pStyle w:val="Odstavek"/>
        <w:spacing w:before="0"/>
        <w:rPr>
          <w:lang w:val="en-GB"/>
        </w:rPr>
      </w:pPr>
    </w:p>
    <w:p w:rsidR="005A323D" w:rsidRDefault="005A323D" w:rsidP="00C561EF">
      <w:pPr>
        <w:pStyle w:val="Odstavek"/>
        <w:spacing w:before="0"/>
        <w:rPr>
          <w:lang w:val="en-GB"/>
        </w:rPr>
      </w:pPr>
    </w:p>
    <w:p w:rsidR="00C561EF" w:rsidRPr="00C4152C" w:rsidRDefault="00C561EF" w:rsidP="00B80689">
      <w:pPr>
        <w:ind w:left="284"/>
        <w:jc w:val="center"/>
        <w:rPr>
          <w:bCs/>
          <w:sz w:val="22"/>
          <w:szCs w:val="22"/>
          <w:lang w:val="en-GB"/>
        </w:rPr>
      </w:pPr>
      <w:r w:rsidRPr="00C4152C">
        <w:rPr>
          <w:sz w:val="22"/>
          <w:szCs w:val="22"/>
          <w:lang w:val="en-GB"/>
        </w:rPr>
        <w:t>Article 3</w:t>
      </w:r>
    </w:p>
    <w:p w:rsidR="00C561EF" w:rsidRPr="00C4152C" w:rsidRDefault="00C561EF" w:rsidP="00C561EF">
      <w:pPr>
        <w:jc w:val="center"/>
        <w:rPr>
          <w:bCs/>
          <w:sz w:val="22"/>
          <w:szCs w:val="22"/>
          <w:lang w:val="en-GB"/>
        </w:rPr>
      </w:pPr>
      <w:r w:rsidRPr="00C4152C">
        <w:rPr>
          <w:sz w:val="22"/>
          <w:szCs w:val="22"/>
          <w:lang w:val="en-GB"/>
        </w:rPr>
        <w:t>(transposition of EU directives and application of ZGD-1, IFRS and other regulations)</w:t>
      </w:r>
    </w:p>
    <w:p w:rsidR="00C561EF" w:rsidRPr="00C4152C" w:rsidRDefault="00C561EF" w:rsidP="00C561EF">
      <w:pPr>
        <w:pStyle w:val="Odstavek"/>
        <w:numPr>
          <w:ilvl w:val="0"/>
          <w:numId w:val="52"/>
        </w:numPr>
        <w:rPr>
          <w:lang w:val="en-GB"/>
        </w:rPr>
      </w:pPr>
      <w:r w:rsidRPr="00C4152C">
        <w:rPr>
          <w:lang w:val="en-GB"/>
        </w:rPr>
        <w:t>This regulation transposes Articles 89 and 90 of Directive 2013/36/EU into the legislation of the Republic of Slovenia.</w:t>
      </w:r>
    </w:p>
    <w:p w:rsidR="00C561EF" w:rsidRPr="00C4152C" w:rsidRDefault="00F96884" w:rsidP="00C561EF">
      <w:pPr>
        <w:pStyle w:val="Odstavek"/>
        <w:numPr>
          <w:ilvl w:val="0"/>
          <w:numId w:val="52"/>
        </w:numPr>
        <w:rPr>
          <w:lang w:val="en-GB"/>
        </w:rPr>
      </w:pPr>
      <w:r w:rsidRPr="00C4152C">
        <w:rPr>
          <w:lang w:val="en-GB"/>
        </w:rPr>
        <w:t xml:space="preserve">The bank </w:t>
      </w:r>
      <w:r w:rsidR="00C561EF" w:rsidRPr="00C4152C">
        <w:rPr>
          <w:lang w:val="en-GB"/>
        </w:rPr>
        <w:t>shall administer books of account and compile an annual report and a consolidated annual report in accordance with the Companies Act (Official Gazette of the Republic of Slovenia, Nos. 65/09</w:t>
      </w:r>
      <w:r w:rsidR="00EC6782">
        <w:rPr>
          <w:lang w:val="en-GB"/>
        </w:rPr>
        <w:t xml:space="preserve"> </w:t>
      </w:r>
      <w:r w:rsidR="00EC6782" w:rsidRPr="00C4152C">
        <w:rPr>
          <w:lang w:val="en-GB"/>
        </w:rPr>
        <w:t>[official consolidated version]</w:t>
      </w:r>
      <w:r w:rsidR="00C561EF" w:rsidRPr="00C4152C">
        <w:rPr>
          <w:lang w:val="en-GB"/>
        </w:rPr>
        <w:t>, 33/11, 91/11, 3</w:t>
      </w:r>
      <w:r w:rsidR="0051488A">
        <w:rPr>
          <w:lang w:val="en-GB"/>
        </w:rPr>
        <w:t>1</w:t>
      </w:r>
      <w:r w:rsidR="00C561EF" w:rsidRPr="00C4152C">
        <w:rPr>
          <w:lang w:val="en-GB"/>
        </w:rPr>
        <w:t>/12, 57/12, 44/</w:t>
      </w:r>
      <w:r w:rsidR="00C561EF" w:rsidRPr="0051488A">
        <w:rPr>
          <w:lang w:val="en-GB"/>
        </w:rPr>
        <w:t xml:space="preserve">13 </w:t>
      </w:r>
      <w:r w:rsidR="0051488A" w:rsidRPr="00C4152C">
        <w:rPr>
          <w:lang w:val="en-GB"/>
        </w:rPr>
        <w:t>[</w:t>
      </w:r>
      <w:r w:rsidR="0051488A" w:rsidRPr="00342F7A">
        <w:rPr>
          <w:lang w:val="en-GB"/>
        </w:rPr>
        <w:t>Const. Court dec.</w:t>
      </w:r>
      <w:r w:rsidR="0051488A" w:rsidRPr="00C4152C">
        <w:rPr>
          <w:lang w:val="en-GB"/>
        </w:rPr>
        <w:t>]</w:t>
      </w:r>
      <w:r w:rsidR="0051488A">
        <w:rPr>
          <w:lang w:val="en-GB"/>
        </w:rPr>
        <w:t>,</w:t>
      </w:r>
      <w:r w:rsidR="0051488A" w:rsidRPr="0051488A">
        <w:rPr>
          <w:lang w:val="en-GB"/>
        </w:rPr>
        <w:t xml:space="preserve"> </w:t>
      </w:r>
      <w:r w:rsidR="00C561EF" w:rsidRPr="00C4152C">
        <w:rPr>
          <w:lang w:val="en-GB"/>
        </w:rPr>
        <w:t>82/13</w:t>
      </w:r>
      <w:r w:rsidR="0051488A">
        <w:rPr>
          <w:lang w:val="en-GB"/>
        </w:rPr>
        <w:t xml:space="preserve">, 55/15 </w:t>
      </w:r>
      <w:r w:rsidR="0051488A" w:rsidRPr="00C4152C">
        <w:rPr>
          <w:lang w:val="en-GB"/>
        </w:rPr>
        <w:t>and</w:t>
      </w:r>
      <w:r w:rsidR="00885228">
        <w:rPr>
          <w:lang w:val="en-GB"/>
        </w:rPr>
        <w:t xml:space="preserve"> </w:t>
      </w:r>
      <w:r w:rsidR="0051488A">
        <w:rPr>
          <w:lang w:val="en-GB"/>
        </w:rPr>
        <w:t>15/17</w:t>
      </w:r>
      <w:r w:rsidR="00C561EF" w:rsidRPr="00C4152C">
        <w:rPr>
          <w:lang w:val="en-GB"/>
        </w:rPr>
        <w:t xml:space="preserve">; hereinafter: the ZGD-1), the IFRS and other regulations, and this regulation. </w:t>
      </w:r>
    </w:p>
    <w:p w:rsidR="00C561EF" w:rsidRPr="00C4152C" w:rsidRDefault="00F96884" w:rsidP="00C561EF">
      <w:pPr>
        <w:pStyle w:val="Odstavek"/>
        <w:numPr>
          <w:ilvl w:val="0"/>
          <w:numId w:val="52"/>
        </w:numPr>
        <w:rPr>
          <w:lang w:val="en-GB"/>
        </w:rPr>
      </w:pPr>
      <w:r w:rsidRPr="00C4152C">
        <w:rPr>
          <w:lang w:val="en-GB"/>
        </w:rPr>
        <w:t xml:space="preserve">The bank </w:t>
      </w:r>
      <w:r w:rsidR="00C561EF" w:rsidRPr="00C4152C">
        <w:rPr>
          <w:lang w:val="en-GB"/>
        </w:rPr>
        <w:t>shall compile a report on financial information on an individual basis in accordance with Commission Implementing Regulation (EU) No 680/2014.</w:t>
      </w:r>
    </w:p>
    <w:p w:rsidR="00C561EF" w:rsidRDefault="00C561EF" w:rsidP="00C561EF">
      <w:pPr>
        <w:ind w:left="720"/>
        <w:jc w:val="both"/>
        <w:rPr>
          <w:sz w:val="22"/>
          <w:szCs w:val="22"/>
          <w:lang w:val="en-GB"/>
        </w:rPr>
      </w:pPr>
    </w:p>
    <w:p w:rsidR="00D611FF" w:rsidRPr="00C4152C" w:rsidRDefault="00D611FF" w:rsidP="00C561EF">
      <w:pPr>
        <w:ind w:left="720"/>
        <w:jc w:val="both"/>
        <w:rPr>
          <w:sz w:val="22"/>
          <w:szCs w:val="22"/>
          <w:lang w:val="en-GB"/>
        </w:rPr>
      </w:pPr>
    </w:p>
    <w:p w:rsidR="00C561EF" w:rsidRPr="00C4152C" w:rsidRDefault="00AF4EAB" w:rsidP="00C561EF">
      <w:pPr>
        <w:pStyle w:val="Naslov1"/>
        <w:numPr>
          <w:ilvl w:val="0"/>
          <w:numId w:val="1"/>
        </w:numPr>
        <w:jc w:val="center"/>
        <w:rPr>
          <w:b w:val="0"/>
          <w:caps/>
          <w:spacing w:val="0"/>
          <w:sz w:val="22"/>
          <w:szCs w:val="22"/>
          <w:lang w:val="en-GB"/>
        </w:rPr>
      </w:pPr>
      <w:r w:rsidRPr="00C4152C">
        <w:rPr>
          <w:b w:val="0"/>
          <w:caps/>
          <w:sz w:val="22"/>
          <w:szCs w:val="22"/>
          <w:lang w:val="en-GB"/>
        </w:rPr>
        <w:t>keeping a</w:t>
      </w:r>
      <w:r w:rsidR="00C561EF" w:rsidRPr="00C4152C">
        <w:rPr>
          <w:b w:val="0"/>
          <w:caps/>
          <w:sz w:val="22"/>
          <w:szCs w:val="22"/>
          <w:lang w:val="en-GB"/>
        </w:rPr>
        <w:t xml:space="preserve"> GENERAL LEDGER</w:t>
      </w:r>
    </w:p>
    <w:p w:rsidR="00C561EF" w:rsidRPr="00C4152C" w:rsidRDefault="00C561EF" w:rsidP="00C561EF">
      <w:pPr>
        <w:pStyle w:val="Default"/>
        <w:ind w:left="426"/>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4</w:t>
      </w:r>
    </w:p>
    <w:p w:rsidR="00C561EF" w:rsidRPr="00C4152C" w:rsidRDefault="00C561EF" w:rsidP="00C561EF">
      <w:pPr>
        <w:jc w:val="center"/>
        <w:rPr>
          <w:bCs/>
          <w:sz w:val="22"/>
          <w:szCs w:val="22"/>
          <w:lang w:val="en-GB"/>
        </w:rPr>
      </w:pPr>
      <w:r w:rsidRPr="00C4152C">
        <w:rPr>
          <w:sz w:val="22"/>
          <w:szCs w:val="22"/>
          <w:lang w:val="en-GB"/>
        </w:rPr>
        <w:t>(general)</w:t>
      </w:r>
    </w:p>
    <w:p w:rsidR="00C561EF" w:rsidRPr="00C4152C" w:rsidRDefault="00F96884" w:rsidP="00C561EF">
      <w:pPr>
        <w:pStyle w:val="Odstavek"/>
        <w:numPr>
          <w:ilvl w:val="0"/>
          <w:numId w:val="7"/>
        </w:numPr>
        <w:rPr>
          <w:lang w:val="en-GB"/>
        </w:rPr>
      </w:pPr>
      <w:r w:rsidRPr="00C4152C">
        <w:rPr>
          <w:lang w:val="en-GB"/>
        </w:rPr>
        <w:t xml:space="preserve">The bank </w:t>
      </w:r>
      <w:r w:rsidR="00C561EF" w:rsidRPr="00C4152C">
        <w:rPr>
          <w:lang w:val="en-GB"/>
        </w:rPr>
        <w:t xml:space="preserve">shall administer a general ledger via the internal subsidiary account framework or </w:t>
      </w:r>
      <w:r w:rsidR="00AF4EAB" w:rsidRPr="00C4152C">
        <w:rPr>
          <w:lang w:val="en-GB"/>
        </w:rPr>
        <w:t>book</w:t>
      </w:r>
      <w:r w:rsidR="00135214" w:rsidRPr="00C4152C">
        <w:rPr>
          <w:lang w:val="en-GB"/>
        </w:rPr>
        <w:t>k</w:t>
      </w:r>
      <w:r w:rsidR="00AF4EAB" w:rsidRPr="00C4152C">
        <w:rPr>
          <w:lang w:val="en-GB"/>
        </w:rPr>
        <w:t xml:space="preserve">eeping </w:t>
      </w:r>
      <w:r w:rsidR="00C561EF" w:rsidRPr="00C4152C">
        <w:rPr>
          <w:lang w:val="en-GB"/>
        </w:rPr>
        <w:t xml:space="preserve">items from which they can compile a recapitulation of the statement of financial position and the statement of comprehensive income, which is </w:t>
      </w:r>
      <w:r w:rsidR="008B0EB2">
        <w:rPr>
          <w:lang w:val="en-GB"/>
        </w:rPr>
        <w:t>prepared</w:t>
      </w:r>
      <w:r w:rsidR="00C561EF" w:rsidRPr="00C4152C">
        <w:rPr>
          <w:lang w:val="en-GB"/>
        </w:rPr>
        <w:t xml:space="preserve"> in accordance with the methodology set out in Appendix 3 of the Guidelines for implementing the Regulation on reporting by monetary financial institutions of</w:t>
      </w:r>
      <w:r w:rsidR="00B02509">
        <w:rPr>
          <w:lang w:val="en-GB"/>
        </w:rPr>
        <w:t xml:space="preserve"> 5 </w:t>
      </w:r>
      <w:r w:rsidR="00B02509" w:rsidRPr="00BA0E05">
        <w:rPr>
          <w:lang w:val="en-GB"/>
        </w:rPr>
        <w:t>December</w:t>
      </w:r>
      <w:r w:rsidR="00C561EF" w:rsidRPr="00BA0E05">
        <w:rPr>
          <w:lang w:val="en-GB"/>
        </w:rPr>
        <w:t xml:space="preserve"> </w:t>
      </w:r>
      <w:r w:rsidR="00342F7A" w:rsidRPr="00BA0E05">
        <w:t xml:space="preserve">2017, </w:t>
      </w:r>
      <w:r w:rsidR="00C561EF" w:rsidRPr="00BA0E05">
        <w:rPr>
          <w:lang w:val="en-GB"/>
        </w:rPr>
        <w:t>published</w:t>
      </w:r>
      <w:r w:rsidR="00C561EF" w:rsidRPr="00C4152C">
        <w:rPr>
          <w:lang w:val="en-GB"/>
        </w:rPr>
        <w:t xml:space="preserve"> on the Bank of Slovenia website (hereinafter: the guidelines for reporting by MFIs).</w:t>
      </w:r>
    </w:p>
    <w:p w:rsidR="00C561EF" w:rsidRDefault="00F96884" w:rsidP="00C561EF">
      <w:pPr>
        <w:pStyle w:val="Odstavek"/>
        <w:numPr>
          <w:ilvl w:val="0"/>
          <w:numId w:val="7"/>
        </w:numPr>
        <w:rPr>
          <w:lang w:val="en-GB"/>
        </w:rPr>
      </w:pPr>
      <w:r w:rsidRPr="00C4152C">
        <w:rPr>
          <w:lang w:val="en-GB"/>
        </w:rPr>
        <w:t xml:space="preserve">The bank </w:t>
      </w:r>
      <w:r w:rsidR="00C561EF" w:rsidRPr="00C4152C">
        <w:rPr>
          <w:lang w:val="en-GB"/>
        </w:rPr>
        <w:t xml:space="preserve">shall disclose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referred to in the first paragraph of this article in accordance with their content, and in so doing shall, in addition to the regulations referred to in Article 3 of this regulation, take account </w:t>
      </w:r>
      <w:r w:rsidR="00C561EF" w:rsidRPr="00C4152C">
        <w:rPr>
          <w:i/>
          <w:iCs/>
          <w:lang w:val="en-GB"/>
        </w:rPr>
        <w:t xml:space="preserve">mutatis mutandis </w:t>
      </w:r>
      <w:r w:rsidR="00C561EF" w:rsidRPr="00C4152C">
        <w:rPr>
          <w:lang w:val="en-GB"/>
        </w:rPr>
        <w:t xml:space="preserve">of the substantive definition of items, codes and value data of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items with interest rates referred to in the guidelines for reporting by MFIs.</w:t>
      </w:r>
    </w:p>
    <w:p w:rsidR="00A25CF5" w:rsidRDefault="00A25CF5" w:rsidP="005A323D">
      <w:pPr>
        <w:ind w:left="720"/>
        <w:jc w:val="both"/>
        <w:rPr>
          <w:sz w:val="22"/>
          <w:szCs w:val="22"/>
          <w:lang w:val="en-GB"/>
        </w:rPr>
      </w:pPr>
    </w:p>
    <w:p w:rsidR="00263872" w:rsidRPr="005A323D" w:rsidRDefault="00263872" w:rsidP="005A323D">
      <w:pPr>
        <w:ind w:left="720"/>
        <w:jc w:val="both"/>
        <w:rPr>
          <w:sz w:val="22"/>
          <w:szCs w:val="22"/>
          <w:lang w:val="en-GB"/>
        </w:rPr>
      </w:pPr>
    </w:p>
    <w:p w:rsidR="00263872" w:rsidRPr="005A323D" w:rsidRDefault="00263872" w:rsidP="005A323D">
      <w:pPr>
        <w:ind w:left="720"/>
        <w:jc w:val="both"/>
        <w:rPr>
          <w:sz w:val="22"/>
          <w:szCs w:val="22"/>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ANNUAL REPORT AND CONSOLIDATED ANNUAL REPORT</w:t>
      </w:r>
    </w:p>
    <w:p w:rsidR="00C561EF" w:rsidRPr="00C4152C" w:rsidRDefault="00C561EF" w:rsidP="00C561EF">
      <w:pPr>
        <w:pStyle w:val="Default"/>
        <w:ind w:left="426"/>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5</w:t>
      </w:r>
    </w:p>
    <w:p w:rsidR="00C561EF" w:rsidRPr="00C4152C" w:rsidRDefault="00C561EF" w:rsidP="00C561EF">
      <w:pPr>
        <w:jc w:val="center"/>
        <w:rPr>
          <w:bCs/>
          <w:sz w:val="22"/>
          <w:szCs w:val="22"/>
          <w:lang w:val="en-GB"/>
        </w:rPr>
      </w:pPr>
      <w:r w:rsidRPr="00C4152C">
        <w:rPr>
          <w:sz w:val="22"/>
          <w:szCs w:val="22"/>
          <w:lang w:val="en-GB"/>
        </w:rPr>
        <w:t>(general)</w:t>
      </w:r>
    </w:p>
    <w:p w:rsidR="00C561EF" w:rsidRPr="00C4152C" w:rsidRDefault="00962E3A" w:rsidP="00C561EF">
      <w:pPr>
        <w:pStyle w:val="Odstavek"/>
        <w:numPr>
          <w:ilvl w:val="0"/>
          <w:numId w:val="8"/>
        </w:numPr>
        <w:rPr>
          <w:lang w:val="en-GB"/>
        </w:rPr>
      </w:pPr>
      <w:r w:rsidRPr="00C4152C">
        <w:rPr>
          <w:lang w:val="en-GB"/>
        </w:rPr>
        <w:t xml:space="preserve">The bank </w:t>
      </w:r>
      <w:r w:rsidR="00C561EF" w:rsidRPr="00C4152C">
        <w:rPr>
          <w:lang w:val="en-GB"/>
        </w:rPr>
        <w:t xml:space="preserve">shall compile an annual report for the financial year consisting of a financial report and a business report. The financial report shall comprise a statement of financial position, </w:t>
      </w:r>
      <w:r w:rsidR="00C6275F" w:rsidRPr="00C4152C">
        <w:rPr>
          <w:lang w:val="en-GB"/>
        </w:rPr>
        <w:t>a statement of profit or loss</w:t>
      </w:r>
      <w:r w:rsidR="00C561EF" w:rsidRPr="00C4152C">
        <w:rPr>
          <w:lang w:val="en-GB"/>
        </w:rPr>
        <w:t>, a statement of comprehensive income, a statement of cash flows, a statement of changes in equity, and an appendix with notes to the financial statements.</w:t>
      </w:r>
    </w:p>
    <w:p w:rsidR="00C561EF" w:rsidRPr="00C4152C" w:rsidRDefault="00962E3A" w:rsidP="00C561EF">
      <w:pPr>
        <w:pStyle w:val="Odstavek"/>
        <w:numPr>
          <w:ilvl w:val="0"/>
          <w:numId w:val="8"/>
        </w:numPr>
        <w:rPr>
          <w:lang w:val="en-GB"/>
        </w:rPr>
      </w:pPr>
      <w:r w:rsidRPr="00C4152C">
        <w:rPr>
          <w:lang w:val="en-GB"/>
        </w:rPr>
        <w:t xml:space="preserve"> The bank</w:t>
      </w:r>
      <w:r w:rsidR="00C561EF" w:rsidRPr="00C4152C">
        <w:rPr>
          <w:lang w:val="en-GB"/>
        </w:rPr>
        <w:t xml:space="preserve"> shall compile a consolidated annual report for the financial year consisting of a consolidated financial report and a consolidated business report of the </w:t>
      </w:r>
      <w:r w:rsidR="00BF49C9" w:rsidRPr="00C4152C">
        <w:rPr>
          <w:lang w:val="en-GB"/>
        </w:rPr>
        <w:t xml:space="preserve">entities </w:t>
      </w:r>
      <w:r w:rsidR="00C561EF" w:rsidRPr="00C4152C">
        <w:rPr>
          <w:lang w:val="en-GB"/>
        </w:rPr>
        <w:t>included in consolidation. The consolidated financial report shall comprise a consolidated statement of financial position, a consolidated statement</w:t>
      </w:r>
      <w:r w:rsidR="00A62C41" w:rsidRPr="00C4152C">
        <w:rPr>
          <w:lang w:val="en-GB"/>
        </w:rPr>
        <w:t xml:space="preserve"> of profit or loss</w:t>
      </w:r>
      <w:r w:rsidR="00C561EF" w:rsidRPr="00C4152C">
        <w:rPr>
          <w:lang w:val="en-GB"/>
        </w:rPr>
        <w:t xml:space="preserve">, a consolidated statement of comprehensive income, a consolidated statement of cash flows, a consolidated statement of changes in equity, and an appendix with notes to the consolidated financial statements. </w:t>
      </w:r>
    </w:p>
    <w:p w:rsidR="00342F7A" w:rsidRPr="009F37F5" w:rsidRDefault="00C561EF" w:rsidP="009F37F5">
      <w:pPr>
        <w:pStyle w:val="Odstavek"/>
        <w:numPr>
          <w:ilvl w:val="0"/>
          <w:numId w:val="8"/>
        </w:numPr>
        <w:rPr>
          <w:lang w:val="en-GB"/>
        </w:rPr>
      </w:pPr>
      <w:r w:rsidRPr="00C4152C">
        <w:rPr>
          <w:lang w:val="en-GB"/>
        </w:rPr>
        <w:t xml:space="preserve">The annual report and the consolidated annual report shall be approved by </w:t>
      </w:r>
      <w:r w:rsidR="00C74C75">
        <w:rPr>
          <w:lang w:val="en-GB"/>
        </w:rPr>
        <w:t xml:space="preserve">all </w:t>
      </w:r>
      <w:r w:rsidRPr="00C4152C">
        <w:rPr>
          <w:lang w:val="en-GB"/>
        </w:rPr>
        <w:t xml:space="preserve">members of the management board or the board of directors by means of their signatures. </w:t>
      </w:r>
      <w:r w:rsidR="00342F7A">
        <w:rPr>
          <w:lang w:val="en-GB"/>
        </w:rPr>
        <w:t xml:space="preserve">With this signature, members of the management board </w:t>
      </w:r>
      <w:r w:rsidR="00342F7A" w:rsidRPr="00C4152C">
        <w:rPr>
          <w:lang w:val="en-GB"/>
        </w:rPr>
        <w:t>or the board of directors</w:t>
      </w:r>
      <w:r w:rsidR="00342F7A">
        <w:rPr>
          <w:lang w:val="en-GB"/>
        </w:rPr>
        <w:t xml:space="preserve"> </w:t>
      </w:r>
      <w:r w:rsidR="00C00643" w:rsidRPr="00C00643">
        <w:rPr>
          <w:lang w:val="en-GB"/>
        </w:rPr>
        <w:t xml:space="preserve">collectively </w:t>
      </w:r>
      <w:r w:rsidR="00C00643" w:rsidRPr="00283C9E">
        <w:rPr>
          <w:lang w:val="en-GB"/>
        </w:rPr>
        <w:t>confirm</w:t>
      </w:r>
      <w:r w:rsidR="00342F7A" w:rsidRPr="00C00643">
        <w:rPr>
          <w:lang w:val="en-GB"/>
        </w:rPr>
        <w:t xml:space="preserve"> that</w:t>
      </w:r>
      <w:r w:rsidR="00342F7A">
        <w:rPr>
          <w:lang w:val="en-GB"/>
        </w:rPr>
        <w:t xml:space="preserve"> annual reports with all parts</w:t>
      </w:r>
      <w:r w:rsidR="00CF2F2C">
        <w:rPr>
          <w:lang w:val="en-GB"/>
        </w:rPr>
        <w:t>,</w:t>
      </w:r>
      <w:r w:rsidR="00342F7A">
        <w:rPr>
          <w:lang w:val="en-GB"/>
        </w:rPr>
        <w:t xml:space="preserve"> including corporate governance statement and </w:t>
      </w:r>
      <w:r w:rsidR="009F37F5" w:rsidRPr="009F37F5">
        <w:rPr>
          <w:lang w:val="en-GB"/>
        </w:rPr>
        <w:t>non-financial statement</w:t>
      </w:r>
      <w:r w:rsidR="00CF2F2C">
        <w:rPr>
          <w:lang w:val="en-GB"/>
        </w:rPr>
        <w:t>,</w:t>
      </w:r>
      <w:r w:rsidR="009F37F5">
        <w:rPr>
          <w:lang w:val="en-GB"/>
        </w:rPr>
        <w:t xml:space="preserve"> are prepared and published in accordance with </w:t>
      </w:r>
      <w:r w:rsidR="00483C1F">
        <w:rPr>
          <w:lang w:val="en-GB"/>
        </w:rPr>
        <w:t>the re</w:t>
      </w:r>
      <w:r w:rsidR="009F37F5">
        <w:rPr>
          <w:lang w:val="en-GB"/>
        </w:rPr>
        <w:t>g</w:t>
      </w:r>
      <w:r w:rsidR="00483C1F">
        <w:rPr>
          <w:lang w:val="en-GB"/>
        </w:rPr>
        <w:t>u</w:t>
      </w:r>
      <w:r w:rsidR="009F37F5">
        <w:rPr>
          <w:lang w:val="en-GB"/>
        </w:rPr>
        <w:t>lation</w:t>
      </w:r>
      <w:r w:rsidR="00483C1F">
        <w:rPr>
          <w:lang w:val="en-GB"/>
        </w:rPr>
        <w:t>s</w:t>
      </w:r>
      <w:r w:rsidR="009F37F5">
        <w:rPr>
          <w:lang w:val="en-GB"/>
        </w:rPr>
        <w:t xml:space="preserve"> </w:t>
      </w:r>
      <w:r w:rsidR="00483C1F">
        <w:rPr>
          <w:lang w:val="en-GB"/>
        </w:rPr>
        <w:t xml:space="preserve">referred to </w:t>
      </w:r>
      <w:r w:rsidR="009F37F5">
        <w:rPr>
          <w:lang w:val="en-GB"/>
        </w:rPr>
        <w:t xml:space="preserve">in the second </w:t>
      </w:r>
      <w:r w:rsidR="00483C1F">
        <w:rPr>
          <w:lang w:val="en-GB"/>
        </w:rPr>
        <w:t>paragraph of Article 3 of this r</w:t>
      </w:r>
      <w:r w:rsidR="009F37F5">
        <w:rPr>
          <w:lang w:val="en-GB"/>
        </w:rPr>
        <w:t>egulation.</w:t>
      </w:r>
    </w:p>
    <w:p w:rsidR="00C561EF" w:rsidRPr="00C4152C" w:rsidRDefault="00962E3A" w:rsidP="00C561EF">
      <w:pPr>
        <w:pStyle w:val="Odstavek"/>
        <w:numPr>
          <w:ilvl w:val="0"/>
          <w:numId w:val="8"/>
        </w:numPr>
        <w:rPr>
          <w:lang w:val="en-GB"/>
        </w:rPr>
      </w:pPr>
      <w:r w:rsidRPr="00C4152C">
        <w:rPr>
          <w:lang w:val="en-GB"/>
        </w:rPr>
        <w:t xml:space="preserve">The bank </w:t>
      </w:r>
      <w:r w:rsidR="00C561EF" w:rsidRPr="00C4152C">
        <w:rPr>
          <w:lang w:val="en-GB"/>
        </w:rPr>
        <w:t>shall enclose the following in the annual report or the consolidated annual report:</w:t>
      </w:r>
    </w:p>
    <w:p w:rsidR="00C561EF" w:rsidRPr="00C4152C" w:rsidRDefault="00C561EF" w:rsidP="00C561EF">
      <w:pPr>
        <w:pStyle w:val="Odstavek"/>
        <w:numPr>
          <w:ilvl w:val="0"/>
          <w:numId w:val="46"/>
        </w:numPr>
        <w:spacing w:before="0"/>
        <w:rPr>
          <w:lang w:val="en-GB"/>
        </w:rPr>
      </w:pPr>
      <w:r w:rsidRPr="00C4152C">
        <w:rPr>
          <w:lang w:val="en-GB"/>
        </w:rPr>
        <w:t xml:space="preserve">an auditor’s report, </w:t>
      </w:r>
    </w:p>
    <w:p w:rsidR="00C561EF" w:rsidRPr="00C4152C" w:rsidRDefault="00C561EF" w:rsidP="00C561EF">
      <w:pPr>
        <w:pStyle w:val="Odstavek"/>
        <w:numPr>
          <w:ilvl w:val="0"/>
          <w:numId w:val="46"/>
        </w:numPr>
        <w:spacing w:before="0"/>
        <w:rPr>
          <w:lang w:val="en-GB"/>
        </w:rPr>
      </w:pPr>
      <w:r w:rsidRPr="00C4152C">
        <w:rPr>
          <w:lang w:val="en-GB"/>
        </w:rPr>
        <w:t>information about the adoption of the annual report or consolidated annual report by the bank’s governing body,</w:t>
      </w:r>
    </w:p>
    <w:p w:rsidR="00C561EF" w:rsidRPr="00C4152C" w:rsidRDefault="00C561EF" w:rsidP="00C561EF">
      <w:pPr>
        <w:pStyle w:val="Odstavek"/>
        <w:numPr>
          <w:ilvl w:val="0"/>
          <w:numId w:val="46"/>
        </w:numPr>
        <w:spacing w:before="0"/>
        <w:rPr>
          <w:lang w:val="en-GB"/>
        </w:rPr>
      </w:pPr>
      <w:r w:rsidRPr="00C4152C">
        <w:rPr>
          <w:lang w:val="en-GB"/>
        </w:rPr>
        <w:t xml:space="preserve">a proposal for the use of the </w:t>
      </w:r>
      <w:r w:rsidR="00EB68DC" w:rsidRPr="00C4152C">
        <w:rPr>
          <w:lang w:val="en-GB"/>
        </w:rPr>
        <w:t>distributable profit</w:t>
      </w:r>
      <w:r w:rsidRPr="00C4152C">
        <w:rPr>
          <w:lang w:val="en-GB"/>
        </w:rPr>
        <w:t>,</w:t>
      </w:r>
    </w:p>
    <w:p w:rsidR="00C561EF" w:rsidRPr="00C4152C" w:rsidRDefault="00C561EF" w:rsidP="00C561EF">
      <w:pPr>
        <w:pStyle w:val="Odstavek"/>
        <w:numPr>
          <w:ilvl w:val="0"/>
          <w:numId w:val="46"/>
        </w:numPr>
        <w:spacing w:before="0"/>
        <w:rPr>
          <w:lang w:val="en-GB"/>
        </w:rPr>
      </w:pPr>
      <w:r w:rsidRPr="00C4152C">
        <w:rPr>
          <w:lang w:val="en-GB"/>
        </w:rPr>
        <w:t xml:space="preserve">a report on relations with the controlling </w:t>
      </w:r>
      <w:r w:rsidR="00BF49C9" w:rsidRPr="00C4152C">
        <w:rPr>
          <w:lang w:val="en-GB"/>
        </w:rPr>
        <w:t>entity</w:t>
      </w:r>
      <w:r w:rsidRPr="00C4152C">
        <w:rPr>
          <w:lang w:val="en-GB"/>
        </w:rPr>
        <w:t>.</w:t>
      </w:r>
    </w:p>
    <w:p w:rsidR="00C561EF" w:rsidRPr="00C4152C" w:rsidRDefault="00C561EF" w:rsidP="00C561EF">
      <w:pPr>
        <w:pStyle w:val="Odstavek"/>
        <w:spacing w:before="0"/>
        <w:ind w:left="360"/>
        <w:rPr>
          <w:lang w:val="en-GB"/>
        </w:rPr>
      </w:pPr>
    </w:p>
    <w:p w:rsidR="00C561EF" w:rsidRPr="00C4152C" w:rsidRDefault="00C561EF" w:rsidP="00C561EF">
      <w:pPr>
        <w:pStyle w:val="Odstavek"/>
        <w:spacing w:before="0"/>
        <w:ind w:left="360"/>
        <w:rPr>
          <w:lang w:val="en-GB"/>
        </w:rPr>
      </w:pPr>
    </w:p>
    <w:p w:rsidR="00C561EF" w:rsidRPr="00C4152C" w:rsidRDefault="00C561EF" w:rsidP="00C561EF">
      <w:pPr>
        <w:pStyle w:val="Default"/>
        <w:numPr>
          <w:ilvl w:val="0"/>
          <w:numId w:val="26"/>
        </w:numPr>
        <w:jc w:val="center"/>
        <w:rPr>
          <w:color w:val="auto"/>
          <w:sz w:val="22"/>
          <w:szCs w:val="22"/>
          <w:lang w:val="en-GB"/>
        </w:rPr>
      </w:pPr>
      <w:r w:rsidRPr="00C4152C">
        <w:rPr>
          <w:color w:val="auto"/>
          <w:sz w:val="22"/>
          <w:szCs w:val="22"/>
          <w:lang w:val="en-GB"/>
        </w:rPr>
        <w:t>Financial report</w:t>
      </w:r>
    </w:p>
    <w:p w:rsidR="00C561EF" w:rsidRPr="00C4152C" w:rsidRDefault="00C561EF" w:rsidP="00C561EF">
      <w:pPr>
        <w:pStyle w:val="Default"/>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6</w:t>
      </w:r>
    </w:p>
    <w:p w:rsidR="00C561EF" w:rsidRPr="00C4152C" w:rsidRDefault="00C561EF" w:rsidP="00C561EF">
      <w:pPr>
        <w:jc w:val="center"/>
        <w:rPr>
          <w:bCs/>
          <w:sz w:val="22"/>
          <w:szCs w:val="22"/>
          <w:lang w:val="en-GB"/>
        </w:rPr>
      </w:pPr>
      <w:r w:rsidRPr="00C4152C">
        <w:rPr>
          <w:sz w:val="22"/>
          <w:szCs w:val="22"/>
          <w:lang w:val="en-GB"/>
        </w:rPr>
        <w:t xml:space="preserve">(types and </w:t>
      </w:r>
      <w:r w:rsidR="005A430F" w:rsidRPr="00C4152C">
        <w:rPr>
          <w:sz w:val="22"/>
          <w:szCs w:val="22"/>
          <w:lang w:val="en-GB"/>
        </w:rPr>
        <w:t xml:space="preserve">layouts </w:t>
      </w:r>
      <w:r w:rsidRPr="00C4152C">
        <w:rPr>
          <w:sz w:val="22"/>
          <w:szCs w:val="22"/>
          <w:lang w:val="en-GB"/>
        </w:rPr>
        <w:t>of financial statements)</w:t>
      </w:r>
    </w:p>
    <w:p w:rsidR="00C561EF" w:rsidRPr="00C4152C" w:rsidRDefault="00C561EF" w:rsidP="00C561EF">
      <w:pPr>
        <w:pStyle w:val="Odstavek"/>
        <w:numPr>
          <w:ilvl w:val="0"/>
          <w:numId w:val="53"/>
        </w:numPr>
        <w:rPr>
          <w:lang w:val="en-GB"/>
        </w:rPr>
      </w:pPr>
      <w:r w:rsidRPr="00C4152C">
        <w:rPr>
          <w:lang w:val="en-GB"/>
        </w:rPr>
        <w:t xml:space="preserve">The financial statements shall be included by </w:t>
      </w:r>
      <w:r w:rsidR="008450A9" w:rsidRPr="00C4152C">
        <w:rPr>
          <w:lang w:val="en-GB"/>
        </w:rPr>
        <w:t xml:space="preserve">the </w:t>
      </w:r>
      <w:r w:rsidR="00962E3A" w:rsidRPr="00C4152C">
        <w:rPr>
          <w:lang w:val="en-GB"/>
        </w:rPr>
        <w:t xml:space="preserve">bank </w:t>
      </w:r>
      <w:r w:rsidRPr="00C4152C">
        <w:rPr>
          <w:lang w:val="en-GB"/>
        </w:rPr>
        <w:t xml:space="preserve">in the financial report in the prescribed templates given in the appendix to this regulation, which are an integral part of this regulation. The financial statements comprise a statement of financial position, </w:t>
      </w:r>
      <w:r w:rsidR="00A62C41" w:rsidRPr="00C4152C">
        <w:rPr>
          <w:lang w:val="en-GB"/>
        </w:rPr>
        <w:t>a</w:t>
      </w:r>
      <w:r w:rsidRPr="00C4152C">
        <w:rPr>
          <w:lang w:val="en-GB"/>
        </w:rPr>
        <w:t xml:space="preserve"> statement</w:t>
      </w:r>
      <w:r w:rsidR="00A62C41" w:rsidRPr="00C4152C">
        <w:rPr>
          <w:lang w:val="en-GB"/>
        </w:rPr>
        <w:t xml:space="preserve"> of profit or loss</w:t>
      </w:r>
      <w:r w:rsidRPr="00C4152C">
        <w:rPr>
          <w:lang w:val="en-GB"/>
        </w:rPr>
        <w:t>, a statement of comprehensive income, a statement of cash flows (according to Variant I or Variant II) and a statement of changes in equity.</w:t>
      </w:r>
    </w:p>
    <w:p w:rsidR="00C561EF" w:rsidRPr="00C4152C" w:rsidRDefault="00C561EF" w:rsidP="00C561EF">
      <w:pPr>
        <w:pStyle w:val="Odstavek"/>
        <w:numPr>
          <w:ilvl w:val="0"/>
          <w:numId w:val="53"/>
        </w:numPr>
        <w:rPr>
          <w:lang w:val="en-GB"/>
        </w:rPr>
      </w:pPr>
      <w:r w:rsidRPr="00C4152C">
        <w:rPr>
          <w:lang w:val="en-GB"/>
        </w:rPr>
        <w:t xml:space="preserve">Items of the income statement may be included by </w:t>
      </w:r>
      <w:r w:rsidR="00962E3A" w:rsidRPr="00C4152C">
        <w:rPr>
          <w:lang w:val="en-GB"/>
        </w:rPr>
        <w:t xml:space="preserve">the bank </w:t>
      </w:r>
      <w:r w:rsidRPr="00C4152C">
        <w:rPr>
          <w:lang w:val="en-GB"/>
        </w:rPr>
        <w:t xml:space="preserve">in the financial report in a statement of comprehensive income instead of an income statement.  </w:t>
      </w:r>
    </w:p>
    <w:p w:rsidR="00C561EF" w:rsidRPr="00C4152C" w:rsidRDefault="00C561EF" w:rsidP="00C561EF">
      <w:pPr>
        <w:pStyle w:val="Odstavek"/>
        <w:numPr>
          <w:ilvl w:val="0"/>
          <w:numId w:val="53"/>
        </w:numPr>
        <w:rPr>
          <w:lang w:val="en-GB"/>
        </w:rPr>
      </w:pPr>
      <w:r w:rsidRPr="00C4152C">
        <w:rPr>
          <w:lang w:val="en-GB"/>
        </w:rPr>
        <w:t xml:space="preserve">The content of individual items and the method for compiling the financial statements are defined by the IFRS and this regulation. </w:t>
      </w:r>
    </w:p>
    <w:p w:rsidR="00263872" w:rsidRDefault="00263872" w:rsidP="00C561EF">
      <w:pPr>
        <w:pStyle w:val="Default"/>
        <w:ind w:left="426"/>
        <w:jc w:val="both"/>
        <w:rPr>
          <w:color w:val="auto"/>
          <w:sz w:val="22"/>
          <w:szCs w:val="22"/>
          <w:lang w:val="en-GB"/>
        </w:rPr>
      </w:pPr>
    </w:p>
    <w:p w:rsidR="005A323D" w:rsidRDefault="005A323D" w:rsidP="00C561EF">
      <w:pPr>
        <w:pStyle w:val="Default"/>
        <w:ind w:left="426"/>
        <w:jc w:val="both"/>
        <w:rPr>
          <w:color w:val="auto"/>
          <w:sz w:val="22"/>
          <w:szCs w:val="22"/>
          <w:lang w:val="en-GB"/>
        </w:rPr>
      </w:pPr>
    </w:p>
    <w:p w:rsidR="005A323D" w:rsidRPr="00C4152C" w:rsidRDefault="00C561EF" w:rsidP="00B80689">
      <w:pPr>
        <w:ind w:left="284"/>
        <w:jc w:val="center"/>
        <w:rPr>
          <w:bCs/>
          <w:sz w:val="22"/>
          <w:szCs w:val="22"/>
          <w:lang w:val="en-GB"/>
        </w:rPr>
      </w:pPr>
      <w:r w:rsidRPr="00C4152C">
        <w:rPr>
          <w:sz w:val="22"/>
          <w:szCs w:val="22"/>
          <w:lang w:val="en-GB"/>
        </w:rPr>
        <w:t>Article 7</w:t>
      </w:r>
    </w:p>
    <w:p w:rsidR="00C561EF" w:rsidRPr="00C4152C" w:rsidRDefault="00C561EF" w:rsidP="00C561EF">
      <w:pPr>
        <w:jc w:val="center"/>
        <w:rPr>
          <w:bCs/>
          <w:sz w:val="22"/>
          <w:szCs w:val="22"/>
          <w:lang w:val="en-GB"/>
        </w:rPr>
      </w:pPr>
      <w:r w:rsidRPr="00C4152C">
        <w:rPr>
          <w:sz w:val="22"/>
          <w:szCs w:val="22"/>
          <w:lang w:val="en-GB"/>
        </w:rPr>
        <w:t>(compilation of financial statements)</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financial position on the basis of data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with interest rates and the methodology prescribed by the Bank of Slovenia via guidelines published on its website. </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income statement on the basis of accounting data on </w:t>
      </w:r>
      <w:r w:rsidR="00D5546E" w:rsidRPr="00C4152C">
        <w:rPr>
          <w:lang w:val="en-GB"/>
        </w:rPr>
        <w:t xml:space="preserve">income </w:t>
      </w:r>
      <w:r w:rsidR="00C561EF" w:rsidRPr="00C4152C">
        <w:rPr>
          <w:lang w:val="en-GB"/>
        </w:rPr>
        <w:t xml:space="preserve">and expenses included in profit or loss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items with interest rates and the methodology prescribed by the Bank of Slovenia via guidelines published on its website.</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comprehensive income itemised into net profit </w:t>
      </w:r>
      <w:r w:rsidR="0021028C" w:rsidRPr="00C4152C">
        <w:rPr>
          <w:lang w:val="en-GB"/>
        </w:rPr>
        <w:t xml:space="preserve">or loss </w:t>
      </w:r>
      <w:r w:rsidR="00C561EF" w:rsidRPr="00C4152C">
        <w:rPr>
          <w:lang w:val="en-GB"/>
        </w:rPr>
        <w:t xml:space="preserve">during the accounting period and </w:t>
      </w:r>
      <w:r w:rsidR="00D5546E" w:rsidRPr="00C4152C">
        <w:rPr>
          <w:lang w:val="en-GB"/>
        </w:rPr>
        <w:t xml:space="preserve">income </w:t>
      </w:r>
      <w:r w:rsidR="00C561EF" w:rsidRPr="00C4152C">
        <w:rPr>
          <w:lang w:val="en-GB"/>
        </w:rPr>
        <w:t xml:space="preserve">and expenses included in other comprehensive income, separately itemised into items that will not be </w:t>
      </w:r>
      <w:r w:rsidR="00E86866" w:rsidRPr="00C4152C">
        <w:rPr>
          <w:lang w:val="en-GB"/>
        </w:rPr>
        <w:t xml:space="preserve">reclassified </w:t>
      </w:r>
      <w:r w:rsidR="00C561EF" w:rsidRPr="00C4152C">
        <w:rPr>
          <w:lang w:val="en-GB"/>
        </w:rPr>
        <w:t xml:space="preserve">to profit or loss and items that </w:t>
      </w:r>
      <w:r w:rsidR="00E260C2" w:rsidRPr="00C4152C">
        <w:rPr>
          <w:lang w:val="en-GB"/>
        </w:rPr>
        <w:t xml:space="preserve">may </w:t>
      </w:r>
      <w:r w:rsidR="00C561EF" w:rsidRPr="00C4152C">
        <w:rPr>
          <w:lang w:val="en-GB"/>
        </w:rPr>
        <w:t xml:space="preserve">subsequently be </w:t>
      </w:r>
      <w:r w:rsidR="00E86866" w:rsidRPr="00C4152C">
        <w:rPr>
          <w:lang w:val="en-GB"/>
        </w:rPr>
        <w:t xml:space="preserve">reclassified </w:t>
      </w:r>
      <w:r w:rsidR="00C561EF" w:rsidRPr="00C4152C">
        <w:rPr>
          <w:lang w:val="en-GB"/>
        </w:rPr>
        <w:t xml:space="preserve">to profit or loss, in the manner proceeding from the template of the statement of comprehensive income, on the basis of </w:t>
      </w:r>
      <w:r w:rsidR="00FD07DC" w:rsidRPr="00C4152C">
        <w:rPr>
          <w:lang w:val="en-GB"/>
        </w:rPr>
        <w:t xml:space="preserve">bookkeeping </w:t>
      </w:r>
      <w:r w:rsidR="00C561EF" w:rsidRPr="00C4152C">
        <w:rPr>
          <w:lang w:val="en-GB"/>
        </w:rPr>
        <w:t xml:space="preserve">data on </w:t>
      </w:r>
      <w:r w:rsidR="00D5546E" w:rsidRPr="00C4152C">
        <w:rPr>
          <w:lang w:val="en-GB"/>
        </w:rPr>
        <w:t xml:space="preserve">income </w:t>
      </w:r>
      <w:r w:rsidR="00C561EF" w:rsidRPr="00C4152C">
        <w:rPr>
          <w:lang w:val="en-GB"/>
        </w:rPr>
        <w:t xml:space="preserve">and expenses included </w:t>
      </w:r>
      <w:r w:rsidR="00742BF8" w:rsidRPr="00C4152C">
        <w:rPr>
          <w:lang w:val="en-GB"/>
        </w:rPr>
        <w:t>in profit or loss and</w:t>
      </w:r>
      <w:r w:rsidR="00C561EF" w:rsidRPr="00C4152C">
        <w:rPr>
          <w:lang w:val="en-GB"/>
        </w:rPr>
        <w:t xml:space="preserve"> other comprehensive income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with interest rates and the methodology prescribed by the Bank of Slovenia via guidelines published on its website. Should a bank include items of profit or loss referred to in the second paragraph of this article in a statement of comprehensive income instead of </w:t>
      </w:r>
      <w:r w:rsidR="0021028C" w:rsidRPr="00C4152C">
        <w:rPr>
          <w:lang w:val="en-GB"/>
        </w:rPr>
        <w:t>a</w:t>
      </w:r>
      <w:r w:rsidR="00C561EF" w:rsidRPr="00C4152C">
        <w:rPr>
          <w:lang w:val="en-GB"/>
        </w:rPr>
        <w:t xml:space="preserve"> statement</w:t>
      </w:r>
      <w:r w:rsidR="0021028C" w:rsidRPr="00C4152C">
        <w:rPr>
          <w:lang w:val="en-GB"/>
        </w:rPr>
        <w:t xml:space="preserve"> of profit or loss</w:t>
      </w:r>
      <w:r w:rsidR="00C561EF" w:rsidRPr="00C4152C">
        <w:rPr>
          <w:lang w:val="en-GB"/>
        </w:rPr>
        <w:t>, it shall enter them before Item 1 NET PROFIT (LOSS) FOR THE FINANCIAL YEAR in the statement of comprehensive income, with the exception of the indicators “</w:t>
      </w:r>
      <w:r w:rsidR="00995F7D" w:rsidRPr="00C4152C">
        <w:rPr>
          <w:lang w:val="en-GB"/>
        </w:rPr>
        <w:t xml:space="preserve">Basic </w:t>
      </w:r>
      <w:r w:rsidR="00C561EF" w:rsidRPr="00C4152C">
        <w:rPr>
          <w:lang w:val="en-GB"/>
        </w:rPr>
        <w:t xml:space="preserve">earnings per share” and “Diluted earnings per share”, which shall be included after Item 5 </w:t>
      </w:r>
      <w:r w:rsidR="00AD71AD" w:rsidRPr="00C4152C">
        <w:rPr>
          <w:lang w:val="en-GB"/>
        </w:rPr>
        <w:t xml:space="preserve">TOTAL </w:t>
      </w:r>
      <w:r w:rsidR="00C561EF" w:rsidRPr="00C4152C">
        <w:rPr>
          <w:lang w:val="en-GB"/>
        </w:rPr>
        <w:t xml:space="preserve">COMPREHENSIVE INCOME FOR THE FINANCIAL YEAR AFTER TAX, the bank renumbering the items in the template as appropriate. In the case referred to in the previous </w:t>
      </w:r>
      <w:r w:rsidR="00FD07DC" w:rsidRPr="00C4152C">
        <w:rPr>
          <w:lang w:val="en-GB"/>
        </w:rPr>
        <w:t xml:space="preserve">sentence </w:t>
      </w:r>
      <w:r w:rsidR="00C561EF" w:rsidRPr="00C4152C">
        <w:rPr>
          <w:lang w:val="en-GB"/>
        </w:rPr>
        <w:t>the bank may itemise in greater detail the items of the statement of comprehensive income that relate to individual components of accumulated other comprehensive income (Items 4.1.1, 4.1.2, 4.1.3, 4.1.4, 4.2.1, 4.2.2, 4.2.3, 4.3.1, 4.3.2</w:t>
      </w:r>
      <w:r w:rsidR="00C00643">
        <w:rPr>
          <w:lang w:val="en-GB"/>
        </w:rPr>
        <w:t xml:space="preserve">, </w:t>
      </w:r>
      <w:r w:rsidR="00C561EF" w:rsidRPr="00C4152C">
        <w:rPr>
          <w:lang w:val="en-GB"/>
        </w:rPr>
        <w:t>4.3.3</w:t>
      </w:r>
      <w:r w:rsidR="00C00643">
        <w:rPr>
          <w:lang w:val="en-GB"/>
        </w:rPr>
        <w:t xml:space="preserve">, </w:t>
      </w:r>
      <w:r w:rsidR="00C00643">
        <w:t xml:space="preserve">4.4.1, 4.4.2 </w:t>
      </w:r>
      <w:r w:rsidR="00C00643" w:rsidRPr="005A323D">
        <w:rPr>
          <w:lang w:val="en-GB"/>
        </w:rPr>
        <w:t>and 4</w:t>
      </w:r>
      <w:r w:rsidR="00C00643">
        <w:t>.4.3</w:t>
      </w:r>
      <w:r w:rsidR="00C561EF" w:rsidRPr="00C4152C">
        <w:rPr>
          <w:lang w:val="en-GB"/>
        </w:rPr>
        <w:t>), instead of disclosing them in the notes to statement of comprehensive income.</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itemise the statement of cash flows into cash flows from operating activities, cash flows from investing activities and cash flows from financing activities. </w:t>
      </w:r>
      <w:r w:rsidRPr="00C4152C">
        <w:rPr>
          <w:lang w:val="en-GB"/>
        </w:rPr>
        <w:t xml:space="preserve">The bank </w:t>
      </w:r>
      <w:r w:rsidR="00C561EF" w:rsidRPr="00C4152C">
        <w:rPr>
          <w:lang w:val="en-GB"/>
        </w:rPr>
        <w:t xml:space="preserve">shall compile the statement of cash flows according to Variant I or Variant II in a manner proceeding from the template of the statement of cash flows appended to this regulation: </w:t>
      </w:r>
    </w:p>
    <w:p w:rsidR="00C561EF" w:rsidRPr="00C4152C" w:rsidRDefault="00C561EF" w:rsidP="00C561EF">
      <w:pPr>
        <w:pStyle w:val="Odstavek"/>
        <w:numPr>
          <w:ilvl w:val="0"/>
          <w:numId w:val="16"/>
        </w:numPr>
        <w:tabs>
          <w:tab w:val="clear" w:pos="4500"/>
        </w:tabs>
        <w:spacing w:before="0"/>
        <w:ind w:left="0"/>
        <w:rPr>
          <w:lang w:val="en-GB"/>
        </w:rPr>
      </w:pPr>
      <w:r w:rsidRPr="00C4152C">
        <w:rPr>
          <w:lang w:val="en-GB"/>
        </w:rPr>
        <w:t xml:space="preserve">in Variant I of the statement of cash flows </w:t>
      </w:r>
      <w:r w:rsidR="00962E3A" w:rsidRPr="00C4152C">
        <w:rPr>
          <w:lang w:val="en-GB"/>
        </w:rPr>
        <w:t xml:space="preserve">the bank </w:t>
      </w:r>
      <w:r w:rsidRPr="00C4152C">
        <w:rPr>
          <w:lang w:val="en-GB"/>
        </w:rPr>
        <w:t>use the direct method for the disclosure of cash flows from operating activities, such that the relevant items from the statement</w:t>
      </w:r>
      <w:r w:rsidR="0021028C" w:rsidRPr="00C4152C">
        <w:rPr>
          <w:lang w:val="en-GB"/>
        </w:rPr>
        <w:t xml:space="preserve"> of profit or loss</w:t>
      </w:r>
      <w:r w:rsidRPr="00C4152C">
        <w:rPr>
          <w:lang w:val="en-GB"/>
        </w:rPr>
        <w:t xml:space="preserve"> are supplemented with </w:t>
      </w:r>
      <w:r w:rsidR="00920428" w:rsidRPr="00C4152C">
        <w:rPr>
          <w:lang w:val="en-GB"/>
        </w:rPr>
        <w:t xml:space="preserve">cash </w:t>
      </w:r>
      <w:r w:rsidRPr="00C4152C">
        <w:rPr>
          <w:lang w:val="en-GB"/>
        </w:rPr>
        <w:t xml:space="preserve">receipts and </w:t>
      </w:r>
      <w:r w:rsidR="00920428" w:rsidRPr="00C4152C">
        <w:rPr>
          <w:lang w:val="en-GB"/>
        </w:rPr>
        <w:t>cash payments</w:t>
      </w:r>
      <w:r w:rsidRPr="00C4152C">
        <w:rPr>
          <w:lang w:val="en-GB"/>
        </w:rPr>
        <w:t xml:space="preserve"> or changes in assets and liabilities associated with operating activities in the period for which the statement of cash flows is being compiled;  </w:t>
      </w:r>
    </w:p>
    <w:p w:rsidR="00C561EF" w:rsidRPr="00C4152C" w:rsidRDefault="00C561EF" w:rsidP="00C561EF">
      <w:pPr>
        <w:pStyle w:val="Odstavek"/>
        <w:numPr>
          <w:ilvl w:val="0"/>
          <w:numId w:val="16"/>
        </w:numPr>
        <w:tabs>
          <w:tab w:val="clear" w:pos="4500"/>
        </w:tabs>
        <w:spacing w:before="0"/>
        <w:ind w:left="0"/>
        <w:rPr>
          <w:lang w:val="en-GB"/>
        </w:rPr>
      </w:pPr>
      <w:r w:rsidRPr="00C4152C">
        <w:rPr>
          <w:lang w:val="en-GB"/>
        </w:rPr>
        <w:t xml:space="preserve">in Variant II of the statement of cash flows </w:t>
      </w:r>
      <w:r w:rsidR="00962E3A" w:rsidRPr="00C4152C">
        <w:rPr>
          <w:lang w:val="en-GB"/>
        </w:rPr>
        <w:t xml:space="preserve">the bank </w:t>
      </w:r>
      <w:r w:rsidRPr="00C4152C">
        <w:rPr>
          <w:lang w:val="en-GB"/>
        </w:rPr>
        <w:t xml:space="preserve">use the indirect method for the disclosure of cash flows from operating activities, such that the pre-tax profit is adjusted for effects not relating to cash flows from operating activities </w:t>
      </w:r>
      <w:r w:rsidR="00D5546E" w:rsidRPr="00C4152C">
        <w:rPr>
          <w:lang w:val="en-GB"/>
        </w:rPr>
        <w:t xml:space="preserve">income </w:t>
      </w:r>
      <w:r w:rsidRPr="00C4152C">
        <w:rPr>
          <w:lang w:val="en-GB"/>
        </w:rPr>
        <w:t xml:space="preserve">and for unrealised effects from operating activities, and is supplemented by changes in assets and liabilities associated with operating activities in the period for which the statement of cash flows is being compiled; </w:t>
      </w:r>
    </w:p>
    <w:p w:rsidR="00C561EF" w:rsidRPr="00C4152C" w:rsidRDefault="00962E3A" w:rsidP="00C561EF">
      <w:pPr>
        <w:pStyle w:val="Odstavek"/>
        <w:numPr>
          <w:ilvl w:val="0"/>
          <w:numId w:val="16"/>
        </w:numPr>
        <w:tabs>
          <w:tab w:val="clear" w:pos="4500"/>
        </w:tabs>
        <w:spacing w:before="0"/>
        <w:ind w:left="0"/>
        <w:rPr>
          <w:lang w:val="en-GB"/>
        </w:rPr>
      </w:pPr>
      <w:r w:rsidRPr="00C4152C">
        <w:rPr>
          <w:lang w:val="en-GB"/>
        </w:rPr>
        <w:t xml:space="preserve">the bank </w:t>
      </w:r>
      <w:r w:rsidR="00C561EF" w:rsidRPr="00C4152C">
        <w:rPr>
          <w:lang w:val="en-GB"/>
        </w:rPr>
        <w:t xml:space="preserve">use the direct method for disclosing cash flows from investing activities and cash flows from financing activities, irrespective of the chosen variant of the statement of cash flows; </w:t>
      </w:r>
    </w:p>
    <w:p w:rsidR="00C561EF" w:rsidRPr="00C4152C" w:rsidRDefault="00962E3A" w:rsidP="00C561EF">
      <w:pPr>
        <w:pStyle w:val="Odstavek"/>
        <w:numPr>
          <w:ilvl w:val="0"/>
          <w:numId w:val="16"/>
        </w:numPr>
        <w:tabs>
          <w:tab w:val="clear" w:pos="4500"/>
        </w:tabs>
        <w:spacing w:before="0"/>
        <w:ind w:left="0"/>
        <w:rPr>
          <w:lang w:val="en-GB"/>
        </w:rPr>
      </w:pPr>
      <w:r w:rsidRPr="00C4152C">
        <w:rPr>
          <w:lang w:val="en-GB"/>
        </w:rPr>
        <w:t xml:space="preserve">the bank </w:t>
      </w:r>
      <w:r w:rsidR="00C561EF" w:rsidRPr="00C4152C">
        <w:rPr>
          <w:lang w:val="en-GB"/>
        </w:rPr>
        <w:t xml:space="preserve">take account of cash equivalents in the statement of cash flows in accordance with their accounting policies. Financial assets whose maturity is no more than three months from the date of purchase are generally classed as cash equivalents. </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changes in equity by entering the </w:t>
      </w:r>
      <w:r w:rsidR="004C21AA" w:rsidRPr="00C4152C">
        <w:rPr>
          <w:lang w:val="en-GB"/>
        </w:rPr>
        <w:t xml:space="preserve">balance </w:t>
      </w:r>
      <w:r w:rsidR="00C561EF" w:rsidRPr="00C4152C">
        <w:rPr>
          <w:lang w:val="en-GB"/>
        </w:rPr>
        <w:t xml:space="preserve">of individual </w:t>
      </w:r>
      <w:r w:rsidR="005E5443" w:rsidRPr="00C4152C">
        <w:rPr>
          <w:lang w:val="en-GB"/>
        </w:rPr>
        <w:t xml:space="preserve">components </w:t>
      </w:r>
      <w:r w:rsidR="00C561EF" w:rsidRPr="00C4152C">
        <w:rPr>
          <w:lang w:val="en-GB"/>
        </w:rPr>
        <w:t xml:space="preserve">of equity from the previous financial year, the amounts of changes in individual </w:t>
      </w:r>
      <w:r w:rsidR="005E5443" w:rsidRPr="00C4152C">
        <w:rPr>
          <w:lang w:val="en-GB"/>
        </w:rPr>
        <w:t xml:space="preserve">components </w:t>
      </w:r>
      <w:r w:rsidR="00C561EF" w:rsidRPr="00C4152C">
        <w:rPr>
          <w:lang w:val="en-GB"/>
        </w:rPr>
        <w:t xml:space="preserve">of equity in the accounting period, including the use of the net profit and the coverage of loss in the accounting period, and the </w:t>
      </w:r>
      <w:r w:rsidR="004C21AA" w:rsidRPr="00C4152C">
        <w:rPr>
          <w:lang w:val="en-GB"/>
        </w:rPr>
        <w:t xml:space="preserve">balance </w:t>
      </w:r>
      <w:r w:rsidR="00C561EF" w:rsidRPr="00C4152C">
        <w:rPr>
          <w:lang w:val="en-GB"/>
        </w:rPr>
        <w:t xml:space="preserve">of individual </w:t>
      </w:r>
      <w:r w:rsidR="005E5443" w:rsidRPr="00C4152C">
        <w:rPr>
          <w:lang w:val="en-GB"/>
        </w:rPr>
        <w:t xml:space="preserve">components </w:t>
      </w:r>
      <w:r w:rsidR="00C561EF" w:rsidRPr="00C4152C">
        <w:rPr>
          <w:lang w:val="en-GB"/>
        </w:rPr>
        <w:t xml:space="preserve">of equity at the end of the accounting period. In an additional row </w:t>
      </w:r>
      <w:r w:rsidRPr="00C4152C">
        <w:rPr>
          <w:lang w:val="en-GB"/>
        </w:rPr>
        <w:t xml:space="preserve">the bank </w:t>
      </w:r>
      <w:r w:rsidR="00C561EF" w:rsidRPr="00C4152C">
        <w:rPr>
          <w:lang w:val="en-GB"/>
        </w:rPr>
        <w:t xml:space="preserve">shall also disclose the amounts across individual </w:t>
      </w:r>
      <w:r w:rsidR="005E5443" w:rsidRPr="00C4152C">
        <w:rPr>
          <w:lang w:val="en-GB"/>
        </w:rPr>
        <w:t xml:space="preserve">components </w:t>
      </w:r>
      <w:r w:rsidR="00C561EF" w:rsidRPr="00C4152C">
        <w:rPr>
          <w:lang w:val="en-GB"/>
        </w:rPr>
        <w:t>of equity from which the distributable profit or distributable loss for the accounting period for which the statement of changes in equity is being compiled is composed, should this not already be included among the notes to the statement of financial position in the notes to the financial statements.</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enter the data from the audited financial statements of the previous financial year in the columns in the financial statements designated for amounts from the previous year. </w:t>
      </w:r>
      <w:r w:rsidRPr="00C4152C">
        <w:rPr>
          <w:lang w:val="en-GB"/>
        </w:rPr>
        <w:t xml:space="preserve">The bank </w:t>
      </w:r>
      <w:r w:rsidR="00C561EF" w:rsidRPr="00C4152C">
        <w:rPr>
          <w:lang w:val="en-GB"/>
        </w:rPr>
        <w:t>may add columns for earlier financial years in the financial statements after the column for the previous year, and may add notes for the comparative periods in the notes to the financial statements.</w:t>
      </w:r>
    </w:p>
    <w:p w:rsidR="00C561EF" w:rsidRPr="00C4152C" w:rsidRDefault="00C561EF" w:rsidP="00C561EF">
      <w:pPr>
        <w:pStyle w:val="Odstavek"/>
        <w:numPr>
          <w:ilvl w:val="0"/>
          <w:numId w:val="9"/>
        </w:numPr>
        <w:rPr>
          <w:lang w:val="en-GB"/>
        </w:rPr>
      </w:pPr>
      <w:r w:rsidRPr="00C4152C">
        <w:rPr>
          <w:lang w:val="en-GB"/>
        </w:rPr>
        <w:t>When a bank applies accounting policies retrospectively or restates or reclassifies individual items in the financial statements, it shall also adjust the amounts from the previous year or earlier years as appropriate to make them comparable with the amounts from the financial year in question</w:t>
      </w:r>
      <w:r w:rsidR="00483C1F">
        <w:rPr>
          <w:lang w:val="en-GB"/>
        </w:rPr>
        <w:t>,</w:t>
      </w:r>
      <w:r w:rsidR="00483C1F" w:rsidRPr="00483C1F">
        <w:rPr>
          <w:lang w:val="en-GB"/>
        </w:rPr>
        <w:t xml:space="preserve"> unless otherwise </w:t>
      </w:r>
      <w:r w:rsidR="00483C1F">
        <w:rPr>
          <w:lang w:val="en-GB"/>
        </w:rPr>
        <w:t>determined</w:t>
      </w:r>
      <w:r w:rsidR="00483C1F" w:rsidRPr="00483C1F">
        <w:rPr>
          <w:lang w:val="en-GB"/>
        </w:rPr>
        <w:t xml:space="preserve"> </w:t>
      </w:r>
      <w:r w:rsidR="00483C1F">
        <w:rPr>
          <w:lang w:val="en-GB"/>
        </w:rPr>
        <w:t>by IFRS</w:t>
      </w:r>
      <w:r w:rsidRPr="00C4152C">
        <w:rPr>
          <w:lang w:val="en-GB"/>
        </w:rPr>
        <w:t>. In the case referred to in the previous sentence the bank shall also add a column for the beginning of the first comparative period to which the change in question relates after the amount from the previous year or an earlier year in the statement of financial position, and notes for this comparative period in the notes to the statement of financial position.</w:t>
      </w:r>
    </w:p>
    <w:p w:rsidR="00C561EF" w:rsidRPr="00C4152C" w:rsidRDefault="00C561EF" w:rsidP="00C561EF">
      <w:pPr>
        <w:pStyle w:val="Odstavek"/>
        <w:numPr>
          <w:ilvl w:val="0"/>
          <w:numId w:val="9"/>
        </w:numPr>
        <w:rPr>
          <w:lang w:val="en-GB"/>
        </w:rPr>
      </w:pPr>
      <w:r w:rsidRPr="00C4152C">
        <w:rPr>
          <w:lang w:val="en-GB"/>
        </w:rPr>
        <w:t>When a bank is using the enclosed templates of financial statements for the purposes of interim reporting, it shall enter data for the following periods:</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in the statement of financial position, data as at the end of the interim period (quarter, half-year) in question, and as at the end of the previous financial year;</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 xml:space="preserve">in the statement </w:t>
      </w:r>
      <w:r w:rsidR="0021028C" w:rsidRPr="00C4152C">
        <w:rPr>
          <w:lang w:val="en-GB"/>
        </w:rPr>
        <w:t xml:space="preserve">of profit or loss </w:t>
      </w:r>
      <w:r w:rsidRPr="00C4152C">
        <w:rPr>
          <w:lang w:val="en-GB"/>
        </w:rPr>
        <w:t xml:space="preserve">and the statement of comprehensive income, data for the interim period in question and cumulative data for the financial year in question until the given date, and data for comparable interim periods of the previous financial year (for example, in quarterly reporting this means data for the last quarter, cumulative data for the period from the beginning of the financial year to the end of the quarter in question, and data for the same period of the previous financial year); </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in the statement of cash flows and the statement of changes in equity, cumulative data for the financial year in question until the given date, and data for the comparable period of the previous financial year.</w:t>
      </w:r>
    </w:p>
    <w:p w:rsidR="00C561EF" w:rsidRPr="00C4152C" w:rsidRDefault="00C561EF" w:rsidP="00C561EF">
      <w:pPr>
        <w:pStyle w:val="Odstavek"/>
        <w:numPr>
          <w:ilvl w:val="0"/>
          <w:numId w:val="9"/>
        </w:numPr>
        <w:rPr>
          <w:lang w:val="en-GB"/>
        </w:rPr>
      </w:pPr>
      <w:r w:rsidRPr="00C4152C">
        <w:rPr>
          <w:lang w:val="en-GB"/>
        </w:rPr>
        <w:t>The amounts in the financial statements shall be entered in thousands of euros.</w:t>
      </w:r>
    </w:p>
    <w:p w:rsidR="00C561EF" w:rsidRPr="00C4152C" w:rsidRDefault="00C561EF" w:rsidP="00C561EF">
      <w:pPr>
        <w:pStyle w:val="Odstavek"/>
        <w:numPr>
          <w:ilvl w:val="0"/>
          <w:numId w:val="9"/>
        </w:numPr>
        <w:tabs>
          <w:tab w:val="left" w:pos="851"/>
        </w:tabs>
        <w:rPr>
          <w:lang w:val="en-GB"/>
        </w:rPr>
      </w:pPr>
      <w:r w:rsidRPr="00C4152C">
        <w:rPr>
          <w:lang w:val="en-GB"/>
        </w:rPr>
        <w:t>There shall be no need to disclose items in the financial statements where the amount is zero, except where necessary for comparison with the amount in the previous financial year. Items that ar</w:t>
      </w:r>
      <w:r w:rsidR="00742BF8" w:rsidRPr="00C4152C">
        <w:rPr>
          <w:lang w:val="en-GB"/>
        </w:rPr>
        <w:t>e not material to a true and fair view of the bank’s financial position, profit</w:t>
      </w:r>
      <w:r w:rsidR="00F521B8" w:rsidRPr="00C4152C">
        <w:rPr>
          <w:lang w:val="en-GB"/>
        </w:rPr>
        <w:t xml:space="preserve"> or loss</w:t>
      </w:r>
      <w:r w:rsidR="00742BF8" w:rsidRPr="00C4152C">
        <w:rPr>
          <w:lang w:val="en-GB"/>
        </w:rPr>
        <w:t xml:space="preserve"> and comprehensive income may be combined.</w:t>
      </w:r>
    </w:p>
    <w:p w:rsidR="00C561EF" w:rsidRPr="00C4152C" w:rsidRDefault="00C561EF" w:rsidP="00C561EF">
      <w:pPr>
        <w:pStyle w:val="Odstavek"/>
        <w:numPr>
          <w:ilvl w:val="0"/>
          <w:numId w:val="9"/>
        </w:numPr>
        <w:tabs>
          <w:tab w:val="left" w:pos="851"/>
        </w:tabs>
        <w:rPr>
          <w:lang w:val="en-GB"/>
        </w:rPr>
      </w:pPr>
      <w:r w:rsidRPr="00C4152C">
        <w:rPr>
          <w:lang w:val="en-GB"/>
        </w:rPr>
        <w:t>Additional rows may be added to the templates of the financial statements in exceptional cases, for example business combinations, where such presentation of information is set out by the IFRS. In the insertion of additional rows into the templates of the statement of financial position and the statement</w:t>
      </w:r>
      <w:r w:rsidR="00BA0074" w:rsidRPr="00C4152C">
        <w:rPr>
          <w:lang w:val="en-GB"/>
        </w:rPr>
        <w:t xml:space="preserve"> of profit or loss</w:t>
      </w:r>
      <w:r w:rsidRPr="00C4152C">
        <w:rPr>
          <w:lang w:val="en-GB"/>
        </w:rPr>
        <w:t xml:space="preserve">, the </w:t>
      </w:r>
      <w:r w:rsidR="000028FF" w:rsidRPr="00C4152C">
        <w:rPr>
          <w:lang w:val="en-GB"/>
        </w:rPr>
        <w:t xml:space="preserve">layout </w:t>
      </w:r>
      <w:r w:rsidRPr="00C4152C">
        <w:rPr>
          <w:lang w:val="en-GB"/>
        </w:rPr>
        <w:t xml:space="preserve">set out by the methodology for compiling the statement of financial position and the statement </w:t>
      </w:r>
      <w:r w:rsidR="00BA0074" w:rsidRPr="00C4152C">
        <w:rPr>
          <w:lang w:val="en-GB"/>
        </w:rPr>
        <w:t xml:space="preserve">of profit or loss </w:t>
      </w:r>
      <w:r w:rsidRPr="00C4152C">
        <w:rPr>
          <w:lang w:val="en-GB"/>
        </w:rPr>
        <w:t>prescribed by the guidelines referred to in the first and second paragraphs of this article shall be taken into account.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bCs/>
          <w:lang w:val="en-GB"/>
        </w:rPr>
      </w:pPr>
    </w:p>
    <w:p w:rsidR="00C561EF" w:rsidRPr="00C4152C" w:rsidRDefault="00C561EF" w:rsidP="00B80689">
      <w:pPr>
        <w:ind w:left="284"/>
        <w:jc w:val="center"/>
        <w:rPr>
          <w:bCs/>
          <w:sz w:val="22"/>
          <w:szCs w:val="22"/>
          <w:lang w:val="en-GB"/>
        </w:rPr>
      </w:pPr>
      <w:r w:rsidRPr="00C4152C">
        <w:rPr>
          <w:sz w:val="22"/>
          <w:szCs w:val="22"/>
          <w:lang w:val="en-GB"/>
        </w:rPr>
        <w:t>Article 8</w:t>
      </w:r>
    </w:p>
    <w:p w:rsidR="00C561EF" w:rsidRPr="00C4152C" w:rsidRDefault="00C561EF" w:rsidP="00C561EF">
      <w:pPr>
        <w:jc w:val="center"/>
        <w:rPr>
          <w:bCs/>
          <w:sz w:val="22"/>
          <w:szCs w:val="22"/>
          <w:lang w:val="en-GB"/>
        </w:rPr>
      </w:pPr>
      <w:r w:rsidRPr="00C4152C">
        <w:rPr>
          <w:sz w:val="22"/>
          <w:szCs w:val="22"/>
          <w:lang w:val="en-GB"/>
        </w:rPr>
        <w:t xml:space="preserve">(valuation of </w:t>
      </w:r>
      <w:r w:rsidR="00192CA5" w:rsidRPr="00C4152C">
        <w:rPr>
          <w:sz w:val="22"/>
          <w:szCs w:val="22"/>
          <w:lang w:val="en-GB"/>
        </w:rPr>
        <w:t>book</w:t>
      </w:r>
      <w:r w:rsidR="00135214" w:rsidRPr="00C4152C">
        <w:rPr>
          <w:sz w:val="22"/>
          <w:szCs w:val="22"/>
          <w:lang w:val="en-GB"/>
        </w:rPr>
        <w:t>k</w:t>
      </w:r>
      <w:r w:rsidR="00192CA5" w:rsidRPr="00C4152C">
        <w:rPr>
          <w:sz w:val="22"/>
          <w:szCs w:val="22"/>
          <w:lang w:val="en-GB"/>
        </w:rPr>
        <w:t xml:space="preserve">eeping </w:t>
      </w:r>
      <w:r w:rsidRPr="00C4152C">
        <w:rPr>
          <w:sz w:val="22"/>
          <w:szCs w:val="22"/>
          <w:lang w:val="en-GB"/>
        </w:rPr>
        <w:t>items)</w:t>
      </w:r>
    </w:p>
    <w:p w:rsidR="00C561EF" w:rsidRPr="00C4152C" w:rsidRDefault="00C561EF" w:rsidP="005A323D">
      <w:pPr>
        <w:jc w:val="both"/>
        <w:rPr>
          <w:sz w:val="22"/>
          <w:szCs w:val="22"/>
          <w:lang w:val="en-GB"/>
        </w:rPr>
      </w:pPr>
    </w:p>
    <w:p w:rsidR="00C561EF" w:rsidRPr="00C4152C" w:rsidRDefault="00962E3A" w:rsidP="00C561EF">
      <w:pPr>
        <w:pStyle w:val="Odstavek"/>
        <w:spacing w:before="0"/>
        <w:rPr>
          <w:lang w:val="en-GB"/>
        </w:rPr>
      </w:pPr>
      <w:r w:rsidRPr="00C4152C">
        <w:rPr>
          <w:lang w:val="en-GB"/>
        </w:rPr>
        <w:t xml:space="preserve">The bank </w:t>
      </w:r>
      <w:r w:rsidR="00C561EF" w:rsidRPr="00C4152C">
        <w:rPr>
          <w:lang w:val="en-GB"/>
        </w:rPr>
        <w:t xml:space="preserve">shall value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in accordance with the IFRS and the </w:t>
      </w:r>
      <w:r w:rsidR="00C74C75" w:rsidRPr="0096180C">
        <w:rPr>
          <w:lang w:val="en-GB"/>
        </w:rPr>
        <w:t xml:space="preserve">Regulation on </w:t>
      </w:r>
      <w:r w:rsidR="00C24BC5" w:rsidRPr="0096180C">
        <w:rPr>
          <w:lang w:val="en-GB"/>
        </w:rPr>
        <w:t>on credit risk management in banks and savings banks</w:t>
      </w:r>
      <w:r w:rsidR="00324466" w:rsidRPr="0096180C">
        <w:t>)</w:t>
      </w:r>
      <w:r w:rsidR="00C561EF" w:rsidRPr="00C4152C">
        <w:rPr>
          <w:lang w:val="en-GB"/>
        </w:rPr>
        <w:t xml:space="preserve"> (Official Gazette of the Republic of Slovenia, No</w:t>
      </w:r>
      <w:r w:rsidR="00C561EF" w:rsidRPr="00BA0E05">
        <w:rPr>
          <w:lang w:val="en-GB"/>
        </w:rPr>
        <w:t xml:space="preserve">. </w:t>
      </w:r>
      <w:r w:rsidR="00B02509" w:rsidRPr="00BA0E05">
        <w:rPr>
          <w:lang w:val="en-GB"/>
        </w:rPr>
        <w:t>68</w:t>
      </w:r>
      <w:r w:rsidR="00324466" w:rsidRPr="00BA0E05">
        <w:rPr>
          <w:lang w:val="en-GB"/>
        </w:rPr>
        <w:t>/17</w:t>
      </w:r>
      <w:r w:rsidR="00C561EF" w:rsidRPr="00BA0E05">
        <w:rPr>
          <w:lang w:val="en-GB"/>
        </w:rPr>
        <w:t>).</w:t>
      </w:r>
    </w:p>
    <w:p w:rsidR="00C561EF" w:rsidRDefault="00C561EF" w:rsidP="005A323D">
      <w:pPr>
        <w:jc w:val="both"/>
        <w:rPr>
          <w:sz w:val="22"/>
          <w:szCs w:val="22"/>
          <w:lang w:val="en-GB"/>
        </w:rPr>
      </w:pPr>
    </w:p>
    <w:p w:rsidR="00D611FF" w:rsidRPr="00C4152C" w:rsidRDefault="00D611FF" w:rsidP="005A323D">
      <w:pPr>
        <w:jc w:val="both"/>
        <w:rPr>
          <w:sz w:val="22"/>
          <w:szCs w:val="22"/>
          <w:lang w:val="en-GB"/>
        </w:rPr>
      </w:pPr>
    </w:p>
    <w:p w:rsidR="005A323D" w:rsidRDefault="00C561EF" w:rsidP="00C561EF">
      <w:pPr>
        <w:jc w:val="center"/>
        <w:rPr>
          <w:sz w:val="22"/>
          <w:szCs w:val="22"/>
          <w:lang w:val="en-GB"/>
        </w:rPr>
      </w:pPr>
      <w:r w:rsidRPr="00C4152C">
        <w:rPr>
          <w:sz w:val="22"/>
          <w:szCs w:val="22"/>
          <w:lang w:val="en-GB"/>
        </w:rPr>
        <w:t>Article 9</w:t>
      </w:r>
    </w:p>
    <w:p w:rsidR="00C561EF" w:rsidRPr="00C4152C" w:rsidRDefault="00C561EF" w:rsidP="00C561EF">
      <w:pPr>
        <w:jc w:val="center"/>
        <w:rPr>
          <w:bCs/>
          <w:sz w:val="22"/>
          <w:szCs w:val="22"/>
          <w:lang w:val="en-GB"/>
        </w:rPr>
      </w:pPr>
      <w:r w:rsidRPr="00C4152C">
        <w:rPr>
          <w:sz w:val="22"/>
          <w:szCs w:val="22"/>
          <w:lang w:val="en-GB"/>
        </w:rPr>
        <w:t>(appendix with notes to the financial statements)</w:t>
      </w:r>
    </w:p>
    <w:p w:rsidR="00C561EF" w:rsidRPr="00C4152C" w:rsidRDefault="00C561EF" w:rsidP="00C561EF">
      <w:pPr>
        <w:pStyle w:val="Odstavek"/>
        <w:numPr>
          <w:ilvl w:val="0"/>
          <w:numId w:val="10"/>
        </w:numPr>
        <w:rPr>
          <w:lang w:val="en-GB"/>
        </w:rPr>
      </w:pPr>
      <w:r w:rsidRPr="00C4152C">
        <w:rPr>
          <w:lang w:val="en-GB"/>
        </w:rPr>
        <w:t xml:space="preserve">In the appendix with notes to the financial statements </w:t>
      </w:r>
      <w:r w:rsidR="00962E3A" w:rsidRPr="00C4152C">
        <w:rPr>
          <w:lang w:val="en-GB"/>
        </w:rPr>
        <w:t xml:space="preserve">the bank </w:t>
      </w:r>
      <w:r w:rsidRPr="00C4152C">
        <w:rPr>
          <w:lang w:val="en-GB"/>
        </w:rPr>
        <w:t xml:space="preserve">shall disclose the </w:t>
      </w:r>
      <w:r w:rsidR="009136F6" w:rsidRPr="00C4152C">
        <w:rPr>
          <w:lang w:val="en-GB"/>
        </w:rPr>
        <w:t xml:space="preserve">significant </w:t>
      </w:r>
      <w:r w:rsidRPr="00C4152C">
        <w:rPr>
          <w:lang w:val="en-GB"/>
        </w:rPr>
        <w:t xml:space="preserve">accounting policies on which their financial statements are based. The disclosure of accounting policies shall </w:t>
      </w:r>
      <w:r w:rsidRPr="00C4152C">
        <w:rPr>
          <w:i/>
          <w:iCs/>
          <w:lang w:val="en-GB"/>
        </w:rPr>
        <w:t xml:space="preserve">inter alia </w:t>
      </w:r>
      <w:r w:rsidRPr="00C4152C">
        <w:rPr>
          <w:lang w:val="en-GB"/>
        </w:rPr>
        <w:t>clarify any changes in accounting policy, the methods used for the valuation of individual items in the statement of financial position, the methods for calculating impairments of assets and any write-</w:t>
      </w:r>
      <w:r w:rsidR="009136F6" w:rsidRPr="00C4152C">
        <w:rPr>
          <w:lang w:val="en-GB"/>
        </w:rPr>
        <w:t>offs</w:t>
      </w:r>
      <w:r w:rsidRPr="00C4152C">
        <w:rPr>
          <w:lang w:val="en-GB"/>
        </w:rPr>
        <w:t xml:space="preserve">, the provisioning policy, the policy for the recognition of </w:t>
      </w:r>
      <w:r w:rsidR="00D5546E" w:rsidRPr="00C4152C">
        <w:rPr>
          <w:lang w:val="en-GB"/>
        </w:rPr>
        <w:t xml:space="preserve">income </w:t>
      </w:r>
      <w:r w:rsidRPr="00C4152C">
        <w:rPr>
          <w:lang w:val="en-GB"/>
        </w:rPr>
        <w:t>and expenses, the bank’s tax liabilities and the exchange rates at which sums in foreign currencies have been translated into sums in the domestic currency.</w:t>
      </w:r>
    </w:p>
    <w:p w:rsidR="00C561EF" w:rsidRPr="00C4152C" w:rsidRDefault="00C561EF" w:rsidP="00C561EF">
      <w:pPr>
        <w:pStyle w:val="Odstavek"/>
        <w:numPr>
          <w:ilvl w:val="0"/>
          <w:numId w:val="10"/>
        </w:numPr>
        <w:rPr>
          <w:lang w:val="en-GB"/>
        </w:rPr>
      </w:pPr>
      <w:r w:rsidRPr="00C4152C">
        <w:rPr>
          <w:lang w:val="en-GB"/>
        </w:rPr>
        <w:t xml:space="preserve">The notes to the financial statements shall </w:t>
      </w:r>
      <w:r w:rsidRPr="00C4152C">
        <w:rPr>
          <w:i/>
          <w:iCs/>
          <w:lang w:val="en-GB"/>
        </w:rPr>
        <w:t xml:space="preserve">mutatis mutandis </w:t>
      </w:r>
      <w:r w:rsidRPr="00C4152C">
        <w:rPr>
          <w:lang w:val="en-GB"/>
        </w:rPr>
        <w:t>contain all the data and information prescribed by the ZGD-1, and the other disclosures required by the IFRS and other regulations.</w:t>
      </w:r>
    </w:p>
    <w:p w:rsidR="00C561EF" w:rsidRPr="00C4152C" w:rsidRDefault="00962E3A" w:rsidP="00C561EF">
      <w:pPr>
        <w:pStyle w:val="Odstavek"/>
        <w:numPr>
          <w:ilvl w:val="0"/>
          <w:numId w:val="10"/>
        </w:numPr>
        <w:rPr>
          <w:lang w:val="en-GB"/>
        </w:rPr>
      </w:pPr>
      <w:r w:rsidRPr="00C4152C">
        <w:rPr>
          <w:lang w:val="en-GB"/>
        </w:rPr>
        <w:t xml:space="preserve">The bank </w:t>
      </w:r>
      <w:r w:rsidR="00C561EF" w:rsidRPr="00C4152C">
        <w:rPr>
          <w:lang w:val="en-GB"/>
        </w:rPr>
        <w:t xml:space="preserve">shall additionally disclose the following in the notes to the statement of financial position: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the proportion of </w:t>
      </w:r>
      <w:r w:rsidR="001D0567" w:rsidRPr="00C4152C">
        <w:rPr>
          <w:lang w:val="en-GB"/>
        </w:rPr>
        <w:t xml:space="preserve">financial assets </w:t>
      </w:r>
      <w:r w:rsidRPr="00C4152C">
        <w:rPr>
          <w:lang w:val="en-GB"/>
        </w:rPr>
        <w:t xml:space="preserve">that constitutes subordinated liabilities at the issuer;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a review of commitments given and derivatives outstanding as at the balance sheet date that are administered in off-balance-sheet records, with the amount broken down by type of instrument. </w:t>
      </w:r>
      <w:r w:rsidR="00962E3A" w:rsidRPr="00C4152C">
        <w:rPr>
          <w:lang w:val="en-GB"/>
        </w:rPr>
        <w:t xml:space="preserve">The bank </w:t>
      </w:r>
      <w:r w:rsidRPr="00C4152C">
        <w:rPr>
          <w:lang w:val="en-GB"/>
        </w:rPr>
        <w:t xml:space="preserve">separately cite instruments used for hedging against interest rate risk, currency risk and other market risks, and those held for trading purposes; </w:t>
      </w:r>
    </w:p>
    <w:p w:rsidR="00C561EF" w:rsidRPr="00C4152C" w:rsidRDefault="00C00643" w:rsidP="00C561EF">
      <w:pPr>
        <w:pStyle w:val="Odstavek"/>
        <w:numPr>
          <w:ilvl w:val="0"/>
          <w:numId w:val="18"/>
        </w:numPr>
        <w:tabs>
          <w:tab w:val="clear" w:pos="4500"/>
        </w:tabs>
        <w:spacing w:before="0"/>
        <w:ind w:left="0"/>
        <w:rPr>
          <w:lang w:val="en-GB"/>
        </w:rPr>
      </w:pPr>
      <w:r>
        <w:rPr>
          <w:lang w:val="en-GB"/>
        </w:rPr>
        <w:t xml:space="preserve">total amount of subordinated </w:t>
      </w:r>
      <w:r w:rsidR="006F5BE7">
        <w:rPr>
          <w:lang w:val="en-GB"/>
        </w:rPr>
        <w:t>liabilities and for</w:t>
      </w:r>
      <w:r w:rsidR="00C561EF" w:rsidRPr="00C4152C">
        <w:rPr>
          <w:lang w:val="en-GB"/>
        </w:rPr>
        <w:t xml:space="preserve"> each new borrowing in the financial year that exceeds 10% of the total amount of subordinated liabilities, the amount of borrowing, the nominal currency, the interest rate, the maturity date, the conditions of subordination and the existence of any provisions for the conversion of the subordinated liabilities into equity or into any other liabilities;</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detailed data on the assets pledged by the bank as collateral for its liabilities or for the liabilities of third parties; </w:t>
      </w:r>
    </w:p>
    <w:p w:rsidR="00C561EF" w:rsidRPr="00600BBA" w:rsidRDefault="00C561EF" w:rsidP="00C561EF">
      <w:pPr>
        <w:pStyle w:val="Odstavek"/>
        <w:numPr>
          <w:ilvl w:val="0"/>
          <w:numId w:val="18"/>
        </w:numPr>
        <w:tabs>
          <w:tab w:val="clear" w:pos="4500"/>
        </w:tabs>
        <w:spacing w:before="0"/>
        <w:ind w:left="0"/>
        <w:rPr>
          <w:lang w:val="en-GB"/>
        </w:rPr>
      </w:pPr>
      <w:r w:rsidRPr="00EE6D89">
        <w:rPr>
          <w:lang w:val="en-GB"/>
        </w:rPr>
        <w:t xml:space="preserve">data on </w:t>
      </w:r>
      <w:r w:rsidR="001210EF" w:rsidRPr="00EE6D89">
        <w:rPr>
          <w:lang w:val="en-GB"/>
        </w:rPr>
        <w:t xml:space="preserve">movements </w:t>
      </w:r>
      <w:r w:rsidRPr="00EE6D89">
        <w:rPr>
          <w:lang w:val="en-GB"/>
        </w:rPr>
        <w:t xml:space="preserve">in </w:t>
      </w:r>
      <w:r w:rsidR="00600BBA">
        <w:rPr>
          <w:lang w:val="en-GB"/>
        </w:rPr>
        <w:t xml:space="preserve">allowances </w:t>
      </w:r>
      <w:r w:rsidRPr="00600BBA">
        <w:rPr>
          <w:lang w:val="en-GB"/>
        </w:rPr>
        <w:t xml:space="preserve">and </w:t>
      </w:r>
      <w:r w:rsidRPr="005A323D">
        <w:rPr>
          <w:lang w:val="en-GB"/>
        </w:rPr>
        <w:t>provisions</w:t>
      </w:r>
      <w:r w:rsidR="006F5BE7" w:rsidRPr="005A323D">
        <w:rPr>
          <w:lang w:val="en-GB"/>
        </w:rPr>
        <w:t xml:space="preserve"> </w:t>
      </w:r>
      <w:r w:rsidR="00EE6D89" w:rsidRPr="005A323D">
        <w:rPr>
          <w:lang w:val="en-GB"/>
        </w:rPr>
        <w:t>for credit losses</w:t>
      </w:r>
      <w:r w:rsidRPr="00600BBA">
        <w:rPr>
          <w:lang w:val="en-GB"/>
        </w:rPr>
        <w:t xml:space="preserve">;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data on the total amounts of assets and liabilities denominated in foreign currencies translated into thousand euros; </w:t>
      </w:r>
    </w:p>
    <w:p w:rsidR="00C561EF" w:rsidRPr="00C4152C" w:rsidRDefault="006F5BE7" w:rsidP="00C561EF">
      <w:pPr>
        <w:pStyle w:val="Odstavek"/>
        <w:numPr>
          <w:ilvl w:val="0"/>
          <w:numId w:val="18"/>
        </w:numPr>
        <w:tabs>
          <w:tab w:val="clear" w:pos="4500"/>
        </w:tabs>
        <w:spacing w:before="0"/>
        <w:ind w:left="0"/>
        <w:rPr>
          <w:lang w:val="en-GB"/>
        </w:rPr>
      </w:pPr>
      <w:r w:rsidRPr="00C4152C" w:rsidDel="006F5BE7">
        <w:rPr>
          <w:lang w:val="en-GB"/>
        </w:rPr>
        <w:t xml:space="preserve"> </w:t>
      </w:r>
      <w:r w:rsidR="00C561EF" w:rsidRPr="00C4152C">
        <w:rPr>
          <w:lang w:val="en-GB"/>
        </w:rPr>
        <w:t>when the bank provides investment services and products, data on brokerage operations with clients for which it provides services pursuant to the Financial Instruments Market Act (Official Gazette of the Republic of Slovenia, Nos. 108/10 [official consolidated version], 78/11, 55/12, 105/12 [ZBan-1J]</w:t>
      </w:r>
      <w:r>
        <w:rPr>
          <w:lang w:val="en-GB"/>
        </w:rPr>
        <w:t xml:space="preserve">, </w:t>
      </w:r>
      <w:r w:rsidR="00C561EF" w:rsidRPr="00C4152C">
        <w:rPr>
          <w:lang w:val="en-GB"/>
        </w:rPr>
        <w:t>63/13 [ZS-K]</w:t>
      </w:r>
      <w:r>
        <w:rPr>
          <w:lang w:val="en-GB"/>
        </w:rPr>
        <w:t>, 30/16 and 9/17</w:t>
      </w:r>
      <w:r w:rsidR="00C561EF" w:rsidRPr="00C4152C">
        <w:rPr>
          <w:lang w:val="en-GB"/>
        </w:rPr>
        <w:t xml:space="preserve">; hereinafter: the ZTFI), namely services for clients from the </w:t>
      </w:r>
      <w:r w:rsidR="006B44F4" w:rsidRPr="00C4152C">
        <w:rPr>
          <w:lang w:val="en-GB"/>
        </w:rPr>
        <w:t xml:space="preserve">reception </w:t>
      </w:r>
      <w:r w:rsidR="00C561EF" w:rsidRPr="00C4152C">
        <w:rPr>
          <w:lang w:val="en-GB"/>
        </w:rPr>
        <w:t xml:space="preserve">and </w:t>
      </w:r>
      <w:r w:rsidR="006B44F4" w:rsidRPr="00C4152C">
        <w:rPr>
          <w:lang w:val="en-GB"/>
        </w:rPr>
        <w:t xml:space="preserve">transmission </w:t>
      </w:r>
      <w:r w:rsidR="00C561EF" w:rsidRPr="00C4152C">
        <w:rPr>
          <w:lang w:val="en-GB"/>
        </w:rPr>
        <w:t>of orders, the execution of orders, and the management and custody of financial instruments. Data on claims and liabilities of accounts in which the bank administers the cash of clients from brokerage transactions at the end of the financial year in question and the previous financial year should be itemised into the items cited in the appendix to this regulation (Brokerage operations);</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data on </w:t>
      </w:r>
      <w:r w:rsidR="002B6C5C" w:rsidRPr="00C4152C">
        <w:rPr>
          <w:lang w:val="en-GB"/>
        </w:rPr>
        <w:t xml:space="preserve">significant </w:t>
      </w:r>
      <w:r w:rsidRPr="00C4152C">
        <w:rPr>
          <w:lang w:val="en-GB"/>
        </w:rPr>
        <w:t>transactions that the bank provides for the account of clients (on syndicated and other loans, commission transactions in coins and cheques, and other transactions for the account of clients) should they not be included in the data under point (</w:t>
      </w:r>
      <w:r w:rsidR="006F5BE7">
        <w:rPr>
          <w:lang w:val="en-GB"/>
        </w:rPr>
        <w:t>g</w:t>
      </w:r>
      <w:r w:rsidRPr="00C4152C">
        <w:rPr>
          <w:lang w:val="en-GB"/>
        </w:rPr>
        <w:t>) of this article.</w:t>
      </w:r>
    </w:p>
    <w:p w:rsidR="00C561EF" w:rsidRPr="00C4152C" w:rsidRDefault="00962E3A" w:rsidP="00C561EF">
      <w:pPr>
        <w:pStyle w:val="Odstavek"/>
        <w:numPr>
          <w:ilvl w:val="0"/>
          <w:numId w:val="10"/>
        </w:numPr>
        <w:rPr>
          <w:lang w:val="en-GB"/>
        </w:rPr>
      </w:pPr>
      <w:r w:rsidRPr="00C4152C">
        <w:rPr>
          <w:lang w:val="en-GB"/>
        </w:rPr>
        <w:t xml:space="preserve">The bank </w:t>
      </w:r>
      <w:r w:rsidR="00C561EF" w:rsidRPr="00C4152C">
        <w:rPr>
          <w:lang w:val="en-GB"/>
        </w:rPr>
        <w:t>shall additionally disclose the following in the notes to the statement</w:t>
      </w:r>
      <w:r w:rsidR="00553C33" w:rsidRPr="00C4152C">
        <w:rPr>
          <w:lang w:val="en-GB"/>
        </w:rPr>
        <w:t xml:space="preserve"> of profit or loss</w:t>
      </w:r>
      <w:r w:rsidR="00C561EF" w:rsidRPr="00C4152C">
        <w:rPr>
          <w:lang w:val="en-GB"/>
        </w:rPr>
        <w:t xml:space="preserve">: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w:t>
      </w:r>
      <w:r w:rsidR="00D5546E" w:rsidRPr="00C4152C">
        <w:rPr>
          <w:lang w:val="en-GB"/>
        </w:rPr>
        <w:t xml:space="preserve">income </w:t>
      </w:r>
      <w:r w:rsidRPr="00C4152C">
        <w:rPr>
          <w:lang w:val="en-GB"/>
        </w:rPr>
        <w:t xml:space="preserve">and expenses that the bank generates on foreign markets, when these account for a </w:t>
      </w:r>
      <w:r w:rsidR="007528CE" w:rsidRPr="00C4152C">
        <w:rPr>
          <w:lang w:val="en-GB"/>
        </w:rPr>
        <w:t xml:space="preserve">significant </w:t>
      </w:r>
      <w:r w:rsidRPr="00C4152C">
        <w:rPr>
          <w:lang w:val="en-GB"/>
        </w:rPr>
        <w:t xml:space="preserve">proportion of total </w:t>
      </w:r>
      <w:r w:rsidR="00D5546E" w:rsidRPr="00C4152C">
        <w:rPr>
          <w:lang w:val="en-GB"/>
        </w:rPr>
        <w:t xml:space="preserve">income </w:t>
      </w:r>
      <w:r w:rsidRPr="00C4152C">
        <w:rPr>
          <w:lang w:val="en-GB"/>
        </w:rPr>
        <w:t xml:space="preserve">and expenses;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w:t>
      </w:r>
      <w:r w:rsidR="00D5546E" w:rsidRPr="00C4152C">
        <w:rPr>
          <w:lang w:val="en-GB"/>
        </w:rPr>
        <w:t xml:space="preserve">income </w:t>
      </w:r>
      <w:r w:rsidRPr="00C4152C">
        <w:rPr>
          <w:lang w:val="en-GB"/>
        </w:rPr>
        <w:t xml:space="preserve">from the provision of managerial and representative services to third parties. When the bank provides investment services and products, separate data on </w:t>
      </w:r>
      <w:r w:rsidR="00D5546E" w:rsidRPr="00C4152C">
        <w:rPr>
          <w:lang w:val="en-GB"/>
        </w:rPr>
        <w:t xml:space="preserve">income </w:t>
      </w:r>
      <w:r w:rsidRPr="00C4152C">
        <w:rPr>
          <w:lang w:val="en-GB"/>
        </w:rPr>
        <w:t>and expenses from fees and commission deriving from the provision of investment services and products for the financial year in question and the previous financial year, which should be itemised into the items cited in the appendix to this regulation (</w:t>
      </w:r>
      <w:r w:rsidR="00D5546E" w:rsidRPr="00C4152C">
        <w:rPr>
          <w:lang w:val="en-GB"/>
        </w:rPr>
        <w:t xml:space="preserve">Income </w:t>
      </w:r>
      <w:r w:rsidRPr="00C4152C">
        <w:rPr>
          <w:lang w:val="en-GB"/>
        </w:rPr>
        <w:t xml:space="preserve">and expenses from fees and commission in connection with investment services and products);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expenses paid by the bank that derive from subordinated liabilities. </w:t>
      </w:r>
    </w:p>
    <w:p w:rsidR="00C561EF" w:rsidRPr="00C4152C" w:rsidRDefault="00C561EF" w:rsidP="00C561EF">
      <w:pPr>
        <w:pStyle w:val="Default"/>
        <w:jc w:val="both"/>
        <w:rPr>
          <w:sz w:val="22"/>
          <w:szCs w:val="22"/>
          <w:lang w:val="en-GB"/>
        </w:rPr>
      </w:pPr>
    </w:p>
    <w:p w:rsidR="00C561EF" w:rsidRPr="00C4152C" w:rsidRDefault="00C561EF" w:rsidP="00C561EF">
      <w:pPr>
        <w:pStyle w:val="Default"/>
        <w:jc w:val="both"/>
        <w:rPr>
          <w:sz w:val="22"/>
          <w:szCs w:val="22"/>
          <w:lang w:val="en-GB"/>
        </w:rPr>
      </w:pPr>
    </w:p>
    <w:p w:rsidR="00C561EF" w:rsidRPr="00C4152C" w:rsidRDefault="00C561EF" w:rsidP="00C561EF">
      <w:pPr>
        <w:jc w:val="center"/>
        <w:rPr>
          <w:bCs/>
          <w:sz w:val="22"/>
          <w:szCs w:val="22"/>
          <w:lang w:val="en-GB"/>
        </w:rPr>
      </w:pPr>
      <w:r w:rsidRPr="00C4152C">
        <w:rPr>
          <w:sz w:val="22"/>
          <w:szCs w:val="22"/>
          <w:lang w:val="en-GB"/>
        </w:rPr>
        <w:t>3.2  Business report</w:t>
      </w:r>
    </w:p>
    <w:p w:rsidR="00C561EF" w:rsidRPr="00C4152C" w:rsidRDefault="00C561EF" w:rsidP="00C561EF">
      <w:pPr>
        <w:pStyle w:val="Default"/>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10</w:t>
      </w:r>
    </w:p>
    <w:p w:rsidR="00C561EF" w:rsidRPr="00C4152C" w:rsidRDefault="00C561EF" w:rsidP="00C561EF">
      <w:pPr>
        <w:jc w:val="center"/>
        <w:rPr>
          <w:bCs/>
          <w:sz w:val="22"/>
          <w:szCs w:val="22"/>
          <w:lang w:val="en-GB"/>
        </w:rPr>
      </w:pPr>
      <w:r w:rsidRPr="00C4152C">
        <w:rPr>
          <w:sz w:val="22"/>
          <w:szCs w:val="22"/>
          <w:lang w:val="en-GB"/>
        </w:rPr>
        <w:t>(components of the business report)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The business report of a bank shall also encompass:</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 xml:space="preserve">a report on the bank’s performance in the financial year,  </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bank’s governance,</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business network,</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bank’s organisational scheme,</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 xml:space="preserve">the organisational scheme of the group of </w:t>
      </w:r>
      <w:r w:rsidR="009A34F1" w:rsidRPr="00C4152C">
        <w:rPr>
          <w:lang w:val="en-GB"/>
        </w:rPr>
        <w:t>related entities</w:t>
      </w:r>
      <w:r w:rsidRPr="00C4152C">
        <w:rPr>
          <w:lang w:val="en-GB"/>
        </w:rPr>
        <w:t>.</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C561EF">
      <w:pPr>
        <w:jc w:val="center"/>
        <w:rPr>
          <w:i/>
          <w:sz w:val="22"/>
          <w:szCs w:val="22"/>
          <w:lang w:val="en-GB"/>
        </w:rPr>
      </w:pPr>
      <w:r w:rsidRPr="00C4152C">
        <w:rPr>
          <w:i/>
          <w:iCs/>
          <w:sz w:val="22"/>
          <w:szCs w:val="22"/>
          <w:lang w:val="en-GB"/>
        </w:rPr>
        <w:t>3.2.1  Report on the bank’s performance in the financial year</w:t>
      </w: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11</w:t>
      </w:r>
    </w:p>
    <w:p w:rsidR="00C561EF" w:rsidRPr="00C4152C" w:rsidRDefault="00C561EF" w:rsidP="00C561EF">
      <w:pPr>
        <w:jc w:val="center"/>
        <w:rPr>
          <w:bCs/>
          <w:sz w:val="22"/>
          <w:szCs w:val="22"/>
          <w:lang w:val="en-GB"/>
        </w:rPr>
      </w:pPr>
      <w:r w:rsidRPr="00C4152C">
        <w:rPr>
          <w:sz w:val="22"/>
          <w:szCs w:val="22"/>
          <w:lang w:val="en-GB"/>
        </w:rPr>
        <w:t>(components of report on bank’s performance)</w:t>
      </w:r>
    </w:p>
    <w:p w:rsidR="00C561EF" w:rsidRPr="00C4152C" w:rsidRDefault="00C561EF" w:rsidP="00C561EF">
      <w:pPr>
        <w:pStyle w:val="Odstavek"/>
        <w:numPr>
          <w:ilvl w:val="0"/>
          <w:numId w:val="27"/>
        </w:numPr>
        <w:rPr>
          <w:lang w:val="en-GB"/>
        </w:rPr>
      </w:pPr>
      <w:r w:rsidRPr="00C4152C">
        <w:rPr>
          <w:lang w:val="en-GB"/>
        </w:rPr>
        <w:t>The report on the bank’s performance in the financial year shall encompass:</w:t>
      </w:r>
    </w:p>
    <w:p w:rsidR="00C561EF" w:rsidRPr="00C4152C" w:rsidRDefault="00C561EF" w:rsidP="00C561EF">
      <w:pPr>
        <w:pStyle w:val="Odstavek"/>
        <w:numPr>
          <w:ilvl w:val="0"/>
          <w:numId w:val="55"/>
        </w:numPr>
        <w:spacing w:before="0"/>
        <w:rPr>
          <w:lang w:val="en-GB"/>
        </w:rPr>
      </w:pPr>
      <w:r w:rsidRPr="00C4152C">
        <w:rPr>
          <w:lang w:val="en-GB"/>
        </w:rPr>
        <w:t>a description of the general economic environment,</w:t>
      </w:r>
    </w:p>
    <w:p w:rsidR="00C561EF" w:rsidRPr="00C4152C" w:rsidRDefault="00C561EF" w:rsidP="00C561EF">
      <w:pPr>
        <w:pStyle w:val="Odstavek"/>
        <w:numPr>
          <w:ilvl w:val="0"/>
          <w:numId w:val="55"/>
        </w:numPr>
        <w:spacing w:before="0"/>
        <w:rPr>
          <w:lang w:val="en-GB"/>
        </w:rPr>
      </w:pPr>
      <w:r w:rsidRPr="00C4152C">
        <w:rPr>
          <w:lang w:val="en-GB"/>
        </w:rPr>
        <w:t>the business policies,</w:t>
      </w:r>
    </w:p>
    <w:p w:rsidR="00C561EF" w:rsidRPr="00C4152C" w:rsidRDefault="00C561EF" w:rsidP="00C561EF">
      <w:pPr>
        <w:pStyle w:val="Odstavek"/>
        <w:numPr>
          <w:ilvl w:val="0"/>
          <w:numId w:val="55"/>
        </w:numPr>
        <w:spacing w:before="0"/>
        <w:rPr>
          <w:lang w:val="en-GB"/>
        </w:rPr>
      </w:pPr>
      <w:r w:rsidRPr="00C4152C">
        <w:rPr>
          <w:lang w:val="en-GB"/>
        </w:rPr>
        <w:t>material data and performance indicators,</w:t>
      </w:r>
    </w:p>
    <w:p w:rsidR="00C561EF" w:rsidRPr="00C4152C" w:rsidRDefault="00C561EF" w:rsidP="00C561EF">
      <w:pPr>
        <w:pStyle w:val="Odstavek"/>
        <w:numPr>
          <w:ilvl w:val="0"/>
          <w:numId w:val="55"/>
        </w:numPr>
        <w:spacing w:before="0"/>
        <w:rPr>
          <w:lang w:val="en-GB"/>
        </w:rPr>
      </w:pPr>
      <w:r w:rsidRPr="00C4152C">
        <w:rPr>
          <w:lang w:val="en-GB"/>
        </w:rPr>
        <w:t>the share capital and shareholders,</w:t>
      </w:r>
    </w:p>
    <w:p w:rsidR="00C561EF" w:rsidRPr="00C4152C" w:rsidRDefault="00C561EF" w:rsidP="00C561EF">
      <w:pPr>
        <w:pStyle w:val="Odstavek"/>
        <w:numPr>
          <w:ilvl w:val="0"/>
          <w:numId w:val="55"/>
        </w:numPr>
        <w:spacing w:before="0"/>
        <w:rPr>
          <w:lang w:val="en-GB"/>
        </w:rPr>
      </w:pPr>
      <w:r w:rsidRPr="00C4152C">
        <w:rPr>
          <w:lang w:val="en-GB"/>
        </w:rPr>
        <w:t>a description of the bank’s development,</w:t>
      </w:r>
    </w:p>
    <w:p w:rsidR="00C561EF" w:rsidRPr="00C4152C" w:rsidRDefault="00C561EF" w:rsidP="00C561EF">
      <w:pPr>
        <w:pStyle w:val="Odstavek"/>
        <w:numPr>
          <w:ilvl w:val="0"/>
          <w:numId w:val="55"/>
        </w:numPr>
        <w:spacing w:before="0"/>
        <w:rPr>
          <w:lang w:val="en-GB"/>
        </w:rPr>
      </w:pPr>
      <w:r w:rsidRPr="00C4152C">
        <w:rPr>
          <w:lang w:val="en-GB"/>
        </w:rPr>
        <w:t xml:space="preserve">basic data on the group of </w:t>
      </w:r>
      <w:r w:rsidR="00C43E5C" w:rsidRPr="00C4152C">
        <w:rPr>
          <w:lang w:val="en-GB"/>
        </w:rPr>
        <w:t xml:space="preserve">related </w:t>
      </w:r>
      <w:r w:rsidR="009A34F1" w:rsidRPr="00C4152C">
        <w:rPr>
          <w:lang w:val="en-GB"/>
        </w:rPr>
        <w:t>entities</w:t>
      </w:r>
      <w:r w:rsidRPr="00C4152C">
        <w:rPr>
          <w:lang w:val="en-GB"/>
        </w:rPr>
        <w:t>.</w:t>
      </w:r>
    </w:p>
    <w:p w:rsidR="00C561EF" w:rsidRPr="00C4152C" w:rsidRDefault="00C561EF" w:rsidP="00C561EF">
      <w:pPr>
        <w:pStyle w:val="Odstavek"/>
        <w:numPr>
          <w:ilvl w:val="0"/>
          <w:numId w:val="27"/>
        </w:numPr>
        <w:rPr>
          <w:lang w:val="en-GB"/>
        </w:rPr>
      </w:pPr>
      <w:r w:rsidRPr="00C4152C">
        <w:rPr>
          <w:lang w:val="en-GB"/>
        </w:rPr>
        <w:t>The bank shall not include data and information that has already been captured in the financial report in the report referred to in the first paragraph of this article.</w:t>
      </w:r>
    </w:p>
    <w:p w:rsidR="00C561EF" w:rsidRPr="00C4152C" w:rsidRDefault="00C561EF" w:rsidP="00C561EF">
      <w:pPr>
        <w:jc w:val="both"/>
        <w:rPr>
          <w:sz w:val="22"/>
          <w:szCs w:val="22"/>
          <w:lang w:val="en-GB"/>
        </w:rPr>
      </w:pPr>
    </w:p>
    <w:p w:rsidR="00BA0E05" w:rsidRDefault="00BA0E05">
      <w:pPr>
        <w:rPr>
          <w:bCs/>
          <w:sz w:val="22"/>
          <w:szCs w:val="22"/>
          <w:lang w:val="en-GB"/>
        </w:rPr>
      </w:pPr>
      <w:r>
        <w:rPr>
          <w:bCs/>
          <w:sz w:val="22"/>
          <w:szCs w:val="22"/>
          <w:lang w:val="en-GB"/>
        </w:rPr>
        <w:br w:type="page"/>
      </w: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12</w:t>
      </w:r>
    </w:p>
    <w:p w:rsidR="00C561EF" w:rsidRPr="00C4152C" w:rsidRDefault="00C561EF" w:rsidP="00C561EF">
      <w:pPr>
        <w:jc w:val="center"/>
        <w:rPr>
          <w:bCs/>
          <w:sz w:val="22"/>
          <w:szCs w:val="22"/>
          <w:lang w:val="en-GB"/>
        </w:rPr>
      </w:pPr>
      <w:r w:rsidRPr="00C4152C">
        <w:rPr>
          <w:sz w:val="22"/>
          <w:szCs w:val="22"/>
          <w:lang w:val="en-GB"/>
        </w:rPr>
        <w:t>(description of general economic environment)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Within the framework of the general economic environment</w:t>
      </w:r>
      <w:r w:rsidR="006F5BE7">
        <w:rPr>
          <w:lang w:val="en-GB"/>
        </w:rPr>
        <w:t>,</w:t>
      </w:r>
      <w:r w:rsidRPr="00C4152C">
        <w:rPr>
          <w:lang w:val="en-GB"/>
        </w:rPr>
        <w:t xml:space="preserve"> the bank shall describe the main factors directly or indirectly impacting its operations. When the bank generates significant turnover on foreign markets, in this section it shall also present the characteristics of economic developments in the countries in question and their impact on its operations. </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13</w:t>
      </w:r>
    </w:p>
    <w:p w:rsidR="00C561EF" w:rsidRPr="00C4152C" w:rsidRDefault="00C561EF" w:rsidP="00C561EF">
      <w:pPr>
        <w:jc w:val="center"/>
        <w:rPr>
          <w:bCs/>
          <w:sz w:val="22"/>
          <w:szCs w:val="22"/>
          <w:lang w:val="en-GB"/>
        </w:rPr>
      </w:pPr>
      <w:r w:rsidRPr="00C4152C">
        <w:rPr>
          <w:sz w:val="22"/>
          <w:szCs w:val="22"/>
          <w:lang w:val="en-GB"/>
        </w:rPr>
        <w:t>(business policies)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Under business policies</w:t>
      </w:r>
      <w:r w:rsidR="006F5BE7">
        <w:rPr>
          <w:lang w:val="en-GB"/>
        </w:rPr>
        <w:t>,</w:t>
      </w:r>
      <w:r w:rsidRPr="00C4152C">
        <w:rPr>
          <w:lang w:val="en-GB"/>
        </w:rPr>
        <w:t xml:space="preserve"> the bank shall present the long-term objectives of its business policies and shall cite the activities planned for meeting the objectives in the upcoming year. When planning the activities the bank shall devote particular attention to risk management measures.</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14</w:t>
      </w:r>
    </w:p>
    <w:p w:rsidR="00C561EF" w:rsidRPr="00C4152C" w:rsidRDefault="00C561EF" w:rsidP="00C561EF">
      <w:pPr>
        <w:jc w:val="center"/>
        <w:rPr>
          <w:bCs/>
          <w:sz w:val="22"/>
          <w:szCs w:val="22"/>
          <w:lang w:val="en-GB"/>
        </w:rPr>
      </w:pPr>
      <w:r w:rsidRPr="00C4152C">
        <w:rPr>
          <w:sz w:val="22"/>
          <w:szCs w:val="22"/>
          <w:lang w:val="en-GB"/>
        </w:rPr>
        <w:t>(material data and performance indicators)</w:t>
      </w:r>
    </w:p>
    <w:p w:rsidR="00C561EF" w:rsidRPr="00C4152C" w:rsidRDefault="00C561EF" w:rsidP="00C561EF">
      <w:pPr>
        <w:pStyle w:val="Odstavek"/>
        <w:numPr>
          <w:ilvl w:val="0"/>
          <w:numId w:val="11"/>
        </w:numPr>
        <w:rPr>
          <w:lang w:val="en-GB"/>
        </w:rPr>
      </w:pPr>
      <w:r w:rsidRPr="00C4152C">
        <w:rPr>
          <w:lang w:val="en-GB"/>
        </w:rPr>
        <w:t>The bank shall describe the individual types of service and product, broken down by groups of clients with regard to institutional sector (non-financial corporations, banks, households), and broken down into services and products provided in the country and provided in the rest of the world. The bank shall cite all the types of financial service that it provided in accordance with a Bank of Slovenia authorisation in the period for which the business report is being compiled.</w:t>
      </w:r>
    </w:p>
    <w:p w:rsidR="00C561EF" w:rsidRPr="00C4152C" w:rsidRDefault="00C561EF" w:rsidP="00C561EF">
      <w:pPr>
        <w:pStyle w:val="Odstavek"/>
        <w:numPr>
          <w:ilvl w:val="0"/>
          <w:numId w:val="11"/>
        </w:numPr>
        <w:rPr>
          <w:lang w:val="en-GB"/>
        </w:rPr>
      </w:pPr>
      <w:r w:rsidRPr="00C4152C">
        <w:rPr>
          <w:lang w:val="en-GB"/>
        </w:rPr>
        <w:t>The bank shall disclose the breakdown of assets, liabilities and equity, and off-balance-sheet commitments given, and shall explain changes in individual items compared with the previous financial year(s). The bank shall describe its exposures to credit risk, to market risks including currency risk, to interest rate risk, to operational risk and to liquidity risk, defining its approach to the take-up of risks and explaining its strategy for the take-up and management of risks. In disclosing exposures to individual types of risk, the bank shall provide sufficient data and comparative data for the previous financial year(s). It shall also cite data on impairment of assets and provisions created for losses from exposure to various risks, and the methodology for determining them.</w:t>
      </w:r>
    </w:p>
    <w:p w:rsidR="00C561EF" w:rsidRPr="00C4152C" w:rsidRDefault="00C561EF" w:rsidP="00C561EF">
      <w:pPr>
        <w:pStyle w:val="Odstavek"/>
        <w:numPr>
          <w:ilvl w:val="0"/>
          <w:numId w:val="11"/>
        </w:numPr>
        <w:rPr>
          <w:lang w:val="en-GB"/>
        </w:rPr>
      </w:pPr>
      <w:r w:rsidRPr="00C4152C">
        <w:rPr>
          <w:lang w:val="en-GB"/>
        </w:rPr>
        <w:t xml:space="preserve">The bank shall present the net profit </w:t>
      </w:r>
      <w:r w:rsidR="00BF56C7" w:rsidRPr="00C4152C">
        <w:rPr>
          <w:lang w:val="en-GB"/>
        </w:rPr>
        <w:t xml:space="preserve">or loss </w:t>
      </w:r>
      <w:r w:rsidRPr="00C4152C">
        <w:rPr>
          <w:lang w:val="en-GB"/>
        </w:rPr>
        <w:t xml:space="preserve">for the financial year or the comprehensive income for the financial year after tax, itemising the </w:t>
      </w:r>
      <w:r w:rsidR="00D5546E" w:rsidRPr="00C4152C">
        <w:rPr>
          <w:lang w:val="en-GB"/>
        </w:rPr>
        <w:t xml:space="preserve">income </w:t>
      </w:r>
      <w:r w:rsidRPr="00C4152C">
        <w:rPr>
          <w:lang w:val="en-GB"/>
        </w:rPr>
        <w:t>and expenses by basic type. In this section</w:t>
      </w:r>
      <w:r w:rsidR="006F5BE7">
        <w:rPr>
          <w:lang w:val="en-GB"/>
        </w:rPr>
        <w:t>,</w:t>
      </w:r>
      <w:r w:rsidRPr="00C4152C">
        <w:rPr>
          <w:lang w:val="en-GB"/>
        </w:rPr>
        <w:t xml:space="preserve"> the bank shall disclose the impact that individual types of transaction have on performance, and the impact that transactions with significant risk and transactions executed by the bank in high-risk geographical regions have on performance. </w:t>
      </w:r>
    </w:p>
    <w:p w:rsidR="00C561EF" w:rsidRDefault="00C561EF" w:rsidP="00DA06B6">
      <w:pPr>
        <w:pStyle w:val="Odstavek"/>
        <w:numPr>
          <w:ilvl w:val="0"/>
          <w:numId w:val="11"/>
        </w:numPr>
        <w:ind w:firstLine="357"/>
        <w:rPr>
          <w:lang w:val="en-GB"/>
        </w:rPr>
      </w:pPr>
      <w:r w:rsidRPr="00C4152C">
        <w:rPr>
          <w:lang w:val="en-GB"/>
        </w:rPr>
        <w:t>The bank shall also disclose the following under material data and performance indicators:</w:t>
      </w:r>
    </w:p>
    <w:p w:rsidR="00DA06B6" w:rsidRDefault="00DA06B6" w:rsidP="00DA06B6">
      <w:pPr>
        <w:rPr>
          <w:lang w:val="en-GB"/>
        </w:rPr>
      </w:pPr>
    </w:p>
    <w:p w:rsidR="00C561EF" w:rsidRPr="005A323D" w:rsidRDefault="00C561EF" w:rsidP="005A323D">
      <w:pPr>
        <w:numPr>
          <w:ilvl w:val="0"/>
          <w:numId w:val="12"/>
        </w:numPr>
        <w:tabs>
          <w:tab w:val="clear" w:pos="1440"/>
        </w:tabs>
        <w:ind w:left="851" w:hanging="425"/>
        <w:rPr>
          <w:sz w:val="22"/>
          <w:szCs w:val="22"/>
          <w:lang w:val="en-GB"/>
        </w:rPr>
      </w:pPr>
      <w:r w:rsidRPr="005A323D">
        <w:rPr>
          <w:sz w:val="22"/>
          <w:szCs w:val="22"/>
          <w:lang w:val="en-GB"/>
        </w:rPr>
        <w:t>From the statement of financial position:</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balance sheet total (total assets),</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total deposits by the non-banking sector measured at amortised cost:</w:t>
      </w:r>
    </w:p>
    <w:p w:rsidR="00C561EF" w:rsidRPr="00C4152C" w:rsidRDefault="00C561EF" w:rsidP="00C561EF">
      <w:pPr>
        <w:ind w:left="285"/>
        <w:jc w:val="both"/>
        <w:rPr>
          <w:sz w:val="22"/>
          <w:szCs w:val="22"/>
          <w:lang w:val="en-GB"/>
        </w:rPr>
      </w:pPr>
      <w:r w:rsidRPr="00C4152C">
        <w:rPr>
          <w:sz w:val="22"/>
          <w:szCs w:val="22"/>
          <w:lang w:val="en-GB"/>
        </w:rPr>
        <w:t xml:space="preserve">            </w:t>
      </w:r>
      <w:r w:rsidRPr="00C4152C">
        <w:rPr>
          <w:sz w:val="22"/>
          <w:szCs w:val="22"/>
          <w:lang w:val="en-GB"/>
        </w:rPr>
        <w:tab/>
        <w:t xml:space="preserve">- of legal </w:t>
      </w:r>
      <w:r w:rsidR="00740D53" w:rsidRPr="00C4152C">
        <w:rPr>
          <w:sz w:val="22"/>
          <w:szCs w:val="22"/>
          <w:lang w:val="en-GB"/>
        </w:rPr>
        <w:t xml:space="preserve">person </w:t>
      </w:r>
      <w:r w:rsidRPr="00C4152C">
        <w:rPr>
          <w:sz w:val="22"/>
          <w:szCs w:val="22"/>
          <w:lang w:val="en-GB"/>
        </w:rPr>
        <w:t>and other persons pursuing business activities,</w:t>
      </w:r>
    </w:p>
    <w:p w:rsidR="00C561EF" w:rsidRPr="00C4152C" w:rsidRDefault="00C561EF" w:rsidP="00C561EF">
      <w:pPr>
        <w:ind w:left="708"/>
        <w:jc w:val="both"/>
        <w:rPr>
          <w:sz w:val="22"/>
          <w:szCs w:val="22"/>
          <w:lang w:val="en-GB"/>
        </w:rPr>
      </w:pPr>
      <w:r w:rsidRPr="00C4152C">
        <w:rPr>
          <w:sz w:val="22"/>
          <w:szCs w:val="22"/>
          <w:lang w:val="en-GB"/>
        </w:rPr>
        <w:t xml:space="preserve">    </w:t>
      </w:r>
      <w:r w:rsidRPr="00C4152C">
        <w:rPr>
          <w:sz w:val="22"/>
          <w:szCs w:val="22"/>
          <w:lang w:val="en-GB"/>
        </w:rPr>
        <w:tab/>
        <w:t xml:space="preserve">- of </w:t>
      </w:r>
      <w:r w:rsidR="005D79EF" w:rsidRPr="00C4152C">
        <w:rPr>
          <w:sz w:val="22"/>
          <w:szCs w:val="22"/>
          <w:lang w:val="en-GB"/>
        </w:rPr>
        <w:t>natural persons</w:t>
      </w:r>
      <w:r w:rsidRPr="00C4152C">
        <w:rPr>
          <w:sz w:val="22"/>
          <w:szCs w:val="22"/>
          <w:lang w:val="en-GB"/>
        </w:rPr>
        <w:t>,</w:t>
      </w:r>
    </w:p>
    <w:p w:rsidR="00C561EF" w:rsidRPr="00C4152C" w:rsidRDefault="00C561EF" w:rsidP="00263872">
      <w:pPr>
        <w:numPr>
          <w:ilvl w:val="0"/>
          <w:numId w:val="2"/>
        </w:numPr>
        <w:tabs>
          <w:tab w:val="clear" w:pos="965"/>
          <w:tab w:val="num" w:pos="993"/>
        </w:tabs>
        <w:ind w:left="1134"/>
        <w:jc w:val="both"/>
        <w:rPr>
          <w:sz w:val="22"/>
          <w:szCs w:val="22"/>
          <w:lang w:val="en-GB"/>
        </w:rPr>
      </w:pPr>
      <w:r w:rsidRPr="00283C9E">
        <w:rPr>
          <w:sz w:val="22"/>
          <w:szCs w:val="22"/>
          <w:lang w:val="en-GB"/>
        </w:rPr>
        <w:t>total loans to the</w:t>
      </w:r>
      <w:r w:rsidRPr="00C4152C">
        <w:rPr>
          <w:sz w:val="22"/>
          <w:szCs w:val="22"/>
          <w:lang w:val="en-GB"/>
        </w:rPr>
        <w:t xml:space="preserve"> non-banking sector:</w:t>
      </w:r>
    </w:p>
    <w:p w:rsidR="00C561EF" w:rsidRPr="00C4152C" w:rsidRDefault="00C561EF" w:rsidP="00C561EF">
      <w:pPr>
        <w:ind w:left="849"/>
        <w:jc w:val="both"/>
        <w:rPr>
          <w:sz w:val="22"/>
          <w:szCs w:val="22"/>
          <w:lang w:val="en-GB"/>
        </w:rPr>
      </w:pPr>
      <w:r w:rsidRPr="00C4152C">
        <w:rPr>
          <w:sz w:val="22"/>
          <w:szCs w:val="22"/>
          <w:lang w:val="en-GB"/>
        </w:rPr>
        <w:t xml:space="preserve">          - to legal </w:t>
      </w:r>
      <w:r w:rsidR="00740D53" w:rsidRPr="00C4152C">
        <w:rPr>
          <w:sz w:val="22"/>
          <w:szCs w:val="22"/>
          <w:lang w:val="en-GB"/>
        </w:rPr>
        <w:t xml:space="preserve">person </w:t>
      </w:r>
      <w:r w:rsidRPr="00C4152C">
        <w:rPr>
          <w:sz w:val="22"/>
          <w:szCs w:val="22"/>
          <w:lang w:val="en-GB"/>
        </w:rPr>
        <w:t>and other persons pursuing business activities,</w:t>
      </w:r>
    </w:p>
    <w:p w:rsidR="00C561EF" w:rsidRPr="00C4152C" w:rsidRDefault="006422DB" w:rsidP="00C561EF">
      <w:pPr>
        <w:ind w:left="1418"/>
        <w:jc w:val="both"/>
        <w:rPr>
          <w:sz w:val="22"/>
          <w:szCs w:val="22"/>
          <w:lang w:val="en-GB"/>
        </w:rPr>
      </w:pPr>
      <w:r w:rsidRPr="00C4152C">
        <w:rPr>
          <w:sz w:val="22"/>
          <w:szCs w:val="22"/>
          <w:lang w:val="en-GB"/>
        </w:rPr>
        <w:t xml:space="preserve">- to </w:t>
      </w:r>
      <w:r w:rsidR="005D79EF" w:rsidRPr="00C4152C">
        <w:rPr>
          <w:sz w:val="22"/>
          <w:szCs w:val="22"/>
          <w:lang w:val="en-GB"/>
        </w:rPr>
        <w:t>natural persons</w:t>
      </w:r>
      <w:r w:rsidR="00C561EF" w:rsidRPr="00C4152C">
        <w:rPr>
          <w:sz w:val="22"/>
          <w:szCs w:val="22"/>
          <w:lang w:val="en-GB"/>
        </w:rPr>
        <w:t xml:space="preserve">, </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 xml:space="preserve">total equity, </w:t>
      </w:r>
    </w:p>
    <w:p w:rsidR="00C561EF" w:rsidRPr="00EE6D89" w:rsidRDefault="00EE6D89" w:rsidP="00263872">
      <w:pPr>
        <w:numPr>
          <w:ilvl w:val="0"/>
          <w:numId w:val="2"/>
        </w:numPr>
        <w:tabs>
          <w:tab w:val="clear" w:pos="965"/>
          <w:tab w:val="num" w:pos="993"/>
        </w:tabs>
        <w:ind w:left="1134"/>
        <w:jc w:val="both"/>
        <w:rPr>
          <w:sz w:val="22"/>
          <w:szCs w:val="22"/>
          <w:lang w:val="en-GB"/>
        </w:rPr>
      </w:pPr>
      <w:r w:rsidRPr="00600BBA">
        <w:rPr>
          <w:sz w:val="22"/>
          <w:szCs w:val="22"/>
          <w:lang w:val="en-GB"/>
        </w:rPr>
        <w:t>allowances</w:t>
      </w:r>
      <w:r w:rsidR="00014664" w:rsidRPr="00600BBA">
        <w:rPr>
          <w:sz w:val="22"/>
          <w:szCs w:val="22"/>
          <w:lang w:val="en-GB"/>
        </w:rPr>
        <w:t xml:space="preserve">, </w:t>
      </w:r>
      <w:r w:rsidRPr="00600BBA">
        <w:rPr>
          <w:sz w:val="22"/>
          <w:szCs w:val="22"/>
          <w:lang w:val="en-GB"/>
        </w:rPr>
        <w:t>value adjustments and provisions</w:t>
      </w:r>
      <w:r w:rsidRPr="00EE6D89">
        <w:rPr>
          <w:sz w:val="22"/>
          <w:szCs w:val="22"/>
          <w:lang w:val="en-GB"/>
        </w:rPr>
        <w:t xml:space="preserve"> for credit losses</w:t>
      </w:r>
      <w:r w:rsidR="006A7F19" w:rsidRPr="00EE6D89">
        <w:rPr>
          <w:sz w:val="22"/>
          <w:szCs w:val="22"/>
          <w:lang w:val="en-GB"/>
        </w:rPr>
        <w:t>,</w:t>
      </w:r>
    </w:p>
    <w:p w:rsidR="00C561EF" w:rsidRPr="00EE6D89" w:rsidRDefault="00C561EF" w:rsidP="00263872">
      <w:pPr>
        <w:numPr>
          <w:ilvl w:val="0"/>
          <w:numId w:val="2"/>
        </w:numPr>
        <w:tabs>
          <w:tab w:val="clear" w:pos="965"/>
          <w:tab w:val="num" w:pos="993"/>
        </w:tabs>
        <w:ind w:left="1134"/>
        <w:jc w:val="both"/>
        <w:rPr>
          <w:sz w:val="22"/>
          <w:szCs w:val="22"/>
          <w:lang w:val="en-GB"/>
        </w:rPr>
      </w:pPr>
      <w:r w:rsidRPr="00EE6D89">
        <w:rPr>
          <w:sz w:val="22"/>
          <w:szCs w:val="22"/>
          <w:lang w:val="en-GB"/>
        </w:rPr>
        <w:t>off-balance-sheet operations (B.1 to B.4).</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From the statement</w:t>
      </w:r>
      <w:r w:rsidR="00BF56C7" w:rsidRPr="00C4152C">
        <w:rPr>
          <w:sz w:val="22"/>
          <w:szCs w:val="22"/>
          <w:lang w:val="en-GB"/>
        </w:rPr>
        <w:t xml:space="preserve"> of profit or loss</w:t>
      </w:r>
      <w:r w:rsidRPr="00C4152C">
        <w:rPr>
          <w:sz w:val="22"/>
          <w:szCs w:val="22"/>
          <w:lang w:val="en-GB"/>
        </w:rPr>
        <w:t>:</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net interest,</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net non-interest income,</w:t>
      </w:r>
    </w:p>
    <w:p w:rsidR="00C561EF" w:rsidRPr="00C4152C" w:rsidRDefault="00717F9E" w:rsidP="005A323D">
      <w:pPr>
        <w:numPr>
          <w:ilvl w:val="0"/>
          <w:numId w:val="2"/>
        </w:numPr>
        <w:tabs>
          <w:tab w:val="clear" w:pos="965"/>
          <w:tab w:val="num" w:pos="993"/>
        </w:tabs>
        <w:ind w:left="1134"/>
        <w:jc w:val="both"/>
        <w:rPr>
          <w:sz w:val="22"/>
          <w:szCs w:val="22"/>
          <w:lang w:val="en-GB"/>
        </w:rPr>
      </w:pPr>
      <w:r w:rsidRPr="00C4152C">
        <w:rPr>
          <w:sz w:val="22"/>
          <w:szCs w:val="22"/>
          <w:lang w:val="en-GB"/>
        </w:rPr>
        <w:t>staff expenses</w:t>
      </w:r>
      <w:r w:rsidR="00C561EF" w:rsidRPr="00C4152C">
        <w:rPr>
          <w:sz w:val="22"/>
          <w:szCs w:val="22"/>
          <w:lang w:val="en-GB"/>
        </w:rPr>
        <w:t>, general and administrative costs,</w:t>
      </w:r>
    </w:p>
    <w:p w:rsidR="00C561EF" w:rsidRPr="00283C9E" w:rsidRDefault="00C561EF" w:rsidP="005A323D">
      <w:pPr>
        <w:numPr>
          <w:ilvl w:val="0"/>
          <w:numId w:val="2"/>
        </w:numPr>
        <w:tabs>
          <w:tab w:val="clear" w:pos="965"/>
          <w:tab w:val="num" w:pos="993"/>
        </w:tabs>
        <w:ind w:left="1134"/>
        <w:jc w:val="both"/>
        <w:rPr>
          <w:sz w:val="22"/>
          <w:szCs w:val="22"/>
          <w:lang w:val="en-GB"/>
        </w:rPr>
      </w:pPr>
      <w:r w:rsidRPr="00283C9E">
        <w:rPr>
          <w:sz w:val="22"/>
          <w:szCs w:val="22"/>
          <w:lang w:val="en-GB"/>
        </w:rPr>
        <w:t>depreciation,</w:t>
      </w:r>
    </w:p>
    <w:p w:rsidR="00C561EF" w:rsidRPr="00014664" w:rsidRDefault="00C561EF" w:rsidP="005A323D">
      <w:pPr>
        <w:numPr>
          <w:ilvl w:val="0"/>
          <w:numId w:val="2"/>
        </w:numPr>
        <w:tabs>
          <w:tab w:val="clear" w:pos="965"/>
          <w:tab w:val="num" w:pos="993"/>
        </w:tabs>
        <w:ind w:left="1134"/>
        <w:jc w:val="both"/>
        <w:rPr>
          <w:sz w:val="22"/>
          <w:szCs w:val="22"/>
          <w:lang w:val="en-GB"/>
        </w:rPr>
      </w:pPr>
      <w:r w:rsidRPr="00014664">
        <w:rPr>
          <w:sz w:val="22"/>
          <w:szCs w:val="22"/>
          <w:lang w:val="en-GB"/>
        </w:rPr>
        <w:t>impairments and provisions</w:t>
      </w:r>
      <w:r w:rsidR="006A7F19" w:rsidRPr="00014664">
        <w:rPr>
          <w:sz w:val="22"/>
          <w:szCs w:val="22"/>
          <w:lang w:val="en-GB"/>
        </w:rPr>
        <w:t xml:space="preserve"> (</w:t>
      </w:r>
      <w:r w:rsidR="00014664" w:rsidRPr="00014664">
        <w:rPr>
          <w:sz w:val="22"/>
          <w:szCs w:val="22"/>
          <w:lang w:val="en-GB"/>
        </w:rPr>
        <w:t xml:space="preserve">for </w:t>
      </w:r>
      <w:r w:rsidR="00283C9E" w:rsidRPr="00014664">
        <w:rPr>
          <w:sz w:val="22"/>
          <w:szCs w:val="22"/>
          <w:lang w:val="en-GB"/>
        </w:rPr>
        <w:t>credit losses</w:t>
      </w:r>
      <w:r w:rsidR="006A7F19" w:rsidRPr="00014664">
        <w:rPr>
          <w:sz w:val="22"/>
          <w:szCs w:val="22"/>
          <w:lang w:val="en-GB"/>
        </w:rPr>
        <w:t>)</w:t>
      </w:r>
      <w:r w:rsidRPr="00014664">
        <w:rPr>
          <w:sz w:val="22"/>
          <w:szCs w:val="22"/>
          <w:lang w:val="en-GB"/>
        </w:rPr>
        <w:t xml:space="preserve">, </w:t>
      </w:r>
    </w:p>
    <w:p w:rsidR="00C561EF" w:rsidRPr="00C4152C" w:rsidRDefault="0050100F" w:rsidP="005A323D">
      <w:pPr>
        <w:numPr>
          <w:ilvl w:val="0"/>
          <w:numId w:val="2"/>
        </w:numPr>
        <w:tabs>
          <w:tab w:val="clear" w:pos="965"/>
          <w:tab w:val="num" w:pos="993"/>
        </w:tabs>
        <w:ind w:left="1134"/>
        <w:jc w:val="both"/>
        <w:rPr>
          <w:sz w:val="22"/>
          <w:szCs w:val="22"/>
          <w:lang w:val="en-GB"/>
        </w:rPr>
      </w:pPr>
      <w:r w:rsidRPr="00283C9E">
        <w:rPr>
          <w:sz w:val="22"/>
          <w:szCs w:val="22"/>
          <w:lang w:val="en-GB"/>
        </w:rPr>
        <w:t>profit or loss before tax from continuing</w:t>
      </w:r>
      <w:r w:rsidR="00C561EF" w:rsidRPr="00C4152C">
        <w:rPr>
          <w:sz w:val="22"/>
          <w:szCs w:val="22"/>
          <w:lang w:val="en-GB"/>
        </w:rPr>
        <w:t xml:space="preserve"> and discontinued operations,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corporate income tax on profit from </w:t>
      </w:r>
      <w:r w:rsidR="001E3E8E" w:rsidRPr="00C4152C">
        <w:rPr>
          <w:sz w:val="22"/>
          <w:szCs w:val="22"/>
          <w:lang w:val="en-GB"/>
        </w:rPr>
        <w:t xml:space="preserve">continuing </w:t>
      </w:r>
      <w:r w:rsidRPr="00C4152C">
        <w:rPr>
          <w:sz w:val="22"/>
          <w:szCs w:val="22"/>
          <w:lang w:val="en-GB"/>
        </w:rPr>
        <w:t>and discontinued operations.</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From the statement of comprehensive income:</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other comprehensive income before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corporate income tax on other comprehensive income.</w:t>
      </w:r>
    </w:p>
    <w:p w:rsidR="00C561EF" w:rsidRPr="00C4152C" w:rsidRDefault="00652574" w:rsidP="00C561EF">
      <w:pPr>
        <w:numPr>
          <w:ilvl w:val="0"/>
          <w:numId w:val="12"/>
        </w:numPr>
        <w:tabs>
          <w:tab w:val="clear" w:pos="1440"/>
        </w:tabs>
        <w:ind w:left="851" w:hanging="425"/>
        <w:rPr>
          <w:sz w:val="22"/>
          <w:szCs w:val="22"/>
          <w:lang w:val="en-GB"/>
        </w:rPr>
      </w:pPr>
      <w:r w:rsidRPr="00C4152C">
        <w:rPr>
          <w:sz w:val="22"/>
          <w:szCs w:val="22"/>
          <w:lang w:val="en-GB"/>
        </w:rPr>
        <w:t xml:space="preserve">The number of </w:t>
      </w:r>
      <w:r w:rsidR="007C3D5D" w:rsidRPr="00C4152C">
        <w:rPr>
          <w:sz w:val="22"/>
          <w:szCs w:val="22"/>
          <w:lang w:val="en-GB"/>
        </w:rPr>
        <w:t>emplo</w:t>
      </w:r>
      <w:r w:rsidRPr="00C4152C">
        <w:rPr>
          <w:sz w:val="22"/>
          <w:szCs w:val="22"/>
          <w:lang w:val="en-GB"/>
        </w:rPr>
        <w:t xml:space="preserve">yees </w:t>
      </w:r>
      <w:r w:rsidR="00C561EF" w:rsidRPr="00C4152C">
        <w:rPr>
          <w:sz w:val="22"/>
          <w:szCs w:val="22"/>
          <w:lang w:val="en-GB"/>
        </w:rPr>
        <w:t>(as at the end of the financial year).</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Shares: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number of shareholders,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number of shares,</w:t>
      </w:r>
    </w:p>
    <w:p w:rsidR="00C561EF" w:rsidRPr="00C4152C" w:rsidRDefault="00120BE5"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nominal (par) </w:t>
      </w:r>
      <w:r w:rsidR="00C561EF" w:rsidRPr="00C4152C">
        <w:rPr>
          <w:sz w:val="22"/>
          <w:szCs w:val="22"/>
          <w:lang w:val="en-GB"/>
        </w:rPr>
        <w:t>value of one share or corresponding amount of share capital of one no-par-value share,</w:t>
      </w:r>
    </w:p>
    <w:p w:rsidR="00C561EF" w:rsidRPr="00C4152C" w:rsidRDefault="00292315"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carrying </w:t>
      </w:r>
      <w:r w:rsidR="00207340" w:rsidRPr="00C4152C">
        <w:rPr>
          <w:sz w:val="22"/>
          <w:szCs w:val="22"/>
          <w:lang w:val="en-GB"/>
        </w:rPr>
        <w:t>amou</w:t>
      </w:r>
      <w:r w:rsidR="00C4152C">
        <w:rPr>
          <w:sz w:val="22"/>
          <w:szCs w:val="22"/>
          <w:lang w:val="en-GB"/>
        </w:rPr>
        <w:t>n</w:t>
      </w:r>
      <w:r w:rsidR="00207340" w:rsidRPr="00C4152C">
        <w:rPr>
          <w:sz w:val="22"/>
          <w:szCs w:val="22"/>
          <w:lang w:val="en-GB"/>
        </w:rPr>
        <w:t>t</w:t>
      </w:r>
      <w:r w:rsidR="00C561EF" w:rsidRPr="00C4152C">
        <w:rPr>
          <w:sz w:val="22"/>
          <w:szCs w:val="22"/>
          <w:lang w:val="en-GB"/>
        </w:rPr>
        <w:t xml:space="preserve"> of one share.</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Selected indicators:</w:t>
      </w:r>
    </w:p>
    <w:p w:rsidR="00C561EF" w:rsidRPr="00C4152C" w:rsidRDefault="00C561EF" w:rsidP="00C561EF">
      <w:pPr>
        <w:pStyle w:val="Odstavek"/>
        <w:numPr>
          <w:ilvl w:val="0"/>
          <w:numId w:val="22"/>
        </w:numPr>
        <w:tabs>
          <w:tab w:val="clear" w:pos="4500"/>
        </w:tabs>
        <w:spacing w:before="0"/>
        <w:ind w:left="0"/>
        <w:rPr>
          <w:lang w:val="en-GB"/>
        </w:rPr>
      </w:pPr>
      <w:r w:rsidRPr="00C4152C">
        <w:rPr>
          <w:lang w:val="en-GB"/>
        </w:rPr>
        <w:t>capital:</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common equity Tier 1 capital ratio,</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Tier 1 capital ratio,</w:t>
      </w:r>
    </w:p>
    <w:p w:rsidR="00C561EF" w:rsidRPr="00C4152C" w:rsidRDefault="00AE492E"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total </w:t>
      </w:r>
      <w:r w:rsidR="00C561EF" w:rsidRPr="00C4152C">
        <w:rPr>
          <w:sz w:val="22"/>
          <w:szCs w:val="22"/>
          <w:lang w:val="en-GB"/>
        </w:rPr>
        <w:t>capital ratio</w:t>
      </w:r>
      <w:r w:rsidR="00263872">
        <w:rPr>
          <w:sz w:val="22"/>
          <w:szCs w:val="22"/>
          <w:lang w:val="en-GB"/>
        </w:rPr>
        <w:t>.</w:t>
      </w:r>
    </w:p>
    <w:p w:rsidR="00C561EF" w:rsidRPr="007947F1" w:rsidRDefault="00C561EF" w:rsidP="00C561EF">
      <w:pPr>
        <w:pStyle w:val="Odstavek"/>
        <w:numPr>
          <w:ilvl w:val="0"/>
          <w:numId w:val="22"/>
        </w:numPr>
        <w:tabs>
          <w:tab w:val="clear" w:pos="4500"/>
        </w:tabs>
        <w:spacing w:before="0"/>
        <w:ind w:left="0"/>
        <w:rPr>
          <w:lang w:val="en-GB"/>
        </w:rPr>
      </w:pPr>
      <w:r w:rsidRPr="007947F1">
        <w:rPr>
          <w:lang w:val="en-GB"/>
        </w:rPr>
        <w:t xml:space="preserve">quality of assets and commitments given: </w:t>
      </w:r>
    </w:p>
    <w:p w:rsidR="007947F1" w:rsidRPr="00701FAB" w:rsidRDefault="007947F1" w:rsidP="005A323D">
      <w:pPr>
        <w:numPr>
          <w:ilvl w:val="0"/>
          <w:numId w:val="2"/>
        </w:numPr>
        <w:tabs>
          <w:tab w:val="clear" w:pos="965"/>
          <w:tab w:val="num" w:pos="993"/>
        </w:tabs>
        <w:ind w:left="1134"/>
        <w:jc w:val="both"/>
        <w:rPr>
          <w:sz w:val="22"/>
          <w:szCs w:val="22"/>
          <w:lang w:val="en-GB"/>
        </w:rPr>
      </w:pPr>
      <w:r w:rsidRPr="00701FAB">
        <w:rPr>
          <w:sz w:val="22"/>
          <w:szCs w:val="22"/>
          <w:lang w:val="en-GB"/>
        </w:rPr>
        <w:t>non-performing (</w:t>
      </w:r>
      <w:r w:rsidR="00701FAB" w:rsidRPr="00701FAB">
        <w:rPr>
          <w:sz w:val="22"/>
          <w:szCs w:val="22"/>
          <w:lang w:val="en-GB"/>
        </w:rPr>
        <w:t>on-</w:t>
      </w:r>
      <w:r w:rsidRPr="00701FAB">
        <w:rPr>
          <w:sz w:val="22"/>
          <w:szCs w:val="22"/>
          <w:lang w:val="en-GB"/>
        </w:rPr>
        <w:t>balance</w:t>
      </w:r>
      <w:r w:rsidR="00701FAB" w:rsidRPr="00701FAB">
        <w:rPr>
          <w:sz w:val="22"/>
          <w:szCs w:val="22"/>
          <w:lang w:val="en-GB"/>
        </w:rPr>
        <w:t xml:space="preserve"> sheet</w:t>
      </w:r>
      <w:r w:rsidRPr="00701FAB">
        <w:rPr>
          <w:sz w:val="22"/>
          <w:szCs w:val="22"/>
          <w:lang w:val="en-GB"/>
        </w:rPr>
        <w:t xml:space="preserve"> and off-balance</w:t>
      </w:r>
      <w:r w:rsidR="00701FAB" w:rsidRPr="00701FAB">
        <w:rPr>
          <w:sz w:val="22"/>
          <w:szCs w:val="22"/>
          <w:lang w:val="en-GB"/>
        </w:rPr>
        <w:t xml:space="preserve"> sheet</w:t>
      </w:r>
      <w:r w:rsidRPr="00701FAB">
        <w:rPr>
          <w:sz w:val="22"/>
          <w:szCs w:val="22"/>
          <w:lang w:val="en-GB"/>
        </w:rPr>
        <w:t xml:space="preserve">) exposures </w:t>
      </w:r>
      <w:r w:rsidR="00C561EF" w:rsidRPr="00701FAB">
        <w:rPr>
          <w:sz w:val="22"/>
          <w:szCs w:val="22"/>
          <w:lang w:val="en-GB"/>
        </w:rPr>
        <w:t xml:space="preserve"> / classified on-balance-sheet and off-balance-sheet asset items,</w:t>
      </w:r>
    </w:p>
    <w:p w:rsidR="006A7F19" w:rsidRPr="00701FAB" w:rsidRDefault="00701FAB" w:rsidP="005A323D">
      <w:pPr>
        <w:numPr>
          <w:ilvl w:val="0"/>
          <w:numId w:val="2"/>
        </w:numPr>
        <w:tabs>
          <w:tab w:val="clear" w:pos="965"/>
          <w:tab w:val="num" w:pos="993"/>
        </w:tabs>
        <w:ind w:left="1134"/>
        <w:jc w:val="both"/>
        <w:rPr>
          <w:sz w:val="22"/>
          <w:szCs w:val="22"/>
          <w:lang w:val="en-GB"/>
        </w:rPr>
      </w:pPr>
      <w:r w:rsidRPr="00701FAB">
        <w:rPr>
          <w:sz w:val="22"/>
          <w:szCs w:val="22"/>
          <w:lang w:val="en-GB"/>
        </w:rPr>
        <w:t xml:space="preserve">non-performing loans and </w:t>
      </w:r>
      <w:r w:rsidR="000F0F10">
        <w:rPr>
          <w:sz w:val="22"/>
          <w:szCs w:val="22"/>
          <w:lang w:val="en-GB"/>
        </w:rPr>
        <w:t>advances</w:t>
      </w:r>
      <w:r w:rsidR="006A7F19" w:rsidRPr="00701FAB">
        <w:rPr>
          <w:sz w:val="22"/>
          <w:szCs w:val="22"/>
          <w:lang w:val="en-GB"/>
        </w:rPr>
        <w:t xml:space="preserve"> / </w:t>
      </w:r>
      <w:r w:rsidRPr="00701FAB">
        <w:rPr>
          <w:sz w:val="22"/>
          <w:szCs w:val="22"/>
          <w:lang w:val="en-GB"/>
        </w:rPr>
        <w:t xml:space="preserve">classified loans and </w:t>
      </w:r>
      <w:r w:rsidR="000F0F10">
        <w:rPr>
          <w:sz w:val="22"/>
          <w:szCs w:val="22"/>
          <w:lang w:val="en-GB"/>
        </w:rPr>
        <w:t>advances</w:t>
      </w:r>
      <w:r w:rsidR="006A7F19" w:rsidRPr="00701FAB">
        <w:rPr>
          <w:sz w:val="22"/>
          <w:szCs w:val="22"/>
          <w:lang w:val="en-GB"/>
        </w:rPr>
        <w:t>,</w:t>
      </w:r>
    </w:p>
    <w:p w:rsidR="006A7F19" w:rsidRPr="000F0F10" w:rsidRDefault="000F0F10" w:rsidP="005A323D">
      <w:pPr>
        <w:numPr>
          <w:ilvl w:val="0"/>
          <w:numId w:val="2"/>
        </w:numPr>
        <w:tabs>
          <w:tab w:val="clear" w:pos="965"/>
          <w:tab w:val="num" w:pos="993"/>
        </w:tabs>
        <w:ind w:left="1134"/>
        <w:jc w:val="both"/>
        <w:rPr>
          <w:sz w:val="22"/>
          <w:szCs w:val="22"/>
          <w:lang w:val="en-GB"/>
        </w:rPr>
      </w:pPr>
      <w:r w:rsidRPr="00600BBA">
        <w:rPr>
          <w:sz w:val="22"/>
          <w:szCs w:val="22"/>
          <w:lang w:val="en-GB"/>
        </w:rPr>
        <w:t xml:space="preserve">allowances, value adjustments </w:t>
      </w:r>
      <w:r w:rsidR="00701FAB" w:rsidRPr="00600BBA">
        <w:rPr>
          <w:sz w:val="22"/>
          <w:szCs w:val="22"/>
          <w:lang w:val="en-GB"/>
        </w:rPr>
        <w:t>and provisions for</w:t>
      </w:r>
      <w:r w:rsidR="00701FAB" w:rsidRPr="000F0F10">
        <w:rPr>
          <w:sz w:val="22"/>
          <w:szCs w:val="22"/>
          <w:lang w:val="en-GB"/>
        </w:rPr>
        <w:t xml:space="preserve"> credit losses</w:t>
      </w:r>
      <w:r w:rsidR="006A7F19" w:rsidRPr="000F0F10">
        <w:rPr>
          <w:sz w:val="22"/>
          <w:szCs w:val="22"/>
          <w:lang w:val="en-GB"/>
        </w:rPr>
        <w:t xml:space="preserve"> / </w:t>
      </w:r>
      <w:r w:rsidR="00701FAB" w:rsidRPr="000F0F10">
        <w:rPr>
          <w:sz w:val="22"/>
          <w:szCs w:val="22"/>
          <w:lang w:val="en-GB"/>
        </w:rPr>
        <w:t>non-performing exposures</w:t>
      </w:r>
      <w:r w:rsidR="006A7F19" w:rsidRPr="000F0F10">
        <w:rPr>
          <w:sz w:val="22"/>
          <w:szCs w:val="22"/>
          <w:lang w:val="en-GB"/>
        </w:rPr>
        <w:t>,</w:t>
      </w:r>
    </w:p>
    <w:p w:rsidR="00C561EF" w:rsidRPr="000F0F10" w:rsidRDefault="00701FAB" w:rsidP="005A323D">
      <w:pPr>
        <w:numPr>
          <w:ilvl w:val="0"/>
          <w:numId w:val="2"/>
        </w:numPr>
        <w:tabs>
          <w:tab w:val="clear" w:pos="965"/>
          <w:tab w:val="num" w:pos="993"/>
        </w:tabs>
        <w:ind w:left="1134"/>
        <w:jc w:val="both"/>
        <w:rPr>
          <w:sz w:val="22"/>
          <w:szCs w:val="22"/>
          <w:lang w:val="en-GB"/>
        </w:rPr>
      </w:pPr>
      <w:r w:rsidRPr="000F0F10">
        <w:rPr>
          <w:sz w:val="22"/>
          <w:szCs w:val="22"/>
          <w:lang w:val="en-GB"/>
        </w:rPr>
        <w:t>collaterals received</w:t>
      </w:r>
      <w:r w:rsidR="006A7F19" w:rsidRPr="000F0F10">
        <w:rPr>
          <w:sz w:val="22"/>
          <w:szCs w:val="22"/>
          <w:lang w:val="en-GB"/>
        </w:rPr>
        <w:t xml:space="preserve"> / </w:t>
      </w:r>
      <w:r w:rsidRPr="000F0F10">
        <w:rPr>
          <w:sz w:val="22"/>
          <w:szCs w:val="22"/>
          <w:lang w:val="en-GB"/>
        </w:rPr>
        <w:t>non-performing exposures</w:t>
      </w:r>
      <w:r w:rsidR="00263872">
        <w:rPr>
          <w:sz w:val="22"/>
          <w:szCs w:val="22"/>
          <w:lang w:val="en-GB"/>
        </w:rPr>
        <w:t>.</w:t>
      </w:r>
    </w:p>
    <w:p w:rsidR="00C561EF" w:rsidRPr="00C4152C" w:rsidRDefault="00C561EF" w:rsidP="00C561EF">
      <w:pPr>
        <w:pStyle w:val="Odstavek"/>
        <w:numPr>
          <w:ilvl w:val="0"/>
          <w:numId w:val="22"/>
        </w:numPr>
        <w:tabs>
          <w:tab w:val="clear" w:pos="4500"/>
        </w:tabs>
        <w:spacing w:before="0"/>
        <w:ind w:left="0"/>
        <w:rPr>
          <w:lang w:val="en-GB"/>
        </w:rPr>
      </w:pPr>
      <w:r w:rsidRPr="00C4152C">
        <w:rPr>
          <w:lang w:val="en-GB"/>
        </w:rPr>
        <w:t>profitability:</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interest margin,</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financial intermediation margin,</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assets after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equity before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equity after tax</w:t>
      </w:r>
      <w:r w:rsidR="00263872">
        <w:rPr>
          <w:sz w:val="22"/>
          <w:szCs w:val="22"/>
          <w:lang w:val="en-GB"/>
        </w:rPr>
        <w:t>.</w:t>
      </w:r>
    </w:p>
    <w:p w:rsidR="00C561EF" w:rsidRPr="00C4152C" w:rsidRDefault="00C561EF" w:rsidP="00C561EF">
      <w:pPr>
        <w:pStyle w:val="Odstavek"/>
        <w:numPr>
          <w:ilvl w:val="0"/>
          <w:numId w:val="22"/>
        </w:numPr>
        <w:tabs>
          <w:tab w:val="clear" w:pos="4500"/>
        </w:tabs>
        <w:spacing w:before="0"/>
        <w:ind w:left="0"/>
        <w:rPr>
          <w:lang w:val="en-GB"/>
        </w:rPr>
      </w:pPr>
      <w:r w:rsidRPr="00C4152C">
        <w:rPr>
          <w:lang w:val="en-GB"/>
        </w:rPr>
        <w:t>operating costs:</w:t>
      </w:r>
    </w:p>
    <w:p w:rsidR="00C561EF" w:rsidRPr="008967B5" w:rsidRDefault="00C561EF" w:rsidP="005A323D">
      <w:pPr>
        <w:numPr>
          <w:ilvl w:val="0"/>
          <w:numId w:val="2"/>
        </w:numPr>
        <w:tabs>
          <w:tab w:val="clear" w:pos="965"/>
          <w:tab w:val="num" w:pos="993"/>
        </w:tabs>
        <w:ind w:left="1134"/>
        <w:jc w:val="both"/>
        <w:rPr>
          <w:sz w:val="22"/>
          <w:szCs w:val="22"/>
          <w:lang w:val="en-GB"/>
        </w:rPr>
      </w:pPr>
      <w:r w:rsidRPr="008967B5">
        <w:rPr>
          <w:sz w:val="22"/>
          <w:szCs w:val="22"/>
          <w:lang w:val="en-GB"/>
        </w:rPr>
        <w:t>operating costs / average assets</w:t>
      </w:r>
      <w:r w:rsidR="00263872">
        <w:rPr>
          <w:sz w:val="22"/>
          <w:szCs w:val="22"/>
          <w:lang w:val="en-GB"/>
        </w:rPr>
        <w:t>.</w:t>
      </w:r>
    </w:p>
    <w:p w:rsidR="00C561EF" w:rsidRPr="008967B5" w:rsidRDefault="00C561EF" w:rsidP="00C561EF">
      <w:pPr>
        <w:pStyle w:val="Odstavek"/>
        <w:numPr>
          <w:ilvl w:val="0"/>
          <w:numId w:val="22"/>
        </w:numPr>
        <w:tabs>
          <w:tab w:val="clear" w:pos="4500"/>
        </w:tabs>
        <w:spacing w:before="0"/>
        <w:ind w:left="0"/>
        <w:rPr>
          <w:lang w:val="en-GB"/>
        </w:rPr>
      </w:pPr>
      <w:r w:rsidRPr="008967B5">
        <w:rPr>
          <w:lang w:val="en-GB"/>
        </w:rPr>
        <w:t>liquidity:</w:t>
      </w:r>
    </w:p>
    <w:p w:rsidR="006A7F19" w:rsidRPr="008967B5" w:rsidRDefault="008967B5" w:rsidP="005A323D">
      <w:pPr>
        <w:numPr>
          <w:ilvl w:val="0"/>
          <w:numId w:val="2"/>
        </w:numPr>
        <w:tabs>
          <w:tab w:val="clear" w:pos="965"/>
          <w:tab w:val="num" w:pos="993"/>
        </w:tabs>
        <w:ind w:left="1134"/>
        <w:jc w:val="both"/>
        <w:rPr>
          <w:sz w:val="22"/>
          <w:szCs w:val="22"/>
          <w:lang w:val="en-GB"/>
        </w:rPr>
      </w:pPr>
      <w:r w:rsidRPr="008967B5">
        <w:rPr>
          <w:sz w:val="22"/>
          <w:szCs w:val="22"/>
          <w:lang w:val="en-GB"/>
        </w:rPr>
        <w:t>liquidity coverage ratio</w:t>
      </w:r>
      <w:r w:rsidR="006A7F19" w:rsidRPr="008967B5">
        <w:rPr>
          <w:sz w:val="22"/>
          <w:szCs w:val="22"/>
          <w:lang w:val="en-GB"/>
        </w:rPr>
        <w:t xml:space="preserve">, </w:t>
      </w:r>
    </w:p>
    <w:p w:rsidR="006A7F19" w:rsidRPr="008967B5" w:rsidRDefault="006A7F19" w:rsidP="005A323D">
      <w:pPr>
        <w:numPr>
          <w:ilvl w:val="0"/>
          <w:numId w:val="2"/>
        </w:numPr>
        <w:tabs>
          <w:tab w:val="clear" w:pos="965"/>
          <w:tab w:val="num" w:pos="993"/>
        </w:tabs>
        <w:ind w:left="1134"/>
        <w:jc w:val="both"/>
        <w:rPr>
          <w:sz w:val="22"/>
          <w:szCs w:val="22"/>
          <w:lang w:val="en-GB"/>
        </w:rPr>
      </w:pPr>
      <w:r w:rsidRPr="008967B5">
        <w:rPr>
          <w:sz w:val="22"/>
          <w:szCs w:val="22"/>
          <w:lang w:val="en-GB"/>
        </w:rPr>
        <w:t>li</w:t>
      </w:r>
      <w:r w:rsidR="00C3056A" w:rsidRPr="008967B5">
        <w:rPr>
          <w:sz w:val="22"/>
          <w:szCs w:val="22"/>
          <w:lang w:val="en-GB"/>
        </w:rPr>
        <w:t>quidity buffer</w:t>
      </w:r>
      <w:r w:rsidRPr="008967B5">
        <w:rPr>
          <w:sz w:val="22"/>
          <w:szCs w:val="22"/>
          <w:lang w:val="en-GB"/>
        </w:rPr>
        <w:t xml:space="preserve">, </w:t>
      </w:r>
    </w:p>
    <w:p w:rsidR="00C561EF" w:rsidRPr="008967B5" w:rsidRDefault="00C3056A" w:rsidP="005A323D">
      <w:pPr>
        <w:numPr>
          <w:ilvl w:val="0"/>
          <w:numId w:val="2"/>
        </w:numPr>
        <w:tabs>
          <w:tab w:val="clear" w:pos="965"/>
          <w:tab w:val="num" w:pos="993"/>
        </w:tabs>
        <w:ind w:left="1134"/>
        <w:jc w:val="both"/>
        <w:rPr>
          <w:sz w:val="22"/>
          <w:szCs w:val="22"/>
          <w:lang w:val="en-GB"/>
        </w:rPr>
      </w:pPr>
      <w:r w:rsidRPr="008967B5">
        <w:rPr>
          <w:sz w:val="22"/>
          <w:szCs w:val="22"/>
          <w:lang w:val="en-GB"/>
        </w:rPr>
        <w:t>total net cash outflows</w:t>
      </w:r>
      <w:r w:rsidR="00C561EF" w:rsidRPr="008967B5">
        <w:rPr>
          <w:sz w:val="22"/>
          <w:szCs w:val="22"/>
          <w:lang w:val="en-GB"/>
        </w:rPr>
        <w:t>.</w:t>
      </w:r>
    </w:p>
    <w:p w:rsidR="006A5244" w:rsidRPr="006A5244" w:rsidRDefault="00C561EF" w:rsidP="006A7F19">
      <w:pPr>
        <w:pStyle w:val="Odstavek"/>
        <w:numPr>
          <w:ilvl w:val="0"/>
          <w:numId w:val="11"/>
        </w:numPr>
        <w:rPr>
          <w:lang w:val="en-GB"/>
        </w:rPr>
      </w:pPr>
      <w:r w:rsidRPr="006A5244">
        <w:rPr>
          <w:lang w:val="en-GB"/>
        </w:rPr>
        <w:t>The bank shall disclose the data and indicators set out in the fourth paragraph of this article in the report for a period of three years, including the data for the financial year</w:t>
      </w:r>
      <w:r w:rsidR="000E653D" w:rsidRPr="006A5244">
        <w:rPr>
          <w:lang w:val="en-GB"/>
        </w:rPr>
        <w:t xml:space="preserve">. Notwithstanding the pervious sentence, the bank shall present the data referred to in point 6 (e) of the fourth paragraph of this article for the four quarters of the previous financial year (January-March, April-June, July-September, </w:t>
      </w:r>
      <w:r w:rsidR="000E653D" w:rsidRPr="00F25EBF">
        <w:rPr>
          <w:lang w:val="en-GB"/>
        </w:rPr>
        <w:t>October-December)</w:t>
      </w:r>
      <w:r w:rsidR="004F718A" w:rsidRPr="00F25EBF">
        <w:rPr>
          <w:lang w:val="en-GB"/>
        </w:rPr>
        <w:t xml:space="preserve">, calculated as a simple average of data as at the end of each month in </w:t>
      </w:r>
      <w:r w:rsidR="004F718A" w:rsidRPr="00B71530">
        <w:rPr>
          <w:lang w:val="en-GB"/>
        </w:rPr>
        <w:t xml:space="preserve">12 months </w:t>
      </w:r>
      <w:r w:rsidR="006A5244" w:rsidRPr="00B71530">
        <w:rPr>
          <w:lang w:val="en-GB"/>
        </w:rPr>
        <w:t xml:space="preserve">period </w:t>
      </w:r>
      <w:r w:rsidR="004F718A" w:rsidRPr="00B71530">
        <w:rPr>
          <w:lang w:val="en-GB"/>
        </w:rPr>
        <w:t xml:space="preserve">before </w:t>
      </w:r>
      <w:r w:rsidR="004F718A" w:rsidRPr="006A5244">
        <w:rPr>
          <w:lang w:val="en-GB"/>
        </w:rPr>
        <w:t xml:space="preserve">each </w:t>
      </w:r>
      <w:r w:rsidR="00C61AFA">
        <w:rPr>
          <w:lang w:val="en-GB"/>
        </w:rPr>
        <w:t xml:space="preserve">of the relevant </w:t>
      </w:r>
      <w:r w:rsidR="004F718A" w:rsidRPr="006A5244">
        <w:rPr>
          <w:lang w:val="en-GB"/>
        </w:rPr>
        <w:t>quarter</w:t>
      </w:r>
      <w:r w:rsidR="006A5244" w:rsidRPr="006A5244">
        <w:rPr>
          <w:lang w:val="en-GB"/>
        </w:rPr>
        <w:t>.</w:t>
      </w:r>
    </w:p>
    <w:p w:rsidR="00C561EF" w:rsidRPr="00C4152C" w:rsidRDefault="00C561EF" w:rsidP="00C561EF">
      <w:pPr>
        <w:pStyle w:val="Odstavek"/>
        <w:numPr>
          <w:ilvl w:val="0"/>
          <w:numId w:val="11"/>
        </w:numPr>
        <w:rPr>
          <w:lang w:val="en-GB"/>
        </w:rPr>
      </w:pPr>
      <w:r w:rsidRPr="00C4152C">
        <w:rPr>
          <w:lang w:val="en-GB"/>
        </w:rPr>
        <w:t>The Bank of Slovenia shall prescribe the methodology for calculating the selected indicators set out in the fourth paragraph of this article via guidelines published on its website.</w:t>
      </w:r>
    </w:p>
    <w:p w:rsidR="00C561EF" w:rsidRPr="00C4152C" w:rsidRDefault="00C561EF" w:rsidP="00C561EF">
      <w:pPr>
        <w:pStyle w:val="Odstavek"/>
        <w:numPr>
          <w:ilvl w:val="0"/>
          <w:numId w:val="11"/>
        </w:numPr>
        <w:rPr>
          <w:lang w:val="en-GB"/>
        </w:rPr>
      </w:pPr>
      <w:r w:rsidRPr="00C4152C">
        <w:rPr>
          <w:lang w:val="en-GB"/>
        </w:rPr>
        <w:t>The bank shall also disclose other data and indicators that it assesses as being material to the presentation of the bank.</w:t>
      </w:r>
    </w:p>
    <w:p w:rsidR="00C561EF" w:rsidRDefault="00C561EF" w:rsidP="005A323D">
      <w:pPr>
        <w:jc w:val="both"/>
        <w:rPr>
          <w:sz w:val="22"/>
          <w:szCs w:val="22"/>
          <w:highlight w:val="yellow"/>
          <w:lang w:val="en-GB"/>
        </w:rPr>
      </w:pPr>
    </w:p>
    <w:p w:rsidR="00C561EF" w:rsidRPr="00C4152C" w:rsidRDefault="00C561EF" w:rsidP="00B80689">
      <w:pPr>
        <w:ind w:left="284"/>
        <w:jc w:val="center"/>
        <w:rPr>
          <w:bCs/>
          <w:sz w:val="22"/>
          <w:szCs w:val="22"/>
          <w:lang w:val="en-GB"/>
        </w:rPr>
      </w:pPr>
      <w:r w:rsidRPr="00C4152C">
        <w:rPr>
          <w:sz w:val="22"/>
          <w:szCs w:val="22"/>
          <w:lang w:val="en-GB"/>
        </w:rPr>
        <w:t>Article 15</w:t>
      </w:r>
    </w:p>
    <w:p w:rsidR="00C561EF" w:rsidRPr="00C4152C" w:rsidRDefault="00C561EF" w:rsidP="00C561EF">
      <w:pPr>
        <w:jc w:val="center"/>
        <w:rPr>
          <w:bCs/>
          <w:sz w:val="22"/>
          <w:szCs w:val="22"/>
          <w:lang w:val="en-GB"/>
        </w:rPr>
      </w:pPr>
      <w:r w:rsidRPr="00C4152C">
        <w:rPr>
          <w:sz w:val="22"/>
          <w:szCs w:val="22"/>
          <w:lang w:val="en-GB"/>
        </w:rPr>
        <w:t>(bank’s share capital and shareholders)</w:t>
      </w:r>
    </w:p>
    <w:p w:rsidR="00C561EF" w:rsidRPr="00C4152C" w:rsidRDefault="006422DB" w:rsidP="00C561EF">
      <w:pPr>
        <w:pStyle w:val="Odstavek"/>
        <w:rPr>
          <w:lang w:val="en-GB"/>
        </w:rPr>
      </w:pPr>
      <w:r w:rsidRPr="00C4152C">
        <w:rPr>
          <w:lang w:val="en-GB"/>
        </w:rPr>
        <w:t>The bank shall disclose data on its share capital</w:t>
      </w:r>
      <w:r w:rsidR="00C561EF" w:rsidRPr="00C4152C">
        <w:rPr>
          <w:lang w:val="en-GB"/>
        </w:rPr>
        <w:t xml:space="preserve"> and the components thereof. The bank shall cite data on changes in share capital and the reasons for the change, including the impact of comprehensive income for the financial year after tax and dividend payments, and data on the issue of new shares. The bank shall cite the number of share issues, the classes of shares issued, the total number of shares and the </w:t>
      </w:r>
      <w:r w:rsidR="00020A8E" w:rsidRPr="00C4152C">
        <w:rPr>
          <w:lang w:val="en-GB"/>
        </w:rPr>
        <w:t xml:space="preserve">nominal </w:t>
      </w:r>
      <w:r w:rsidR="00C561EF" w:rsidRPr="00C4152C">
        <w:rPr>
          <w:lang w:val="en-GB"/>
        </w:rPr>
        <w:t>value of one share or corresponding amount of share capital of one no-par-value share, and the emission value of individual issues. The bank shall disclose the breakdown of shareholders (domestic/foreign) as at the final day of the financial year, and shall cite the ten largest shareholders and their holdings of the bank’s share capital.</w:t>
      </w:r>
    </w:p>
    <w:p w:rsidR="00C561EF" w:rsidRPr="00C4152C" w:rsidRDefault="00C561EF" w:rsidP="00C561EF">
      <w:pPr>
        <w:rPr>
          <w:bCs/>
          <w:sz w:val="22"/>
          <w:szCs w:val="22"/>
          <w:lang w:val="en-GB"/>
        </w:rPr>
      </w:pP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16</w:t>
      </w:r>
    </w:p>
    <w:p w:rsidR="00C561EF" w:rsidRPr="00C4152C" w:rsidRDefault="00C561EF" w:rsidP="00C561EF">
      <w:pPr>
        <w:jc w:val="center"/>
        <w:rPr>
          <w:bCs/>
          <w:sz w:val="22"/>
          <w:szCs w:val="22"/>
          <w:lang w:val="en-GB"/>
        </w:rPr>
      </w:pPr>
      <w:r w:rsidRPr="00C4152C">
        <w:rPr>
          <w:sz w:val="22"/>
          <w:szCs w:val="22"/>
          <w:lang w:val="en-GB"/>
        </w:rPr>
        <w:t>(description of bank’s development)</w:t>
      </w:r>
    </w:p>
    <w:p w:rsidR="00C561EF" w:rsidRPr="00C4152C" w:rsidRDefault="00C561EF" w:rsidP="00C561EF">
      <w:pPr>
        <w:pStyle w:val="Odstavek"/>
        <w:rPr>
          <w:lang w:val="en-GB"/>
        </w:rPr>
      </w:pPr>
      <w:r w:rsidRPr="00C4152C">
        <w:rPr>
          <w:lang w:val="en-GB"/>
        </w:rPr>
        <w:t xml:space="preserve">The bank shall describe its development and shall disclose material data relating to its operation, such as data about the business network, data about investments, data about employees and data about information </w:t>
      </w:r>
      <w:r w:rsidR="00661E25" w:rsidRPr="00C4152C">
        <w:rPr>
          <w:lang w:val="en-GB"/>
        </w:rPr>
        <w:t xml:space="preserve">technology </w:t>
      </w:r>
      <w:r w:rsidRPr="00C4152C">
        <w:rPr>
          <w:lang w:val="en-GB"/>
        </w:rPr>
        <w:t xml:space="preserve">support, and other data that it assesses as contributing to a better presentation of the bank. </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C561EF">
      <w:pPr>
        <w:jc w:val="center"/>
        <w:rPr>
          <w:i/>
          <w:sz w:val="22"/>
          <w:szCs w:val="22"/>
          <w:lang w:val="en-GB"/>
        </w:rPr>
      </w:pPr>
      <w:r w:rsidRPr="00C4152C">
        <w:rPr>
          <w:i/>
          <w:iCs/>
          <w:sz w:val="22"/>
          <w:szCs w:val="22"/>
          <w:lang w:val="en-GB"/>
        </w:rPr>
        <w:t>3.2.2  Bank’s governance</w:t>
      </w:r>
    </w:p>
    <w:p w:rsidR="00C561EF" w:rsidRPr="00C4152C" w:rsidRDefault="00C561EF" w:rsidP="00C561EF">
      <w:pPr>
        <w:jc w:val="both"/>
        <w:rPr>
          <w:sz w:val="22"/>
          <w:szCs w:val="22"/>
          <w:lang w:val="en-GB"/>
        </w:rPr>
      </w:pPr>
    </w:p>
    <w:p w:rsidR="005A323D" w:rsidRDefault="00C561EF" w:rsidP="005A323D">
      <w:pPr>
        <w:ind w:left="284"/>
        <w:jc w:val="center"/>
        <w:rPr>
          <w:sz w:val="22"/>
          <w:szCs w:val="22"/>
          <w:lang w:val="en-GB"/>
        </w:rPr>
      </w:pPr>
      <w:r w:rsidRPr="00C4152C">
        <w:rPr>
          <w:sz w:val="22"/>
          <w:szCs w:val="22"/>
          <w:lang w:val="en-GB"/>
        </w:rPr>
        <w:t>Article 17</w:t>
      </w:r>
    </w:p>
    <w:p w:rsidR="00C561EF" w:rsidRPr="00C4152C" w:rsidRDefault="00C561EF" w:rsidP="005A323D">
      <w:pPr>
        <w:ind w:left="284"/>
        <w:jc w:val="center"/>
        <w:rPr>
          <w:bCs/>
          <w:sz w:val="22"/>
          <w:szCs w:val="22"/>
          <w:lang w:val="en-GB"/>
        </w:rPr>
      </w:pPr>
      <w:r w:rsidRPr="00C4152C">
        <w:rPr>
          <w:sz w:val="22"/>
          <w:szCs w:val="22"/>
          <w:lang w:val="en-GB"/>
        </w:rPr>
        <w:t>(bank’s governance)</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In the report the bank shall disclose data on the structure of the management or supervisory bodies and on the senior management.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p>
    <w:p w:rsidR="00C561EF" w:rsidRPr="00C4152C" w:rsidRDefault="00C561EF" w:rsidP="00C561EF">
      <w:pPr>
        <w:jc w:val="center"/>
        <w:rPr>
          <w:i/>
          <w:sz w:val="22"/>
          <w:szCs w:val="22"/>
          <w:lang w:val="en-GB"/>
        </w:rPr>
      </w:pPr>
      <w:r w:rsidRPr="00C4152C">
        <w:rPr>
          <w:i/>
          <w:iCs/>
          <w:sz w:val="22"/>
          <w:szCs w:val="22"/>
          <w:lang w:val="en-GB"/>
        </w:rPr>
        <w:t>3.2.3  Schematic illustrations</w:t>
      </w:r>
    </w:p>
    <w:p w:rsidR="00C561EF" w:rsidRPr="00C4152C" w:rsidRDefault="00C561EF" w:rsidP="00C561EF">
      <w:pPr>
        <w:jc w:val="both"/>
        <w:rPr>
          <w:sz w:val="22"/>
          <w:szCs w:val="22"/>
          <w:lang w:val="en-GB"/>
        </w:rPr>
      </w:pPr>
    </w:p>
    <w:p w:rsidR="00B23173" w:rsidRDefault="00C561EF" w:rsidP="00C561EF">
      <w:pPr>
        <w:jc w:val="center"/>
        <w:rPr>
          <w:sz w:val="22"/>
          <w:szCs w:val="22"/>
          <w:lang w:val="en-GB"/>
        </w:rPr>
      </w:pPr>
      <w:r w:rsidRPr="00C4152C">
        <w:rPr>
          <w:sz w:val="22"/>
          <w:szCs w:val="22"/>
          <w:lang w:val="en-GB"/>
        </w:rPr>
        <w:t>Article 18</w:t>
      </w:r>
    </w:p>
    <w:p w:rsidR="00C561EF" w:rsidRPr="00C4152C" w:rsidRDefault="00C561EF" w:rsidP="00C561EF">
      <w:pPr>
        <w:jc w:val="center"/>
        <w:rPr>
          <w:bCs/>
          <w:sz w:val="22"/>
          <w:szCs w:val="22"/>
          <w:lang w:val="en-GB"/>
        </w:rPr>
      </w:pPr>
      <w:r w:rsidRPr="00C4152C">
        <w:rPr>
          <w:sz w:val="22"/>
          <w:szCs w:val="22"/>
          <w:lang w:val="en-GB"/>
        </w:rPr>
        <w:t>(schematic illustrations)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 xml:space="preserve">The bank shall also include a schematic illustration of the business network, the bank’s organisational scheme and the organisational scheme of the group of </w:t>
      </w:r>
      <w:r w:rsidR="00C43E5C" w:rsidRPr="00C4152C">
        <w:rPr>
          <w:lang w:val="en-GB"/>
        </w:rPr>
        <w:t xml:space="preserve">related </w:t>
      </w:r>
      <w:r w:rsidR="00E64DC0" w:rsidRPr="00C4152C">
        <w:rPr>
          <w:lang w:val="en-GB"/>
        </w:rPr>
        <w:t>entities</w:t>
      </w:r>
      <w:r w:rsidRPr="00C4152C">
        <w:rPr>
          <w:lang w:val="en-GB"/>
        </w:rPr>
        <w:t xml:space="preserve">. </w:t>
      </w:r>
    </w:p>
    <w:p w:rsidR="00C561EF" w:rsidRPr="00C4152C" w:rsidRDefault="00C561EF" w:rsidP="00C561EF">
      <w:pPr>
        <w:jc w:val="center"/>
        <w:rPr>
          <w:bCs/>
          <w:sz w:val="22"/>
          <w:szCs w:val="22"/>
          <w:lang w:val="en-GB"/>
        </w:rPr>
      </w:pPr>
      <w:r w:rsidRPr="00C4152C">
        <w:rPr>
          <w:sz w:val="22"/>
          <w:szCs w:val="22"/>
          <w:lang w:val="en-GB"/>
        </w:rPr>
        <w:t>3.3  Consolidated financial report</w:t>
      </w: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19</w:t>
      </w:r>
    </w:p>
    <w:p w:rsidR="00C561EF" w:rsidRPr="00C4152C" w:rsidRDefault="00C561EF" w:rsidP="00C561EF">
      <w:pPr>
        <w:jc w:val="center"/>
        <w:rPr>
          <w:bCs/>
          <w:sz w:val="22"/>
          <w:szCs w:val="22"/>
          <w:lang w:val="en-GB"/>
        </w:rPr>
      </w:pPr>
      <w:r w:rsidRPr="00C4152C">
        <w:rPr>
          <w:sz w:val="22"/>
          <w:szCs w:val="22"/>
          <w:lang w:val="en-GB"/>
        </w:rPr>
        <w:t>(consolidated financial statements)</w:t>
      </w:r>
    </w:p>
    <w:p w:rsidR="00C561EF" w:rsidRPr="00C4152C" w:rsidRDefault="00C561EF" w:rsidP="00C561EF">
      <w:pPr>
        <w:pStyle w:val="Odstavek"/>
        <w:numPr>
          <w:ilvl w:val="0"/>
          <w:numId w:val="13"/>
        </w:numPr>
        <w:rPr>
          <w:lang w:val="en-GB"/>
        </w:rPr>
      </w:pPr>
      <w:r w:rsidRPr="00C4152C">
        <w:rPr>
          <w:lang w:val="en-GB"/>
        </w:rPr>
        <w:t xml:space="preserve">The consolidated financial statements shall be included by </w:t>
      </w:r>
      <w:r w:rsidR="00962E3A" w:rsidRPr="00C4152C">
        <w:rPr>
          <w:lang w:val="en-GB"/>
        </w:rPr>
        <w:t xml:space="preserve">the bank </w:t>
      </w:r>
      <w:r w:rsidRPr="00C4152C">
        <w:rPr>
          <w:lang w:val="en-GB"/>
        </w:rPr>
        <w:t>in the consolidated financial report in the prescribed templates given in the appendix to this regulation, which are an integral part of this regulation. The consolidated financial statements comprise a consolidated statement of financial position, a consolidated statement</w:t>
      </w:r>
      <w:r w:rsidR="00BF56C7" w:rsidRPr="00C4152C">
        <w:rPr>
          <w:lang w:val="en-GB"/>
        </w:rPr>
        <w:t xml:space="preserve"> of profit or loss</w:t>
      </w:r>
      <w:r w:rsidRPr="00C4152C">
        <w:rPr>
          <w:lang w:val="en-GB"/>
        </w:rPr>
        <w:t xml:space="preserve">, a consolidated statement of comprehensive income, a consolidated statement of cash flows (according to Variant I or Variant II) and a consolidated statement of changes in equity. Items of the statement </w:t>
      </w:r>
      <w:r w:rsidR="00BF56C7" w:rsidRPr="00C4152C">
        <w:rPr>
          <w:lang w:val="en-GB"/>
        </w:rPr>
        <w:t xml:space="preserve">of profit or loss </w:t>
      </w:r>
      <w:r w:rsidRPr="00C4152C">
        <w:rPr>
          <w:lang w:val="en-GB"/>
        </w:rPr>
        <w:t xml:space="preserve">may be included by </w:t>
      </w:r>
      <w:r w:rsidR="00962E3A" w:rsidRPr="00C4152C">
        <w:rPr>
          <w:lang w:val="en-GB"/>
        </w:rPr>
        <w:t xml:space="preserve">the bank </w:t>
      </w:r>
      <w:r w:rsidRPr="00C4152C">
        <w:rPr>
          <w:lang w:val="en-GB"/>
        </w:rPr>
        <w:t>in the consolidated financial report in a consolidated statement of comprehensive income instead of a consolidated statement</w:t>
      </w:r>
      <w:r w:rsidR="00BF56C7" w:rsidRPr="00C4152C">
        <w:rPr>
          <w:lang w:val="en-GB"/>
        </w:rPr>
        <w:t xml:space="preserve"> </w:t>
      </w:r>
      <w:r w:rsidR="00FC7A21" w:rsidRPr="00C4152C">
        <w:rPr>
          <w:lang w:val="en-GB"/>
        </w:rPr>
        <w:t xml:space="preserve">of </w:t>
      </w:r>
      <w:r w:rsidR="00BF56C7" w:rsidRPr="00C4152C">
        <w:rPr>
          <w:lang w:val="en-GB"/>
        </w:rPr>
        <w:t>profit or loss</w:t>
      </w:r>
      <w:r w:rsidRPr="00C4152C">
        <w:rPr>
          <w:lang w:val="en-GB"/>
        </w:rPr>
        <w:t xml:space="preserve">. </w:t>
      </w:r>
      <w:r w:rsidR="00962E3A" w:rsidRPr="00C4152C">
        <w:rPr>
          <w:lang w:val="en-GB"/>
        </w:rPr>
        <w:t xml:space="preserve">The bank </w:t>
      </w:r>
      <w:r w:rsidRPr="00C4152C">
        <w:rPr>
          <w:lang w:val="en-GB"/>
        </w:rPr>
        <w:t xml:space="preserve">shall include the consolidated statement of cash flows in Variant I of the template of the statement of cash flows or Variant II of the template of the statement of cash flows referred to in the fourth paragraph of Article 7 of this regulation. </w:t>
      </w:r>
    </w:p>
    <w:p w:rsidR="00C561EF" w:rsidRPr="00C4152C" w:rsidRDefault="00C561EF" w:rsidP="00C561EF">
      <w:pPr>
        <w:pStyle w:val="Odstavek"/>
        <w:numPr>
          <w:ilvl w:val="0"/>
          <w:numId w:val="13"/>
        </w:numPr>
        <w:rPr>
          <w:lang w:val="en-GB"/>
        </w:rPr>
      </w:pPr>
      <w:r w:rsidRPr="00C4152C">
        <w:rPr>
          <w:lang w:val="en-GB"/>
        </w:rPr>
        <w:t xml:space="preserve">In compiling the consolidated financial statements </w:t>
      </w:r>
      <w:r w:rsidR="00962E3A" w:rsidRPr="00C4152C">
        <w:rPr>
          <w:lang w:val="en-GB"/>
        </w:rPr>
        <w:t xml:space="preserve">the bank </w:t>
      </w:r>
      <w:r w:rsidRPr="00C4152C">
        <w:rPr>
          <w:lang w:val="en-GB"/>
        </w:rPr>
        <w:t xml:space="preserve">shall take account of the IFRS and, </w:t>
      </w:r>
      <w:r w:rsidRPr="00C4152C">
        <w:rPr>
          <w:i/>
          <w:iCs/>
          <w:lang w:val="en-GB"/>
        </w:rPr>
        <w:t>mutatis mutandis</w:t>
      </w:r>
      <w:r w:rsidRPr="00C4152C">
        <w:rPr>
          <w:lang w:val="en-GB"/>
        </w:rPr>
        <w:t>, the provisions of Articles 7 and 8 of this regulation.</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Default="00C561EF" w:rsidP="00B80689">
      <w:pPr>
        <w:ind w:left="284"/>
        <w:jc w:val="center"/>
        <w:rPr>
          <w:sz w:val="22"/>
          <w:szCs w:val="22"/>
          <w:lang w:val="en-GB"/>
        </w:rPr>
      </w:pPr>
      <w:r w:rsidRPr="00C4152C">
        <w:rPr>
          <w:sz w:val="22"/>
          <w:szCs w:val="22"/>
          <w:lang w:val="en-GB"/>
        </w:rPr>
        <w:t>Article 20</w:t>
      </w:r>
    </w:p>
    <w:p w:rsidR="00C561EF" w:rsidRPr="00C4152C" w:rsidRDefault="00C561EF" w:rsidP="00C561EF">
      <w:pPr>
        <w:jc w:val="center"/>
        <w:rPr>
          <w:bCs/>
          <w:sz w:val="22"/>
          <w:szCs w:val="22"/>
          <w:lang w:val="en-GB"/>
        </w:rPr>
      </w:pPr>
      <w:r w:rsidRPr="00C4152C">
        <w:rPr>
          <w:sz w:val="22"/>
          <w:szCs w:val="22"/>
          <w:lang w:val="en-GB"/>
        </w:rPr>
        <w:t>(appendix with notes to the consolidated financial statements)</w:t>
      </w:r>
    </w:p>
    <w:p w:rsidR="00C561EF" w:rsidRPr="00C4152C" w:rsidRDefault="00C561EF" w:rsidP="00C561EF">
      <w:pPr>
        <w:pStyle w:val="Odstavek"/>
        <w:numPr>
          <w:ilvl w:val="0"/>
          <w:numId w:val="14"/>
        </w:numPr>
        <w:rPr>
          <w:lang w:val="en-GB"/>
        </w:rPr>
      </w:pPr>
      <w:r w:rsidRPr="00C4152C">
        <w:rPr>
          <w:lang w:val="en-GB"/>
        </w:rPr>
        <w:t xml:space="preserve">In the appendix with notes to the consolidated financial statements </w:t>
      </w:r>
      <w:r w:rsidR="00962E3A" w:rsidRPr="00C4152C">
        <w:rPr>
          <w:lang w:val="en-GB"/>
        </w:rPr>
        <w:t xml:space="preserve">the bank </w:t>
      </w:r>
      <w:r w:rsidRPr="00C4152C">
        <w:rPr>
          <w:lang w:val="en-GB"/>
        </w:rPr>
        <w:t xml:space="preserve">shall disclose the </w:t>
      </w:r>
      <w:r w:rsidR="00A36942" w:rsidRPr="00C4152C">
        <w:rPr>
          <w:lang w:val="en-GB"/>
        </w:rPr>
        <w:t xml:space="preserve">significant </w:t>
      </w:r>
      <w:r w:rsidRPr="00C4152C">
        <w:rPr>
          <w:lang w:val="en-GB"/>
        </w:rPr>
        <w:t xml:space="preserve">accounting policies on which their consolidated financial statements are based. </w:t>
      </w:r>
    </w:p>
    <w:p w:rsidR="00C561EF" w:rsidRPr="00C4152C" w:rsidRDefault="00C561EF" w:rsidP="00C561EF">
      <w:pPr>
        <w:pStyle w:val="Odstavek"/>
        <w:numPr>
          <w:ilvl w:val="0"/>
          <w:numId w:val="14"/>
        </w:numPr>
        <w:rPr>
          <w:lang w:val="en-GB"/>
        </w:rPr>
      </w:pPr>
      <w:r w:rsidRPr="00C4152C">
        <w:rPr>
          <w:lang w:val="en-GB"/>
        </w:rPr>
        <w:t xml:space="preserve">The notes to the consolidated financial statements contain the notes to all the items in the consolidated financial statements. The provisions of Article 9 of this regulation shall apply </w:t>
      </w:r>
      <w:r w:rsidRPr="00C4152C">
        <w:rPr>
          <w:i/>
          <w:iCs/>
          <w:lang w:val="en-GB"/>
        </w:rPr>
        <w:t xml:space="preserve">mutatis mutandis </w:t>
      </w:r>
      <w:r w:rsidRPr="00C4152C">
        <w:rPr>
          <w:lang w:val="en-GB"/>
        </w:rPr>
        <w:t>to the content and scope of the notes. The bank shall disclose the following in addition to the notes referred to in the previous sentence:</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on the business names and registered offices of the banks and </w:t>
      </w:r>
      <w:r w:rsidR="00A36942" w:rsidRPr="00C4152C">
        <w:rPr>
          <w:lang w:val="en-GB"/>
        </w:rPr>
        <w:t xml:space="preserve">entities </w:t>
      </w:r>
      <w:r w:rsidRPr="00C4152C">
        <w:rPr>
          <w:lang w:val="en-GB"/>
        </w:rPr>
        <w:t xml:space="preserve">included in consolidation, and the equity holdings and nominal amounts of the equity holdings in the banks and </w:t>
      </w:r>
      <w:r w:rsidR="00A36942" w:rsidRPr="00C4152C">
        <w:rPr>
          <w:lang w:val="en-GB"/>
        </w:rPr>
        <w:t xml:space="preserve">entities </w:t>
      </w:r>
      <w:r w:rsidRPr="00C4152C">
        <w:rPr>
          <w:lang w:val="en-GB"/>
        </w:rPr>
        <w:t xml:space="preserve">included in consolidation other than the parent bank; </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on the business names and registered offices of the bank and </w:t>
      </w:r>
      <w:r w:rsidR="00A36942" w:rsidRPr="00C4152C">
        <w:rPr>
          <w:lang w:val="en-GB"/>
        </w:rPr>
        <w:t xml:space="preserve">entities </w:t>
      </w:r>
      <w:r w:rsidRPr="00C4152C">
        <w:rPr>
          <w:lang w:val="en-GB"/>
        </w:rPr>
        <w:t xml:space="preserve">not included in consolidation, and the bank’s equity holdings and nominal amounts of the equity holdings in such </w:t>
      </w:r>
      <w:r w:rsidR="00A36942" w:rsidRPr="00C4152C">
        <w:rPr>
          <w:lang w:val="en-GB"/>
        </w:rPr>
        <w:t>entities</w:t>
      </w:r>
      <w:r w:rsidRPr="00C4152C">
        <w:rPr>
          <w:lang w:val="en-GB"/>
        </w:rPr>
        <w:t>, and the arguments why they are not included in consolidation;</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by individual Member States and third countries in which branches of the bank and/or </w:t>
      </w:r>
      <w:r w:rsidR="00A36942" w:rsidRPr="00C4152C">
        <w:rPr>
          <w:lang w:val="en-GB"/>
        </w:rPr>
        <w:t xml:space="preserve">entities </w:t>
      </w:r>
      <w:r w:rsidRPr="00C4152C">
        <w:rPr>
          <w:lang w:val="en-GB"/>
        </w:rPr>
        <w:t>over which the bank exerts a significant influence or control</w:t>
      </w:r>
      <w:r w:rsidR="000566F9" w:rsidRPr="00C4152C">
        <w:rPr>
          <w:lang w:val="en-GB"/>
        </w:rPr>
        <w:t>s</w:t>
      </w:r>
      <w:r w:rsidRPr="00C4152C">
        <w:rPr>
          <w:lang w:val="en-GB"/>
        </w:rPr>
        <w:t xml:space="preserve"> (subsidiaries, associates and joint ventures) operate: </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name, nature of activities and geographical location,</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turnover from the statement</w:t>
      </w:r>
      <w:r w:rsidR="0064478A" w:rsidRPr="00C4152C">
        <w:rPr>
          <w:sz w:val="22"/>
          <w:szCs w:val="22"/>
          <w:lang w:val="en-GB"/>
        </w:rPr>
        <w:t xml:space="preserve"> of profit or loss</w:t>
      </w:r>
      <w:r w:rsidRPr="00C4152C">
        <w:rPr>
          <w:sz w:val="22"/>
          <w:szCs w:val="22"/>
          <w:lang w:val="en-GB"/>
        </w:rPr>
        <w:t xml:space="preserve"> before the execution of consolidated bookings and the methodology,</w:t>
      </w:r>
    </w:p>
    <w:p w:rsidR="00C561EF" w:rsidRPr="00C4152C" w:rsidRDefault="006B7A68" w:rsidP="00C561EF">
      <w:pPr>
        <w:numPr>
          <w:ilvl w:val="0"/>
          <w:numId w:val="2"/>
        </w:numPr>
        <w:ind w:left="709" w:hanging="255"/>
        <w:jc w:val="both"/>
        <w:rPr>
          <w:sz w:val="22"/>
          <w:szCs w:val="22"/>
          <w:lang w:val="en-GB"/>
        </w:rPr>
      </w:pPr>
      <w:r w:rsidRPr="00C4152C">
        <w:rPr>
          <w:sz w:val="22"/>
          <w:szCs w:val="22"/>
          <w:lang w:val="en-GB"/>
        </w:rPr>
        <w:t xml:space="preserve">number of employees on a </w:t>
      </w:r>
      <w:r w:rsidR="00C561EF" w:rsidRPr="00C4152C">
        <w:rPr>
          <w:sz w:val="22"/>
          <w:szCs w:val="22"/>
          <w:lang w:val="en-GB"/>
        </w:rPr>
        <w:t>full-time equivalent</w:t>
      </w:r>
      <w:r w:rsidRPr="00C4152C">
        <w:rPr>
          <w:sz w:val="22"/>
          <w:szCs w:val="22"/>
          <w:lang w:val="en-GB"/>
        </w:rPr>
        <w:t xml:space="preserve"> basis</w:t>
      </w:r>
      <w:r w:rsidR="00C561EF" w:rsidRPr="00C4152C">
        <w:rPr>
          <w:sz w:val="22"/>
          <w:szCs w:val="22"/>
          <w:lang w:val="en-GB"/>
        </w:rPr>
        <w:t>,</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pre-tax profit</w:t>
      </w:r>
      <w:r w:rsidR="006B7A68" w:rsidRPr="00C4152C">
        <w:rPr>
          <w:sz w:val="22"/>
          <w:szCs w:val="22"/>
          <w:lang w:val="en-GB"/>
        </w:rPr>
        <w:t xml:space="preserve"> or loss</w:t>
      </w:r>
      <w:r w:rsidRPr="00C4152C">
        <w:rPr>
          <w:sz w:val="22"/>
          <w:szCs w:val="22"/>
          <w:lang w:val="en-GB"/>
        </w:rPr>
        <w:t xml:space="preserve"> before the execution of consolidated bookings,</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corporate income tax paid,</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public subsidies received.</w:t>
      </w:r>
    </w:p>
    <w:p w:rsidR="00C561EF" w:rsidRPr="00C4152C" w:rsidRDefault="00C561EF" w:rsidP="00C561EF">
      <w:pPr>
        <w:rPr>
          <w:sz w:val="22"/>
          <w:szCs w:val="22"/>
          <w:lang w:val="en-GB"/>
        </w:rPr>
      </w:pPr>
    </w:p>
    <w:p w:rsidR="00263872" w:rsidRDefault="00263872">
      <w:pPr>
        <w:rPr>
          <w:color w:val="000000"/>
          <w:sz w:val="22"/>
          <w:szCs w:val="22"/>
          <w:lang w:val="en-GB"/>
        </w:rPr>
      </w:pPr>
    </w:p>
    <w:p w:rsidR="00BA0E05" w:rsidRDefault="00BA0E05">
      <w:pPr>
        <w:rPr>
          <w:sz w:val="22"/>
          <w:szCs w:val="22"/>
          <w:lang w:val="en-GB"/>
        </w:rPr>
      </w:pPr>
      <w:r>
        <w:rPr>
          <w:sz w:val="22"/>
          <w:szCs w:val="22"/>
          <w:lang w:val="en-GB"/>
        </w:rPr>
        <w:br w:type="page"/>
      </w:r>
    </w:p>
    <w:p w:rsidR="00C561EF" w:rsidRPr="00C4152C" w:rsidRDefault="00C561EF" w:rsidP="00C561EF">
      <w:pPr>
        <w:jc w:val="center"/>
        <w:rPr>
          <w:bCs/>
          <w:sz w:val="22"/>
          <w:szCs w:val="22"/>
          <w:lang w:val="en-GB"/>
        </w:rPr>
      </w:pPr>
      <w:r w:rsidRPr="00C4152C">
        <w:rPr>
          <w:sz w:val="22"/>
          <w:szCs w:val="22"/>
          <w:lang w:val="en-GB"/>
        </w:rPr>
        <w:t>3.4  Consolidated business report</w:t>
      </w:r>
    </w:p>
    <w:p w:rsidR="00C561EF" w:rsidRPr="00C4152C" w:rsidRDefault="00C561EF" w:rsidP="00C561EF">
      <w:pPr>
        <w:pStyle w:val="Default"/>
        <w:rPr>
          <w:sz w:val="22"/>
          <w:szCs w:val="22"/>
          <w:lang w:val="en-GB"/>
        </w:rPr>
      </w:pPr>
    </w:p>
    <w:p w:rsidR="00C561EF" w:rsidRDefault="00C561EF" w:rsidP="00B80689">
      <w:pPr>
        <w:ind w:left="284"/>
        <w:jc w:val="center"/>
        <w:rPr>
          <w:sz w:val="22"/>
          <w:szCs w:val="22"/>
          <w:lang w:val="en-GB"/>
        </w:rPr>
      </w:pPr>
      <w:r w:rsidRPr="00C4152C">
        <w:rPr>
          <w:sz w:val="22"/>
          <w:szCs w:val="22"/>
          <w:lang w:val="en-GB"/>
        </w:rPr>
        <w:t>Article 21</w:t>
      </w:r>
    </w:p>
    <w:p w:rsidR="00C561EF" w:rsidRPr="00C4152C" w:rsidRDefault="00C561EF" w:rsidP="00C561EF">
      <w:pPr>
        <w:jc w:val="center"/>
        <w:rPr>
          <w:bCs/>
          <w:sz w:val="22"/>
          <w:szCs w:val="22"/>
          <w:lang w:val="en-GB"/>
        </w:rPr>
      </w:pPr>
      <w:r w:rsidRPr="00C4152C">
        <w:rPr>
          <w:sz w:val="22"/>
          <w:szCs w:val="22"/>
          <w:lang w:val="en-GB"/>
        </w:rPr>
        <w:t>(consolidated business report)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 xml:space="preserve">In the consolidated business report </w:t>
      </w:r>
      <w:r w:rsidR="00962E3A" w:rsidRPr="00C4152C">
        <w:rPr>
          <w:lang w:val="en-GB"/>
        </w:rPr>
        <w:t xml:space="preserve">the bank </w:t>
      </w:r>
      <w:r w:rsidRPr="00C4152C">
        <w:rPr>
          <w:lang w:val="en-GB"/>
        </w:rPr>
        <w:t>shall present the following in particular:</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the group of </w:t>
      </w:r>
      <w:r w:rsidR="00A36942" w:rsidRPr="00C4152C">
        <w:rPr>
          <w:lang w:val="en-GB"/>
        </w:rPr>
        <w:t xml:space="preserve">entities </w:t>
      </w:r>
      <w:r w:rsidRPr="00C4152C">
        <w:rPr>
          <w:lang w:val="en-GB"/>
        </w:rPr>
        <w:t xml:space="preserve">included in consolidation, and their </w:t>
      </w:r>
      <w:r w:rsidR="00DE4326" w:rsidRPr="00C4152C">
        <w:rPr>
          <w:lang w:val="en-GB"/>
        </w:rPr>
        <w:t xml:space="preserve">related </w:t>
      </w:r>
      <w:r w:rsidR="00A36942" w:rsidRPr="00C4152C">
        <w:rPr>
          <w:lang w:val="en-GB"/>
        </w:rPr>
        <w:t>entities</w:t>
      </w:r>
      <w:r w:rsidRPr="00C4152C">
        <w:rPr>
          <w:lang w:val="en-GB"/>
        </w:rPr>
        <w:t xml:space="preserve">, their business activities, the structure of their management or supervisory bodies, and the bank’s direct and indirect holdings in the equity or voting rights of the aforementioned </w:t>
      </w:r>
      <w:r w:rsidR="00BF49C9" w:rsidRPr="00C4152C">
        <w:rPr>
          <w:lang w:val="en-GB"/>
        </w:rPr>
        <w:t>entities</w:t>
      </w:r>
      <w:r w:rsidRPr="00C4152C">
        <w:rPr>
          <w:lang w:val="en-GB"/>
        </w:rPr>
        <w:t xml:space="preserve"> with the nominal value of the bank’s equity holdings as at the final day of the financial year;</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the expected development and business policies of the bank and the </w:t>
      </w:r>
      <w:r w:rsidR="00A36942" w:rsidRPr="00C4152C">
        <w:rPr>
          <w:lang w:val="en-GB"/>
        </w:rPr>
        <w:t xml:space="preserve">entities </w:t>
      </w:r>
      <w:r w:rsidRPr="00C4152C">
        <w:rPr>
          <w:lang w:val="en-GB"/>
        </w:rPr>
        <w:t>included in consolidation as a group;</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other information that must be disclosed pursuant to Articles 10 to 18 of this regulation about the bank’s business report, whereby the aforementioned provisions are applied </w:t>
      </w:r>
      <w:r w:rsidRPr="00C4152C">
        <w:rPr>
          <w:i/>
          <w:iCs/>
          <w:lang w:val="en-GB"/>
        </w:rPr>
        <w:t xml:space="preserve">mutatis mutandis </w:t>
      </w:r>
      <w:r w:rsidRPr="00C4152C">
        <w:rPr>
          <w:lang w:val="en-GB"/>
        </w:rPr>
        <w:t xml:space="preserve">or in a manner that in addition to the bank takes account of the </w:t>
      </w:r>
      <w:r w:rsidR="00A36942" w:rsidRPr="00C4152C">
        <w:rPr>
          <w:lang w:val="en-GB"/>
        </w:rPr>
        <w:t xml:space="preserve">entities </w:t>
      </w:r>
      <w:r w:rsidRPr="00C4152C">
        <w:rPr>
          <w:lang w:val="en-GB"/>
        </w:rPr>
        <w:t>included in consolidation.</w:t>
      </w: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REPORTING OF FINANCIAL INFORMATION ON AN INDIVIDUAL BASIS</w:t>
      </w:r>
    </w:p>
    <w:p w:rsidR="00C561EF" w:rsidRPr="00C4152C" w:rsidRDefault="00C561EF" w:rsidP="00C561EF">
      <w:pPr>
        <w:numPr>
          <w:ilvl w:val="0"/>
          <w:numId w:val="1"/>
        </w:numPr>
        <w:jc w:val="center"/>
        <w:rPr>
          <w:bCs/>
          <w:sz w:val="22"/>
          <w:szCs w:val="22"/>
          <w:lang w:val="en-GB"/>
        </w:rPr>
        <w:sectPr w:rsidR="00C561EF" w:rsidRPr="00C4152C" w:rsidSect="00BA0E05">
          <w:headerReference w:type="default" r:id="rId11"/>
          <w:footerReference w:type="even" r:id="rId12"/>
          <w:footerReference w:type="default" r:id="rId13"/>
          <w:headerReference w:type="first" r:id="rId14"/>
          <w:type w:val="continuous"/>
          <w:pgSz w:w="12240" w:h="15840"/>
          <w:pgMar w:top="1417" w:right="1417" w:bottom="1417" w:left="1417" w:header="708" w:footer="708" w:gutter="0"/>
          <w:cols w:space="708"/>
          <w:noEndnote/>
          <w:titlePg/>
          <w:docGrid w:linePitch="326"/>
        </w:sectPr>
      </w:pPr>
    </w:p>
    <w:p w:rsidR="00C561EF" w:rsidRPr="00C4152C" w:rsidRDefault="00C561EF" w:rsidP="00DA06B6">
      <w:pPr>
        <w:rPr>
          <w:bCs/>
          <w:sz w:val="22"/>
          <w:szCs w:val="22"/>
          <w:lang w:val="en-GB"/>
        </w:rPr>
      </w:pPr>
    </w:p>
    <w:p w:rsidR="00C561EF" w:rsidRPr="00C4152C" w:rsidRDefault="00C561EF" w:rsidP="00DA06B6">
      <w:pPr>
        <w:rPr>
          <w:bCs/>
          <w:sz w:val="22"/>
          <w:szCs w:val="22"/>
          <w:lang w:val="en-GB"/>
        </w:rPr>
      </w:pPr>
    </w:p>
    <w:p w:rsidR="00C561EF" w:rsidRPr="00C4152C" w:rsidRDefault="00C561EF" w:rsidP="00B80689">
      <w:pPr>
        <w:ind w:left="432"/>
        <w:jc w:val="center"/>
        <w:rPr>
          <w:bCs/>
          <w:sz w:val="22"/>
          <w:szCs w:val="22"/>
          <w:lang w:val="en-GB"/>
        </w:rPr>
      </w:pPr>
      <w:r w:rsidRPr="00C4152C">
        <w:rPr>
          <w:sz w:val="22"/>
          <w:szCs w:val="22"/>
          <w:lang w:val="en-GB"/>
        </w:rPr>
        <w:t>Article 22</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(mandatory reporters and extent of reporting)</w:t>
      </w:r>
    </w:p>
    <w:p w:rsidR="00C561EF" w:rsidRPr="00C4152C" w:rsidRDefault="00962E3A" w:rsidP="00C561EF">
      <w:pPr>
        <w:pStyle w:val="Odstavek"/>
        <w:numPr>
          <w:ilvl w:val="0"/>
          <w:numId w:val="45"/>
        </w:numPr>
        <w:rPr>
          <w:lang w:val="en-GB"/>
        </w:rPr>
      </w:pPr>
      <w:r w:rsidRPr="00C4152C">
        <w:rPr>
          <w:lang w:val="en-GB"/>
        </w:rPr>
        <w:t xml:space="preserve">The bank </w:t>
      </w:r>
      <w:r w:rsidR="00C561EF" w:rsidRPr="00C4152C">
        <w:rPr>
          <w:lang w:val="en-GB"/>
        </w:rPr>
        <w:t xml:space="preserve">or </w:t>
      </w:r>
      <w:r w:rsidR="005A34B8" w:rsidRPr="00C4152C">
        <w:rPr>
          <w:lang w:val="en-GB"/>
        </w:rPr>
        <w:t xml:space="preserve">the </w:t>
      </w:r>
      <w:r w:rsidR="00C561EF" w:rsidRPr="00C4152C">
        <w:rPr>
          <w:lang w:val="en-GB"/>
        </w:rPr>
        <w:t>branch of a bank of a non-participating Member State or a third country</w:t>
      </w:r>
      <w:r w:rsidR="00D333A8">
        <w:rPr>
          <w:lang w:val="en-GB"/>
        </w:rPr>
        <w:t xml:space="preserve">, subject </w:t>
      </w:r>
      <w:r w:rsidR="00D333A8" w:rsidRPr="00B14BC5">
        <w:rPr>
          <w:lang w:val="en-GB"/>
        </w:rPr>
        <w:t xml:space="preserve">to prudential requirements </w:t>
      </w:r>
      <w:r w:rsidR="00C4047E" w:rsidRPr="00B14BC5">
        <w:rPr>
          <w:lang w:val="en-GB"/>
        </w:rPr>
        <w:t>in accordance</w:t>
      </w:r>
      <w:r w:rsidR="00C4047E">
        <w:rPr>
          <w:lang w:val="en-GB"/>
        </w:rPr>
        <w:t xml:space="preserve"> with </w:t>
      </w:r>
      <w:r w:rsidR="00C4047E" w:rsidRPr="00C4152C">
        <w:rPr>
          <w:lang w:val="en-GB"/>
        </w:rPr>
        <w:t>Regulation (EU) No 575/2013</w:t>
      </w:r>
      <w:r w:rsidR="00C4047E">
        <w:rPr>
          <w:lang w:val="en-GB"/>
        </w:rPr>
        <w:t xml:space="preserve"> </w:t>
      </w:r>
      <w:r w:rsidR="00C4047E" w:rsidRPr="00B14BC5">
        <w:rPr>
          <w:lang w:val="en-GB"/>
        </w:rPr>
        <w:t>on a</w:t>
      </w:r>
      <w:r w:rsidR="00B14BC5" w:rsidRPr="00B14BC5">
        <w:rPr>
          <w:lang w:val="en-GB"/>
        </w:rPr>
        <w:t>n individual</w:t>
      </w:r>
      <w:r w:rsidR="00C4047E" w:rsidRPr="00B14BC5">
        <w:rPr>
          <w:lang w:val="en-GB"/>
        </w:rPr>
        <w:t xml:space="preserve"> basis</w:t>
      </w:r>
      <w:r w:rsidR="00C561EF" w:rsidRPr="00B14BC5">
        <w:rPr>
          <w:lang w:val="en-GB"/>
        </w:rPr>
        <w:t xml:space="preserve"> s</w:t>
      </w:r>
      <w:r w:rsidR="00C561EF" w:rsidRPr="00C4152C">
        <w:rPr>
          <w:lang w:val="en-GB"/>
        </w:rPr>
        <w:t>hall submit a report on financial information on an individual basis to the following extents:</w:t>
      </w:r>
    </w:p>
    <w:p w:rsidR="00C561EF" w:rsidRPr="00C4152C" w:rsidRDefault="00C561EF" w:rsidP="00C561EF">
      <w:pPr>
        <w:pStyle w:val="Odstavek"/>
        <w:numPr>
          <w:ilvl w:val="0"/>
          <w:numId w:val="56"/>
        </w:numPr>
        <w:spacing w:before="0"/>
        <w:rPr>
          <w:lang w:val="en-GB"/>
        </w:rPr>
      </w:pPr>
      <w:r w:rsidRPr="00C4152C">
        <w:rPr>
          <w:lang w:val="en-GB"/>
        </w:rPr>
        <w:t>a bank that does not have the position of a parent bank</w:t>
      </w:r>
      <w:r w:rsidR="00C4047E">
        <w:rPr>
          <w:lang w:val="en-GB"/>
        </w:rPr>
        <w:t xml:space="preserve"> </w:t>
      </w:r>
      <w:r w:rsidR="00C4047E" w:rsidRPr="00DD4ED7">
        <w:rPr>
          <w:lang w:val="en-GB"/>
        </w:rPr>
        <w:t>or a subsidiary</w:t>
      </w:r>
      <w:r w:rsidRPr="00C4152C">
        <w:rPr>
          <w:lang w:val="en-GB"/>
        </w:rPr>
        <w:t xml:space="preserve"> and is not part of a supervised group, but is a significant supervised entity: in the extent set out in point d) of the first paragraph of Article 24 of this regulation;</w:t>
      </w:r>
    </w:p>
    <w:p w:rsidR="00C561EF" w:rsidRPr="00C4047E" w:rsidRDefault="00C561EF">
      <w:pPr>
        <w:pStyle w:val="Odstavek"/>
        <w:numPr>
          <w:ilvl w:val="0"/>
          <w:numId w:val="56"/>
        </w:numPr>
        <w:spacing w:before="0"/>
        <w:rPr>
          <w:lang w:val="en-GB"/>
        </w:rPr>
      </w:pPr>
      <w:r w:rsidRPr="00C4047E">
        <w:rPr>
          <w:lang w:val="en-GB"/>
        </w:rPr>
        <w:t xml:space="preserve">a branch of a bank of a </w:t>
      </w:r>
      <w:r w:rsidR="005A34B8" w:rsidRPr="00C4047E">
        <w:rPr>
          <w:lang w:val="en-GB"/>
        </w:rPr>
        <w:t>non-</w:t>
      </w:r>
      <w:r w:rsidRPr="00C4047E">
        <w:rPr>
          <w:lang w:val="en-GB"/>
        </w:rPr>
        <w:t>participating Member State or a third country that is a significant supervised entity: in the extent set out in point d) of the first paragraph of Article 24 of this regulation</w:t>
      </w:r>
      <w:r w:rsidR="00C4047E" w:rsidRPr="003E7CB0">
        <w:rPr>
          <w:lang w:val="en-GB"/>
        </w:rPr>
        <w:t xml:space="preserve">, except financial information </w:t>
      </w:r>
      <w:r w:rsidR="00EA7DA4" w:rsidRPr="003E7CB0">
        <w:rPr>
          <w:lang w:val="en-GB"/>
        </w:rPr>
        <w:t>i</w:t>
      </w:r>
      <w:r w:rsidR="00C4047E" w:rsidRPr="003E7CB0">
        <w:rPr>
          <w:lang w:val="en-GB"/>
        </w:rPr>
        <w:t>n templates 17.1, 17.2, 17.3, 40.1 and 40.2;</w:t>
      </w:r>
    </w:p>
    <w:p w:rsidR="00C561EF" w:rsidRPr="00C4152C" w:rsidRDefault="00C561EF" w:rsidP="00C561EF">
      <w:pPr>
        <w:pStyle w:val="Odstavek"/>
        <w:numPr>
          <w:ilvl w:val="0"/>
          <w:numId w:val="56"/>
        </w:numPr>
        <w:spacing w:before="0"/>
        <w:rPr>
          <w:lang w:val="en-GB"/>
        </w:rPr>
      </w:pPr>
      <w:r w:rsidRPr="00C4152C">
        <w:rPr>
          <w:lang w:val="en-GB"/>
        </w:rPr>
        <w:t>a bank that has the position of an EU parent bank and is a significant supervised entity: in the extent set out in point c) of the first paragraph of Article 24 of this regulation;</w:t>
      </w:r>
    </w:p>
    <w:p w:rsidR="00C561EF" w:rsidRPr="00C4152C" w:rsidRDefault="00C561EF" w:rsidP="00C561EF">
      <w:pPr>
        <w:pStyle w:val="Odstavek"/>
        <w:numPr>
          <w:ilvl w:val="0"/>
          <w:numId w:val="56"/>
        </w:numPr>
        <w:spacing w:before="0"/>
        <w:rPr>
          <w:lang w:val="en-GB"/>
        </w:rPr>
      </w:pPr>
      <w:r w:rsidRPr="00C4152C">
        <w:rPr>
          <w:lang w:val="en-GB"/>
        </w:rPr>
        <w:t xml:space="preserve">a bank that is a subsidiary of an EU parent bank or an EU parent financial holding </w:t>
      </w:r>
      <w:r w:rsidR="006422DB" w:rsidRPr="00C4152C">
        <w:rPr>
          <w:lang w:val="en-GB"/>
        </w:rPr>
        <w:t>company or EU parent mixed financial holding company and is a significant supervised entity</w:t>
      </w:r>
      <w:r w:rsidRPr="00C4152C">
        <w:rPr>
          <w:lang w:val="en-GB"/>
        </w:rPr>
        <w:t xml:space="preserve"> or part of a significant supervised </w:t>
      </w:r>
      <w:r w:rsidR="005A34B8" w:rsidRPr="00C4152C">
        <w:rPr>
          <w:lang w:val="en-GB"/>
        </w:rPr>
        <w:t>group</w:t>
      </w:r>
      <w:r w:rsidRPr="00C4152C">
        <w:rPr>
          <w:lang w:val="en-GB"/>
        </w:rPr>
        <w:t>: in the extent set out in point c) of the first paragraph of Article 24 of this regulation;</w:t>
      </w:r>
    </w:p>
    <w:p w:rsidR="00C561EF" w:rsidRPr="00C4152C" w:rsidRDefault="00C561EF" w:rsidP="00C561EF">
      <w:pPr>
        <w:pStyle w:val="Odstavek"/>
        <w:numPr>
          <w:ilvl w:val="0"/>
          <w:numId w:val="56"/>
        </w:numPr>
        <w:spacing w:before="0"/>
        <w:rPr>
          <w:lang w:val="en-GB"/>
        </w:rPr>
      </w:pPr>
      <w:r w:rsidRPr="00C4152C">
        <w:rPr>
          <w:lang w:val="en-GB"/>
        </w:rPr>
        <w:t xml:space="preserve">a bank </w:t>
      </w:r>
      <w:r w:rsidR="00C4047E">
        <w:rPr>
          <w:lang w:val="en-GB"/>
        </w:rPr>
        <w:t xml:space="preserve">or a subsidiary of </w:t>
      </w:r>
      <w:r w:rsidR="00C4047E" w:rsidRPr="00C4152C">
        <w:rPr>
          <w:lang w:val="en-GB"/>
        </w:rPr>
        <w:t>a</w:t>
      </w:r>
      <w:r w:rsidR="00C4047E">
        <w:rPr>
          <w:lang w:val="en-GB"/>
        </w:rPr>
        <w:t xml:space="preserve"> bank from</w:t>
      </w:r>
      <w:r w:rsidR="00C4047E" w:rsidRPr="00C4152C">
        <w:rPr>
          <w:lang w:val="en-GB"/>
        </w:rPr>
        <w:t xml:space="preserve"> non-participating Member State or a third country</w:t>
      </w:r>
      <w:r w:rsidR="00C4047E">
        <w:rPr>
          <w:lang w:val="en-GB"/>
        </w:rPr>
        <w:t>, which is</w:t>
      </w:r>
      <w:r w:rsidR="00C4047E" w:rsidRPr="00C4152C">
        <w:rPr>
          <w:lang w:val="en-GB"/>
        </w:rPr>
        <w:t xml:space="preserve"> </w:t>
      </w:r>
      <w:r w:rsidRPr="00C4152C">
        <w:rPr>
          <w:lang w:val="en-GB"/>
        </w:rPr>
        <w:t>not captured in points a) to d) of this paragraph: in the extent set out by point a) of Article 24 of this regulation.</w:t>
      </w:r>
    </w:p>
    <w:p w:rsidR="00480CA4" w:rsidRDefault="00480CA4" w:rsidP="003E7CB0">
      <w:pPr>
        <w:pStyle w:val="Odstavek"/>
        <w:numPr>
          <w:ilvl w:val="0"/>
          <w:numId w:val="45"/>
        </w:numPr>
        <w:rPr>
          <w:lang w:val="en-GB"/>
        </w:rPr>
      </w:pPr>
      <w:r w:rsidRPr="00551D80">
        <w:rPr>
          <w:lang w:val="en-GB"/>
        </w:rPr>
        <w:t xml:space="preserve">Notwithstanding the first paragraph of this </w:t>
      </w:r>
      <w:r w:rsidR="003E6811" w:rsidRPr="00551D80">
        <w:rPr>
          <w:lang w:val="en-GB"/>
        </w:rPr>
        <w:t>a</w:t>
      </w:r>
      <w:r w:rsidRPr="00551D80">
        <w:rPr>
          <w:lang w:val="en-GB"/>
        </w:rPr>
        <w:t>rticle, the parent bank</w:t>
      </w:r>
      <w:r w:rsidR="003E7CB0" w:rsidRPr="00551D80">
        <w:rPr>
          <w:lang w:val="en-GB"/>
        </w:rPr>
        <w:t>,</w:t>
      </w:r>
      <w:r w:rsidRPr="00551D80">
        <w:rPr>
          <w:lang w:val="en-GB"/>
        </w:rPr>
        <w:t xml:space="preserve"> </w:t>
      </w:r>
      <w:r w:rsidR="00551D80">
        <w:rPr>
          <w:lang w:val="en-GB"/>
        </w:rPr>
        <w:t>that</w:t>
      </w:r>
      <w:r w:rsidR="003E7CB0" w:rsidRPr="00551D80">
        <w:rPr>
          <w:lang w:val="en-GB"/>
        </w:rPr>
        <w:t xml:space="preserve"> </w:t>
      </w:r>
      <w:r w:rsidR="00EA7DA4" w:rsidRPr="00551D80">
        <w:rPr>
          <w:lang w:val="en-GB"/>
        </w:rPr>
        <w:t xml:space="preserve">for prudential purposes </w:t>
      </w:r>
      <w:r w:rsidR="003E7CB0" w:rsidRPr="00551D80">
        <w:rPr>
          <w:lang w:val="en-GB"/>
        </w:rPr>
        <w:t xml:space="preserve">uses </w:t>
      </w:r>
      <w:r w:rsidRPr="00551D80">
        <w:rPr>
          <w:lang w:val="en-GB"/>
        </w:rPr>
        <w:t>the individual consolidation method in accordance with Article 9 of Regulation (EU) No. 575/2013</w:t>
      </w:r>
      <w:r w:rsidR="003E7CB0" w:rsidRPr="00551D80">
        <w:rPr>
          <w:lang w:val="en-GB"/>
        </w:rPr>
        <w:t>,</w:t>
      </w:r>
      <w:r w:rsidRPr="00551D80">
        <w:rPr>
          <w:lang w:val="en-GB"/>
        </w:rPr>
        <w:t xml:space="preserve"> shall submit a </w:t>
      </w:r>
      <w:r w:rsidR="00EA7DA4" w:rsidRPr="00551D80">
        <w:rPr>
          <w:lang w:val="en-GB"/>
        </w:rPr>
        <w:t xml:space="preserve">report on </w:t>
      </w:r>
      <w:r w:rsidRPr="00551D80">
        <w:rPr>
          <w:lang w:val="en-GB"/>
        </w:rPr>
        <w:t xml:space="preserve">financial information </w:t>
      </w:r>
      <w:r w:rsidR="00EA7DA4" w:rsidRPr="00551D80">
        <w:rPr>
          <w:lang w:val="en-GB"/>
        </w:rPr>
        <w:t>set</w:t>
      </w:r>
      <w:r w:rsidR="00551D80">
        <w:rPr>
          <w:lang w:val="en-GB"/>
        </w:rPr>
        <w:t xml:space="preserve"> </w:t>
      </w:r>
      <w:r w:rsidR="00EA7DA4" w:rsidRPr="00551D80">
        <w:rPr>
          <w:lang w:val="en-GB"/>
        </w:rPr>
        <w:t xml:space="preserve">out in </w:t>
      </w:r>
      <w:r w:rsidRPr="00551D80">
        <w:rPr>
          <w:lang w:val="en-GB"/>
        </w:rPr>
        <w:t xml:space="preserve">point (c), (d) or (e) of the first paragraph of this </w:t>
      </w:r>
      <w:r w:rsidR="003E6811" w:rsidRPr="00551D80">
        <w:rPr>
          <w:lang w:val="en-GB"/>
        </w:rPr>
        <w:t>a</w:t>
      </w:r>
      <w:r w:rsidRPr="00551D80">
        <w:rPr>
          <w:lang w:val="en-GB"/>
        </w:rPr>
        <w:t>rticle on an individual basis</w:t>
      </w:r>
      <w:r w:rsidR="00551D80" w:rsidRPr="00551D80">
        <w:rPr>
          <w:lang w:val="en-GB"/>
        </w:rPr>
        <w:t>,</w:t>
      </w:r>
      <w:r w:rsidRPr="00551D80">
        <w:rPr>
          <w:lang w:val="en-GB"/>
        </w:rPr>
        <w:t xml:space="preserve"> using individual consolidation</w:t>
      </w:r>
      <w:r w:rsidR="00551D80" w:rsidRPr="00551D80">
        <w:rPr>
          <w:lang w:val="en-GB"/>
        </w:rPr>
        <w:t xml:space="preserve"> method.</w:t>
      </w:r>
    </w:p>
    <w:p w:rsidR="00BA166F" w:rsidRPr="003E7CB0" w:rsidRDefault="00962E3A">
      <w:pPr>
        <w:pStyle w:val="Odstavek"/>
        <w:numPr>
          <w:ilvl w:val="0"/>
          <w:numId w:val="45"/>
        </w:numPr>
      </w:pPr>
      <w:r w:rsidRPr="00F6662E">
        <w:rPr>
          <w:lang w:val="en-GB"/>
        </w:rPr>
        <w:t xml:space="preserve">The bank </w:t>
      </w:r>
      <w:r w:rsidR="00C561EF" w:rsidRPr="00F6662E">
        <w:rPr>
          <w:lang w:val="en-GB"/>
        </w:rPr>
        <w:t xml:space="preserve">referred to in points c) or d) of the first paragraph of this article shall submit, in addition to financial information for the bank on an individual basis, </w:t>
      </w:r>
      <w:r w:rsidR="00551D80">
        <w:rPr>
          <w:lang w:val="en-GB"/>
        </w:rPr>
        <w:t xml:space="preserve">also </w:t>
      </w:r>
      <w:r w:rsidR="00C561EF" w:rsidRPr="00F6662E">
        <w:rPr>
          <w:lang w:val="en-GB"/>
        </w:rPr>
        <w:t xml:space="preserve">financial information on an individual basis in the extent set out in point b) of the first paragraph of Article 24 of this regulation for each of its subsidiary </w:t>
      </w:r>
      <w:r w:rsidR="00EA7DA4" w:rsidRPr="00F6662E">
        <w:rPr>
          <w:lang w:val="en-GB"/>
        </w:rPr>
        <w:t xml:space="preserve">credit institution </w:t>
      </w:r>
      <w:r w:rsidR="00C561EF" w:rsidRPr="00F6662E">
        <w:rPr>
          <w:lang w:val="en-GB"/>
        </w:rPr>
        <w:t>of a non-participating Member State or third country</w:t>
      </w:r>
      <w:r w:rsidR="00EA7DA4" w:rsidRPr="00F6662E">
        <w:rPr>
          <w:lang w:val="en-GB"/>
        </w:rPr>
        <w:t>,</w:t>
      </w:r>
      <w:r w:rsidR="00C561EF" w:rsidRPr="00F6662E">
        <w:rPr>
          <w:lang w:val="en-GB"/>
        </w:rPr>
        <w:t xml:space="preserve"> that the bank includes in prudential consolidation, provided that the balance sheet total of the subsidiary </w:t>
      </w:r>
      <w:r w:rsidR="00EA7DA4" w:rsidRPr="00F6662E">
        <w:rPr>
          <w:lang w:val="en-GB"/>
        </w:rPr>
        <w:t>credit institution</w:t>
      </w:r>
      <w:r w:rsidR="00C561EF" w:rsidRPr="00F6662E">
        <w:rPr>
          <w:lang w:val="en-GB"/>
        </w:rPr>
        <w:t xml:space="preserve"> exceeds EUR 3 billion.</w:t>
      </w:r>
      <w:r w:rsidR="001D3C37" w:rsidRPr="00F6662E">
        <w:rPr>
          <w:lang w:val="en-GB"/>
        </w:rPr>
        <w:t xml:space="preserve"> </w:t>
      </w:r>
      <w:r w:rsidR="001D3C37" w:rsidRPr="003E7CB0">
        <w:rPr>
          <w:lang w:val="en-GB"/>
        </w:rPr>
        <w:t xml:space="preserve">When </w:t>
      </w:r>
      <w:r w:rsidR="005515F1">
        <w:rPr>
          <w:lang w:val="en-GB"/>
        </w:rPr>
        <w:t xml:space="preserve">more than one </w:t>
      </w:r>
      <w:r w:rsidR="001D3C37" w:rsidRPr="00D8202D">
        <w:rPr>
          <w:lang w:val="en-GB"/>
        </w:rPr>
        <w:t xml:space="preserve">bank or credit institution </w:t>
      </w:r>
      <w:r w:rsidR="005515F1" w:rsidRPr="00D8202D">
        <w:rPr>
          <w:lang w:val="en-GB"/>
        </w:rPr>
        <w:t>within the same supervised group is</w:t>
      </w:r>
      <w:r w:rsidR="001D3C37" w:rsidRPr="00D8202D">
        <w:rPr>
          <w:lang w:val="en-GB"/>
        </w:rPr>
        <w:t xml:space="preserve"> subject to fulfilment of prudential requirements on a consolidated basis in</w:t>
      </w:r>
      <w:r w:rsidR="001D3C37" w:rsidRPr="00F6662E">
        <w:rPr>
          <w:lang w:val="en-GB"/>
        </w:rPr>
        <w:t xml:space="preserve"> accordance with Regulation (EU) No. 575/2013, the requirement referred to in the first sentence of this paragraph shall apply </w:t>
      </w:r>
      <w:r w:rsidR="00F6662E" w:rsidRPr="00F6662E">
        <w:rPr>
          <w:lang w:val="en-GB"/>
        </w:rPr>
        <w:t xml:space="preserve">only </w:t>
      </w:r>
      <w:r w:rsidR="001D3C37" w:rsidRPr="00F6662E">
        <w:rPr>
          <w:lang w:val="en-GB"/>
        </w:rPr>
        <w:t>to the bank</w:t>
      </w:r>
      <w:r w:rsidR="00F6662E" w:rsidRPr="00F6662E">
        <w:rPr>
          <w:lang w:val="en-GB"/>
        </w:rPr>
        <w:t>s subject to</w:t>
      </w:r>
      <w:r w:rsidR="001D3C37" w:rsidRPr="00F6662E">
        <w:rPr>
          <w:lang w:val="en-GB"/>
        </w:rPr>
        <w:t xml:space="preserve"> prudential requirements at the highest level of </w:t>
      </w:r>
      <w:r w:rsidR="00F6662E" w:rsidRPr="00F6662E">
        <w:rPr>
          <w:lang w:val="en-GB"/>
        </w:rPr>
        <w:t xml:space="preserve">the </w:t>
      </w:r>
      <w:r w:rsidR="001D3C37" w:rsidRPr="00F6662E">
        <w:rPr>
          <w:lang w:val="en-GB"/>
        </w:rPr>
        <w:t>consolidation within the EU</w:t>
      </w:r>
      <w:r w:rsidR="00F6662E">
        <w:rPr>
          <w:lang w:val="en-GB"/>
        </w:rPr>
        <w:t>.</w:t>
      </w:r>
    </w:p>
    <w:p w:rsidR="00C561EF" w:rsidRPr="00F6662E" w:rsidRDefault="00C561EF">
      <w:pPr>
        <w:pStyle w:val="Odstavek"/>
        <w:numPr>
          <w:ilvl w:val="0"/>
          <w:numId w:val="45"/>
        </w:numPr>
        <w:rPr>
          <w:lang w:val="en-GB"/>
        </w:rPr>
      </w:pPr>
      <w:r w:rsidRPr="00F6662E">
        <w:rPr>
          <w:lang w:val="en-GB"/>
        </w:rPr>
        <w:t xml:space="preserve">Point e) of the first paragraph of this article notwithstanding, a bank shall be obliged to submit the report on financial information on an individual basis in the extent set out in point c) of the first paragraph of Article 24 of this regulation when its balance sheet total exceeds EUR 1 billion. </w:t>
      </w:r>
    </w:p>
    <w:p w:rsidR="00C561EF" w:rsidRPr="00DA06B6" w:rsidRDefault="00C561EF" w:rsidP="00DA06B6">
      <w:pPr>
        <w:autoSpaceDE w:val="0"/>
        <w:autoSpaceDN w:val="0"/>
        <w:adjustRightInd w:val="0"/>
        <w:rPr>
          <w:sz w:val="22"/>
          <w:szCs w:val="22"/>
          <w:lang w:val="en-GB"/>
        </w:rPr>
      </w:pPr>
    </w:p>
    <w:p w:rsidR="00C561EF" w:rsidRPr="00DA06B6" w:rsidRDefault="00C561EF" w:rsidP="00DA06B6">
      <w:pPr>
        <w:autoSpaceDE w:val="0"/>
        <w:autoSpaceDN w:val="0"/>
        <w:adjustRightInd w:val="0"/>
        <w:rPr>
          <w:sz w:val="22"/>
          <w:szCs w:val="22"/>
          <w:lang w:val="en-GB"/>
        </w:rPr>
      </w:pPr>
    </w:p>
    <w:p w:rsidR="00C561EF" w:rsidRPr="00C4152C" w:rsidRDefault="00C561EF" w:rsidP="00B80689">
      <w:pPr>
        <w:ind w:left="432"/>
        <w:jc w:val="center"/>
        <w:rPr>
          <w:bCs/>
          <w:sz w:val="22"/>
          <w:szCs w:val="22"/>
          <w:lang w:val="en-GB"/>
        </w:rPr>
      </w:pPr>
      <w:r w:rsidRPr="00C4152C">
        <w:rPr>
          <w:sz w:val="22"/>
          <w:szCs w:val="22"/>
          <w:lang w:val="en-GB"/>
        </w:rPr>
        <w:t>Article 23</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w:t>
      </w:r>
      <w:r w:rsidR="008D5674" w:rsidRPr="00C4152C">
        <w:rPr>
          <w:sz w:val="22"/>
          <w:szCs w:val="22"/>
          <w:lang w:val="en-GB"/>
        </w:rPr>
        <w:t xml:space="preserve">start </w:t>
      </w:r>
      <w:r w:rsidRPr="00C4152C">
        <w:rPr>
          <w:sz w:val="22"/>
          <w:szCs w:val="22"/>
          <w:lang w:val="en-GB"/>
        </w:rPr>
        <w:t xml:space="preserve">or end of reporting with regard to criterion of balance sheet total) </w:t>
      </w:r>
    </w:p>
    <w:p w:rsidR="00C561EF" w:rsidRPr="00F0045A" w:rsidRDefault="00C561EF" w:rsidP="00205659">
      <w:pPr>
        <w:pStyle w:val="Odstavek"/>
        <w:numPr>
          <w:ilvl w:val="0"/>
          <w:numId w:val="50"/>
        </w:numPr>
        <w:rPr>
          <w:lang w:val="en-GB"/>
        </w:rPr>
      </w:pPr>
      <w:r w:rsidRPr="00FE398B">
        <w:rPr>
          <w:lang w:val="en-GB"/>
        </w:rPr>
        <w:t xml:space="preserve">A bank referred to </w:t>
      </w:r>
      <w:r w:rsidR="00F6662E" w:rsidRPr="00FE398B">
        <w:rPr>
          <w:lang w:val="en-GB"/>
        </w:rPr>
        <w:t>in points c) or d) of the first</w:t>
      </w:r>
      <w:r w:rsidRPr="00FE398B">
        <w:rPr>
          <w:lang w:val="en-GB"/>
        </w:rPr>
        <w:t xml:space="preserve"> paragraph of Article 22 of this regulation shall </w:t>
      </w:r>
      <w:r w:rsidR="00F6662E" w:rsidRPr="00FE398B">
        <w:rPr>
          <w:lang w:val="en-GB"/>
        </w:rPr>
        <w:t>report</w:t>
      </w:r>
      <w:r w:rsidRPr="00FE398B">
        <w:rPr>
          <w:lang w:val="en-GB"/>
        </w:rPr>
        <w:t xml:space="preserve"> financial information for a subsidiary </w:t>
      </w:r>
      <w:r w:rsidR="00F6662E" w:rsidRPr="00FE398B">
        <w:rPr>
          <w:lang w:val="en-GB"/>
        </w:rPr>
        <w:t>in accordance with provisions</w:t>
      </w:r>
      <w:r w:rsidR="00FE398B" w:rsidRPr="00FE398B">
        <w:rPr>
          <w:lang w:val="en-GB"/>
        </w:rPr>
        <w:t xml:space="preserve"> of third paragraph of Article 22 of this regulation </w:t>
      </w:r>
      <w:r w:rsidR="00FE398B" w:rsidRPr="00F0045A">
        <w:rPr>
          <w:lang w:val="en-GB"/>
        </w:rPr>
        <w:t xml:space="preserve">on </w:t>
      </w:r>
      <w:r w:rsidR="00F0045A" w:rsidRPr="00F0045A">
        <w:rPr>
          <w:lang w:val="en-GB"/>
        </w:rPr>
        <w:t xml:space="preserve">the </w:t>
      </w:r>
      <w:r w:rsidR="00FE398B" w:rsidRPr="00F0045A">
        <w:rPr>
          <w:lang w:val="en-GB"/>
        </w:rPr>
        <w:t>first reference date after</w:t>
      </w:r>
      <w:r w:rsidR="00FE398B" w:rsidRPr="00FE398B">
        <w:rPr>
          <w:lang w:val="en-GB"/>
        </w:rPr>
        <w:t xml:space="preserve"> the</w:t>
      </w:r>
      <w:r w:rsidRPr="00FE398B">
        <w:rPr>
          <w:lang w:val="en-GB"/>
        </w:rPr>
        <w:t xml:space="preserve"> balance sheet total </w:t>
      </w:r>
      <w:r w:rsidR="00FE398B" w:rsidRPr="00FE398B">
        <w:rPr>
          <w:lang w:val="en-GB"/>
        </w:rPr>
        <w:t xml:space="preserve">of </w:t>
      </w:r>
      <w:r w:rsidR="00FE398B" w:rsidRPr="00F0045A">
        <w:rPr>
          <w:lang w:val="en-GB"/>
        </w:rPr>
        <w:t xml:space="preserve">this subsidiary </w:t>
      </w:r>
      <w:r w:rsidRPr="00F0045A">
        <w:rPr>
          <w:lang w:val="en-GB"/>
        </w:rPr>
        <w:t>exceeds</w:t>
      </w:r>
      <w:r w:rsidRPr="00FE398B">
        <w:rPr>
          <w:lang w:val="en-GB"/>
        </w:rPr>
        <w:t xml:space="preserve"> EUR 3 billion for the </w:t>
      </w:r>
      <w:r w:rsidR="00FE398B" w:rsidRPr="00FE398B">
        <w:rPr>
          <w:lang w:val="en-GB"/>
        </w:rPr>
        <w:t>fourth time in a row as at the end of each quarter.</w:t>
      </w:r>
      <w:r w:rsidR="00F0045A">
        <w:rPr>
          <w:lang w:val="en-GB"/>
        </w:rPr>
        <w:t xml:space="preserve"> </w:t>
      </w:r>
      <w:r w:rsidR="00205659">
        <w:rPr>
          <w:lang w:val="en-GB"/>
        </w:rPr>
        <w:t>T</w:t>
      </w:r>
      <w:r w:rsidRPr="00FE398B">
        <w:rPr>
          <w:lang w:val="en-GB"/>
        </w:rPr>
        <w:t>he bank shall cease to report financial information for the subsidiary as at the first reference date after the</w:t>
      </w:r>
      <w:r w:rsidR="00205659">
        <w:rPr>
          <w:lang w:val="en-GB"/>
        </w:rPr>
        <w:t xml:space="preserve"> </w:t>
      </w:r>
      <w:r w:rsidR="00205659" w:rsidRPr="00FB13C6">
        <w:rPr>
          <w:lang w:val="en-GB"/>
        </w:rPr>
        <w:t xml:space="preserve">balance sheet total of </w:t>
      </w:r>
      <w:r w:rsidR="00F0045A" w:rsidRPr="00F0045A">
        <w:rPr>
          <w:lang w:val="en-GB"/>
        </w:rPr>
        <w:t xml:space="preserve">this </w:t>
      </w:r>
      <w:r w:rsidR="00205659" w:rsidRPr="00F0045A">
        <w:rPr>
          <w:lang w:val="en-GB"/>
        </w:rPr>
        <w:t>subsidiary remains below or is equal to EUR 3 billion for the third time in a row as at the end of each quarter</w:t>
      </w:r>
      <w:r w:rsidRPr="00F0045A">
        <w:rPr>
          <w:lang w:val="en-GB"/>
        </w:rPr>
        <w:t>.</w:t>
      </w:r>
    </w:p>
    <w:p w:rsidR="00C561EF" w:rsidRPr="00C4152C" w:rsidRDefault="00C561EF" w:rsidP="00C561EF">
      <w:pPr>
        <w:pStyle w:val="Odstavek"/>
        <w:numPr>
          <w:ilvl w:val="0"/>
          <w:numId w:val="50"/>
        </w:numPr>
        <w:rPr>
          <w:lang w:val="en-GB"/>
        </w:rPr>
      </w:pPr>
      <w:r w:rsidRPr="00C4152C">
        <w:rPr>
          <w:lang w:val="en-GB"/>
        </w:rPr>
        <w:t xml:space="preserve">A bank referred to in </w:t>
      </w:r>
      <w:r w:rsidR="00205659">
        <w:rPr>
          <w:lang w:val="en-GB"/>
        </w:rPr>
        <w:t xml:space="preserve">point e) of </w:t>
      </w:r>
      <w:r w:rsidRPr="00C4152C">
        <w:rPr>
          <w:lang w:val="en-GB"/>
        </w:rPr>
        <w:t xml:space="preserve">the </w:t>
      </w:r>
      <w:r w:rsidR="00205659">
        <w:rPr>
          <w:lang w:val="en-GB"/>
        </w:rPr>
        <w:t>first</w:t>
      </w:r>
      <w:r w:rsidRPr="00C4152C">
        <w:rPr>
          <w:lang w:val="en-GB"/>
        </w:rPr>
        <w:t xml:space="preserve"> paragraph of Article 22 of this regulation shall for the first time submit </w:t>
      </w:r>
      <w:r w:rsidR="00F0045A">
        <w:rPr>
          <w:lang w:val="en-GB"/>
        </w:rPr>
        <w:t xml:space="preserve">the </w:t>
      </w:r>
      <w:r w:rsidR="00205659">
        <w:rPr>
          <w:lang w:val="en-GB"/>
        </w:rPr>
        <w:t xml:space="preserve">report on financial </w:t>
      </w:r>
      <w:r w:rsidRPr="00C4152C">
        <w:rPr>
          <w:lang w:val="en-GB"/>
        </w:rPr>
        <w:t xml:space="preserve">information </w:t>
      </w:r>
      <w:r w:rsidR="00205659">
        <w:rPr>
          <w:lang w:val="en-GB"/>
        </w:rPr>
        <w:t xml:space="preserve">in accordance with the fourth paragraph </w:t>
      </w:r>
      <w:r w:rsidR="00205659" w:rsidRPr="00C4152C">
        <w:rPr>
          <w:lang w:val="en-GB"/>
        </w:rPr>
        <w:t xml:space="preserve">of Article 22 of this regulation </w:t>
      </w:r>
      <w:r w:rsidR="00205659">
        <w:rPr>
          <w:lang w:val="en-GB"/>
        </w:rPr>
        <w:t xml:space="preserve">on the first reference date after </w:t>
      </w:r>
      <w:r w:rsidR="008C5304">
        <w:rPr>
          <w:lang w:val="en-GB"/>
        </w:rPr>
        <w:t>the</w:t>
      </w:r>
      <w:r w:rsidRPr="00C4152C">
        <w:rPr>
          <w:lang w:val="en-GB"/>
        </w:rPr>
        <w:t xml:space="preserve"> balance sheet total </w:t>
      </w:r>
      <w:r w:rsidR="00205659">
        <w:rPr>
          <w:lang w:val="en-GB"/>
        </w:rPr>
        <w:t xml:space="preserve">of the subsidiary exceeds </w:t>
      </w:r>
      <w:r w:rsidRPr="00C4152C">
        <w:rPr>
          <w:lang w:val="en-GB"/>
        </w:rPr>
        <w:t xml:space="preserve">EUR 1 billion </w:t>
      </w:r>
      <w:r w:rsidR="001602BA" w:rsidRPr="00FB13C6">
        <w:rPr>
          <w:lang w:val="en-GB"/>
        </w:rPr>
        <w:t>for the fourth time in a row as at the end of each quarter.</w:t>
      </w:r>
      <w:r w:rsidRPr="00C4152C">
        <w:rPr>
          <w:lang w:val="en-GB"/>
        </w:rPr>
        <w:t xml:space="preserve"> </w:t>
      </w:r>
      <w:r w:rsidR="008C5304">
        <w:rPr>
          <w:lang w:val="en-GB"/>
        </w:rPr>
        <w:t xml:space="preserve">If </w:t>
      </w:r>
      <w:r w:rsidRPr="00C4152C">
        <w:rPr>
          <w:lang w:val="en-GB"/>
        </w:rPr>
        <w:t>a bank</w:t>
      </w:r>
      <w:r w:rsidR="001602BA">
        <w:rPr>
          <w:lang w:val="en-GB"/>
        </w:rPr>
        <w:t>'s</w:t>
      </w:r>
      <w:r w:rsidRPr="00C4152C">
        <w:rPr>
          <w:lang w:val="en-GB"/>
        </w:rPr>
        <w:t xml:space="preserve"> balance sheet total </w:t>
      </w:r>
      <w:r w:rsidR="001602BA" w:rsidRPr="00C4152C">
        <w:rPr>
          <w:lang w:val="en-GB"/>
        </w:rPr>
        <w:t>no longer exceed</w:t>
      </w:r>
      <w:r w:rsidR="008C5304">
        <w:rPr>
          <w:lang w:val="en-GB"/>
        </w:rPr>
        <w:t>s</w:t>
      </w:r>
      <w:r w:rsidR="001602BA" w:rsidRPr="00C4152C">
        <w:rPr>
          <w:lang w:val="en-GB"/>
        </w:rPr>
        <w:t xml:space="preserve"> </w:t>
      </w:r>
      <w:r w:rsidRPr="00C4152C">
        <w:rPr>
          <w:lang w:val="en-GB"/>
        </w:rPr>
        <w:t xml:space="preserve">EUR 1 billion </w:t>
      </w:r>
      <w:r w:rsidR="001602BA" w:rsidRPr="00FB13C6">
        <w:rPr>
          <w:lang w:val="en-GB"/>
        </w:rPr>
        <w:t xml:space="preserve">for </w:t>
      </w:r>
      <w:r w:rsidR="001602BA">
        <w:rPr>
          <w:lang w:val="en-GB"/>
        </w:rPr>
        <w:t xml:space="preserve">three </w:t>
      </w:r>
      <w:r w:rsidR="001602BA" w:rsidRPr="00FB13C6">
        <w:rPr>
          <w:lang w:val="en-GB"/>
        </w:rPr>
        <w:t>time</w:t>
      </w:r>
      <w:r w:rsidR="001602BA">
        <w:rPr>
          <w:lang w:val="en-GB"/>
        </w:rPr>
        <w:t>s</w:t>
      </w:r>
      <w:r w:rsidR="001602BA" w:rsidRPr="00FB13C6">
        <w:rPr>
          <w:lang w:val="en-GB"/>
        </w:rPr>
        <w:t xml:space="preserve"> in a row as at the end of each quarter</w:t>
      </w:r>
      <w:r w:rsidRPr="00C4152C">
        <w:rPr>
          <w:lang w:val="en-GB"/>
        </w:rPr>
        <w:t xml:space="preserve">, its obligation to submit the reports on financial information set out in point c) of the first paragraph of Article 24 of this regulation shall end on the </w:t>
      </w:r>
      <w:r w:rsidR="001602BA">
        <w:rPr>
          <w:lang w:val="en-GB"/>
        </w:rPr>
        <w:t xml:space="preserve">first following </w:t>
      </w:r>
      <w:r w:rsidRPr="00C4152C">
        <w:rPr>
          <w:lang w:val="en-GB"/>
        </w:rPr>
        <w:t xml:space="preserve">reference date. </w:t>
      </w:r>
    </w:p>
    <w:p w:rsidR="00C561EF" w:rsidRDefault="00C561EF" w:rsidP="00C561EF">
      <w:pPr>
        <w:autoSpaceDE w:val="0"/>
        <w:autoSpaceDN w:val="0"/>
        <w:adjustRightInd w:val="0"/>
        <w:rPr>
          <w:sz w:val="22"/>
          <w:szCs w:val="22"/>
          <w:lang w:val="en-GB"/>
        </w:rPr>
      </w:pPr>
    </w:p>
    <w:p w:rsidR="00D611FF" w:rsidRPr="00C4152C" w:rsidRDefault="00D611FF" w:rsidP="00C561EF">
      <w:pPr>
        <w:autoSpaceDE w:val="0"/>
        <w:autoSpaceDN w:val="0"/>
        <w:adjustRightInd w:val="0"/>
        <w:rPr>
          <w:sz w:val="22"/>
          <w:szCs w:val="22"/>
          <w:lang w:val="en-GB"/>
        </w:rPr>
      </w:pPr>
    </w:p>
    <w:p w:rsidR="00C561EF" w:rsidRDefault="00C561EF" w:rsidP="00B80689">
      <w:pPr>
        <w:ind w:left="432"/>
        <w:jc w:val="center"/>
        <w:rPr>
          <w:sz w:val="22"/>
          <w:szCs w:val="22"/>
          <w:lang w:val="en-GB"/>
        </w:rPr>
      </w:pPr>
      <w:r w:rsidRPr="00C4152C">
        <w:rPr>
          <w:sz w:val="22"/>
          <w:szCs w:val="22"/>
          <w:lang w:val="en-GB"/>
        </w:rPr>
        <w:t>Article 24</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(content and format of report)</w:t>
      </w:r>
    </w:p>
    <w:p w:rsidR="00C561EF" w:rsidRPr="00C4152C" w:rsidRDefault="00C561EF" w:rsidP="00C561EF">
      <w:pPr>
        <w:pStyle w:val="Odstavek"/>
        <w:numPr>
          <w:ilvl w:val="0"/>
          <w:numId w:val="48"/>
        </w:numPr>
        <w:rPr>
          <w:lang w:val="en-GB"/>
        </w:rPr>
      </w:pPr>
      <w:r w:rsidRPr="00C4152C">
        <w:rPr>
          <w:lang w:val="en-GB"/>
        </w:rPr>
        <w:t xml:space="preserve">The report on financial information shall include the following content from the forms in Annex III of Commission Implementing Regulation (EU) No 680/2014 on an individual basis, depending on the extent required by Article 22 of this regulation:  </w:t>
      </w:r>
    </w:p>
    <w:p w:rsidR="00C561EF" w:rsidRPr="00C4152C" w:rsidRDefault="00C561EF" w:rsidP="00C561EF">
      <w:pPr>
        <w:autoSpaceDE w:val="0"/>
        <w:autoSpaceDN w:val="0"/>
        <w:adjustRightInd w:val="0"/>
        <w:jc w:val="both"/>
        <w:rPr>
          <w:sz w:val="22"/>
          <w:szCs w:val="22"/>
          <w:lang w:val="en-GB"/>
        </w:rPr>
      </w:pPr>
    </w:p>
    <w:p w:rsidR="00C561EF" w:rsidRDefault="001602BA" w:rsidP="00C561EF">
      <w:pPr>
        <w:pStyle w:val="Odstavek"/>
        <w:numPr>
          <w:ilvl w:val="0"/>
          <w:numId w:val="47"/>
        </w:numPr>
        <w:spacing w:before="0"/>
        <w:rPr>
          <w:lang w:val="en-GB"/>
        </w:rPr>
      </w:pPr>
      <w:r>
        <w:rPr>
          <w:lang w:val="en-GB"/>
        </w:rPr>
        <w:t>Basic information</w:t>
      </w:r>
      <w:r w:rsidR="00C561EF" w:rsidRPr="00C4152C">
        <w:rPr>
          <w:lang w:val="en-GB"/>
        </w:rPr>
        <w:t xml:space="preserve"> on </w:t>
      </w:r>
      <w:r w:rsidR="00221DD3">
        <w:rPr>
          <w:lang w:val="en-GB"/>
        </w:rPr>
        <w:t xml:space="preserve">the following </w:t>
      </w:r>
      <w:r w:rsidR="00C561EF" w:rsidRPr="00C4152C">
        <w:rPr>
          <w:lang w:val="en-GB"/>
        </w:rPr>
        <w:t>templates:</w:t>
      </w:r>
    </w:p>
    <w:p w:rsidR="001602BA" w:rsidRDefault="001602BA" w:rsidP="001602BA">
      <w:pPr>
        <w:pStyle w:val="Odstavekseznama"/>
        <w:jc w:val="both"/>
        <w:rPr>
          <w:sz w:val="22"/>
          <w:szCs w:val="22"/>
        </w:rPr>
      </w:pPr>
    </w:p>
    <w:p w:rsidR="00C56469" w:rsidRPr="00DA0452" w:rsidRDefault="00C56469" w:rsidP="00B24801">
      <w:pPr>
        <w:pStyle w:val="Odstavekseznama"/>
        <w:ind w:left="709"/>
        <w:jc w:val="both"/>
        <w:rPr>
          <w:sz w:val="22"/>
          <w:szCs w:val="22"/>
          <w:lang w:val="en-GB"/>
        </w:rPr>
      </w:pPr>
      <w:r w:rsidRPr="00B24801">
        <w:rPr>
          <w:sz w:val="22"/>
          <w:szCs w:val="22"/>
          <w:lang w:val="en-GB"/>
        </w:rPr>
        <w:t>Statement of financial position (</w:t>
      </w:r>
      <w:r w:rsidR="00DA0452" w:rsidRPr="00B24801">
        <w:rPr>
          <w:sz w:val="22"/>
          <w:szCs w:val="22"/>
          <w:lang w:val="en-GB"/>
        </w:rPr>
        <w:t>B</w:t>
      </w:r>
      <w:r w:rsidRPr="00B24801">
        <w:rPr>
          <w:sz w:val="22"/>
          <w:szCs w:val="22"/>
          <w:lang w:val="en-GB"/>
        </w:rPr>
        <w:t>alance sheet</w:t>
      </w:r>
      <w:r w:rsidR="00DA0452" w:rsidRPr="00B24801">
        <w:rPr>
          <w:sz w:val="22"/>
          <w:szCs w:val="22"/>
          <w:lang w:val="en-GB"/>
        </w:rPr>
        <w:t xml:space="preserve"> statement</w:t>
      </w:r>
      <w:r w:rsidRPr="00B24801">
        <w:rPr>
          <w:sz w:val="22"/>
          <w:szCs w:val="22"/>
          <w:lang w:val="en-GB"/>
        </w:rPr>
        <w:t>):</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1.1 Assets</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1.2 Liabilities</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1.3 Equity</w:t>
      </w:r>
    </w:p>
    <w:p w:rsidR="001602BA" w:rsidRPr="00DA0452" w:rsidRDefault="001602BA" w:rsidP="001602BA">
      <w:pPr>
        <w:pStyle w:val="Odstavekseznama"/>
        <w:jc w:val="both"/>
        <w:rPr>
          <w:sz w:val="22"/>
          <w:szCs w:val="22"/>
          <w:highlight w:val="yellow"/>
          <w:lang w:val="en-GB"/>
        </w:rPr>
      </w:pPr>
    </w:p>
    <w:p w:rsidR="00DA0452" w:rsidRPr="000B12E3" w:rsidRDefault="00C56469" w:rsidP="00DA0452">
      <w:pPr>
        <w:pStyle w:val="Odstavekseznama"/>
        <w:numPr>
          <w:ilvl w:val="0"/>
          <w:numId w:val="58"/>
        </w:numPr>
        <w:jc w:val="both"/>
        <w:rPr>
          <w:sz w:val="22"/>
          <w:szCs w:val="22"/>
          <w:lang w:val="en-GB"/>
        </w:rPr>
      </w:pPr>
      <w:r w:rsidRPr="000B12E3" w:rsidDel="00C56469">
        <w:rPr>
          <w:sz w:val="22"/>
          <w:szCs w:val="22"/>
          <w:lang w:val="en-GB"/>
        </w:rPr>
        <w:t>2</w:t>
      </w:r>
      <w:r w:rsidR="000B12E3" w:rsidRPr="000B12E3">
        <w:rPr>
          <w:sz w:val="22"/>
          <w:szCs w:val="22"/>
          <w:lang w:val="en-GB"/>
        </w:rPr>
        <w:t>.</w:t>
      </w:r>
      <w:r w:rsidRPr="000B12E3" w:rsidDel="00C56469">
        <w:rPr>
          <w:sz w:val="22"/>
          <w:szCs w:val="22"/>
          <w:lang w:val="en-GB"/>
        </w:rPr>
        <w:t xml:space="preserve"> Statement of profit or loss</w:t>
      </w:r>
    </w:p>
    <w:p w:rsidR="00C56469" w:rsidRPr="000B12E3" w:rsidRDefault="00C56469" w:rsidP="00DA0452">
      <w:pPr>
        <w:pStyle w:val="Odstavekseznama"/>
        <w:jc w:val="both"/>
        <w:rPr>
          <w:sz w:val="22"/>
          <w:szCs w:val="22"/>
          <w:lang w:val="en-GB"/>
        </w:rPr>
      </w:pPr>
    </w:p>
    <w:p w:rsidR="00C56469" w:rsidRDefault="000B12E3" w:rsidP="00B24801">
      <w:pPr>
        <w:pStyle w:val="Odstavekseznama"/>
        <w:numPr>
          <w:ilvl w:val="0"/>
          <w:numId w:val="58"/>
        </w:numPr>
        <w:rPr>
          <w:sz w:val="22"/>
          <w:szCs w:val="22"/>
          <w:lang w:val="en-GB"/>
        </w:rPr>
      </w:pPr>
      <w:r w:rsidRPr="00B24801">
        <w:rPr>
          <w:sz w:val="22"/>
          <w:szCs w:val="22"/>
          <w:lang w:val="en-GB"/>
        </w:rPr>
        <w:t xml:space="preserve">5.1 Loans and advances other than held for trading </w:t>
      </w:r>
      <w:r w:rsidR="00777758" w:rsidRPr="00B24801">
        <w:rPr>
          <w:sz w:val="22"/>
          <w:szCs w:val="22"/>
          <w:lang w:val="en-GB"/>
        </w:rPr>
        <w:t>and trading assets by products</w:t>
      </w:r>
    </w:p>
    <w:p w:rsidR="000B12E3" w:rsidRPr="00C4152C" w:rsidRDefault="000B12E3" w:rsidP="00C56469">
      <w:pPr>
        <w:pStyle w:val="Odstavekseznama"/>
        <w:rPr>
          <w:sz w:val="22"/>
          <w:szCs w:val="22"/>
          <w:lang w:val="en-GB"/>
        </w:rPr>
      </w:pPr>
    </w:p>
    <w:p w:rsidR="00C56469" w:rsidRPr="000B12E3" w:rsidRDefault="00C56469" w:rsidP="00C56469">
      <w:pPr>
        <w:pStyle w:val="Odstavekseznama"/>
        <w:jc w:val="both"/>
        <w:rPr>
          <w:sz w:val="22"/>
          <w:szCs w:val="22"/>
          <w:lang w:val="en-GB"/>
        </w:rPr>
      </w:pPr>
      <w:r w:rsidRPr="00B24801">
        <w:rPr>
          <w:sz w:val="22"/>
          <w:szCs w:val="22"/>
          <w:lang w:val="en-GB"/>
        </w:rPr>
        <w:t>Breakdo</w:t>
      </w:r>
      <w:r w:rsidRPr="000B12E3">
        <w:rPr>
          <w:sz w:val="22"/>
          <w:szCs w:val="22"/>
          <w:lang w:val="en-GB"/>
        </w:rPr>
        <w:t>wn of financial liabilities:</w:t>
      </w:r>
    </w:p>
    <w:p w:rsidR="00C56469" w:rsidRPr="000B12E3" w:rsidRDefault="00C56469" w:rsidP="00C56469">
      <w:pPr>
        <w:pStyle w:val="Odstavekseznama"/>
        <w:numPr>
          <w:ilvl w:val="0"/>
          <w:numId w:val="58"/>
        </w:numPr>
        <w:jc w:val="both"/>
        <w:rPr>
          <w:sz w:val="22"/>
          <w:szCs w:val="22"/>
          <w:lang w:val="en-GB"/>
        </w:rPr>
      </w:pPr>
      <w:r w:rsidRPr="000B12E3">
        <w:rPr>
          <w:sz w:val="22"/>
          <w:szCs w:val="22"/>
          <w:lang w:val="en-GB"/>
        </w:rPr>
        <w:t>8.1 Breakdown of financial liabilities by product and by counterparty sector</w:t>
      </w:r>
    </w:p>
    <w:p w:rsidR="00C56469" w:rsidRPr="000B12E3" w:rsidRDefault="00C56469" w:rsidP="00C56469">
      <w:pPr>
        <w:pStyle w:val="Odstavekseznama"/>
        <w:numPr>
          <w:ilvl w:val="0"/>
          <w:numId w:val="58"/>
        </w:numPr>
        <w:jc w:val="both"/>
        <w:rPr>
          <w:sz w:val="22"/>
          <w:szCs w:val="22"/>
          <w:lang w:val="en-GB"/>
        </w:rPr>
      </w:pPr>
      <w:r w:rsidRPr="000B12E3">
        <w:rPr>
          <w:sz w:val="22"/>
          <w:szCs w:val="22"/>
          <w:lang w:val="en-GB"/>
        </w:rPr>
        <w:t xml:space="preserve">8.2 Subordinated financial liabilities </w:t>
      </w:r>
    </w:p>
    <w:p w:rsidR="001602BA" w:rsidRDefault="001602BA" w:rsidP="001602BA">
      <w:pPr>
        <w:pStyle w:val="Odstavekseznama"/>
        <w:jc w:val="both"/>
        <w:rPr>
          <w:sz w:val="22"/>
          <w:szCs w:val="22"/>
          <w:lang w:val="en-GB"/>
        </w:rPr>
      </w:pPr>
    </w:p>
    <w:p w:rsidR="0006637C" w:rsidRPr="000B12E3" w:rsidRDefault="0006637C" w:rsidP="0006637C">
      <w:pPr>
        <w:pStyle w:val="Odstavekseznama"/>
        <w:numPr>
          <w:ilvl w:val="0"/>
          <w:numId w:val="35"/>
        </w:numPr>
        <w:jc w:val="both"/>
        <w:rPr>
          <w:sz w:val="22"/>
          <w:szCs w:val="22"/>
          <w:lang w:val="en-GB"/>
        </w:rPr>
      </w:pPr>
      <w:r w:rsidRPr="000B12E3">
        <w:rPr>
          <w:sz w:val="22"/>
          <w:szCs w:val="22"/>
          <w:lang w:val="en-GB"/>
        </w:rPr>
        <w:t>10</w:t>
      </w:r>
      <w:r w:rsidR="000B12E3">
        <w:rPr>
          <w:sz w:val="22"/>
          <w:szCs w:val="22"/>
          <w:lang w:val="en-GB"/>
        </w:rPr>
        <w:t>.</w:t>
      </w:r>
      <w:r w:rsidRPr="000B12E3">
        <w:rPr>
          <w:sz w:val="22"/>
          <w:szCs w:val="22"/>
          <w:lang w:val="en-GB"/>
        </w:rPr>
        <w:t xml:space="preserve"> Derivatives – </w:t>
      </w:r>
      <w:r w:rsidR="000B12E3">
        <w:rPr>
          <w:sz w:val="22"/>
          <w:szCs w:val="22"/>
          <w:lang w:val="en-GB"/>
        </w:rPr>
        <w:t>T</w:t>
      </w:r>
      <w:r w:rsidRPr="000B12E3">
        <w:rPr>
          <w:sz w:val="22"/>
          <w:szCs w:val="22"/>
          <w:lang w:val="en-GB"/>
        </w:rPr>
        <w:t>rading</w:t>
      </w:r>
      <w:r w:rsidRPr="00C4152C">
        <w:rPr>
          <w:sz w:val="22"/>
          <w:szCs w:val="22"/>
          <w:lang w:val="en-GB"/>
        </w:rPr>
        <w:t xml:space="preserve"> </w:t>
      </w:r>
      <w:r w:rsidR="000B12E3">
        <w:rPr>
          <w:sz w:val="22"/>
          <w:szCs w:val="22"/>
          <w:lang w:val="en-GB"/>
        </w:rPr>
        <w:t>and economic hedges</w:t>
      </w:r>
    </w:p>
    <w:p w:rsidR="0006637C" w:rsidRPr="00C4152C" w:rsidRDefault="0006637C" w:rsidP="0006637C">
      <w:pPr>
        <w:pStyle w:val="Odstavekseznama"/>
        <w:numPr>
          <w:ilvl w:val="0"/>
          <w:numId w:val="35"/>
        </w:numPr>
        <w:jc w:val="both"/>
        <w:rPr>
          <w:sz w:val="22"/>
          <w:szCs w:val="22"/>
          <w:lang w:val="en-GB"/>
        </w:rPr>
      </w:pPr>
      <w:r w:rsidRPr="000B12E3">
        <w:rPr>
          <w:sz w:val="22"/>
          <w:szCs w:val="22"/>
          <w:lang w:val="en-GB"/>
        </w:rPr>
        <w:t xml:space="preserve">11.1 Derivatives </w:t>
      </w:r>
      <w:r w:rsidR="000B12E3" w:rsidRPr="000B12E3">
        <w:rPr>
          <w:sz w:val="22"/>
          <w:szCs w:val="22"/>
          <w:lang w:val="en-GB"/>
        </w:rPr>
        <w:t>–</w:t>
      </w:r>
      <w:r w:rsidR="000B12E3">
        <w:rPr>
          <w:sz w:val="22"/>
          <w:szCs w:val="22"/>
          <w:lang w:val="en-GB"/>
        </w:rPr>
        <w:t xml:space="preserve"> H</w:t>
      </w:r>
      <w:r w:rsidRPr="000B12E3">
        <w:rPr>
          <w:sz w:val="22"/>
          <w:szCs w:val="22"/>
          <w:lang w:val="en-GB"/>
        </w:rPr>
        <w:t>edge accounting: breakdown by type</w:t>
      </w:r>
      <w:r w:rsidRPr="00C4152C">
        <w:rPr>
          <w:sz w:val="22"/>
          <w:szCs w:val="22"/>
          <w:lang w:val="en-GB"/>
        </w:rPr>
        <w:t xml:space="preserve"> of risk and type of hedge </w:t>
      </w:r>
    </w:p>
    <w:p w:rsidR="00C561EF" w:rsidRPr="00C4152C" w:rsidRDefault="00C561EF" w:rsidP="00C561EF">
      <w:pPr>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18</w:t>
      </w:r>
      <w:r w:rsidR="00DE2CBC">
        <w:rPr>
          <w:sz w:val="22"/>
          <w:szCs w:val="22"/>
          <w:lang w:val="en-GB"/>
        </w:rPr>
        <w:t>. Information on p</w:t>
      </w:r>
      <w:r w:rsidRPr="00C4152C">
        <w:rPr>
          <w:sz w:val="22"/>
          <w:szCs w:val="22"/>
          <w:lang w:val="en-GB"/>
        </w:rPr>
        <w:t xml:space="preserve">erforming and non-performing exposures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19</w:t>
      </w:r>
      <w:r w:rsidR="00883010">
        <w:rPr>
          <w:sz w:val="22"/>
          <w:szCs w:val="22"/>
          <w:lang w:val="en-GB"/>
        </w:rPr>
        <w:t>.</w:t>
      </w:r>
      <w:r w:rsidRPr="00C4152C">
        <w:rPr>
          <w:sz w:val="22"/>
          <w:szCs w:val="22"/>
          <w:lang w:val="en-GB"/>
        </w:rPr>
        <w:t xml:space="preserve"> </w:t>
      </w:r>
      <w:r w:rsidR="00DE2CBC">
        <w:rPr>
          <w:sz w:val="22"/>
          <w:szCs w:val="22"/>
          <w:lang w:val="en-GB"/>
        </w:rPr>
        <w:t>Information on f</w:t>
      </w:r>
      <w:r w:rsidRPr="00C4152C">
        <w:rPr>
          <w:sz w:val="22"/>
          <w:szCs w:val="22"/>
          <w:lang w:val="en-GB"/>
        </w:rPr>
        <w:t>orborne exposures</w:t>
      </w:r>
    </w:p>
    <w:p w:rsidR="00C561EF" w:rsidRPr="00C4152C" w:rsidRDefault="00C561EF" w:rsidP="00C561EF">
      <w:pPr>
        <w:jc w:val="both"/>
        <w:rPr>
          <w:sz w:val="22"/>
          <w:szCs w:val="22"/>
          <w:lang w:val="en-GB"/>
        </w:rPr>
      </w:pPr>
    </w:p>
    <w:p w:rsidR="00C561EF" w:rsidRDefault="00C561EF" w:rsidP="00C56469">
      <w:pPr>
        <w:pStyle w:val="Odstavek"/>
        <w:numPr>
          <w:ilvl w:val="0"/>
          <w:numId w:val="47"/>
        </w:numPr>
        <w:spacing w:before="0"/>
        <w:rPr>
          <w:lang w:val="en-GB"/>
        </w:rPr>
      </w:pPr>
      <w:r w:rsidRPr="00C4152C">
        <w:rPr>
          <w:lang w:val="en-GB"/>
        </w:rPr>
        <w:t xml:space="preserve">Over-simplified financial reporting on </w:t>
      </w:r>
      <w:r w:rsidR="00221DD3">
        <w:rPr>
          <w:lang w:val="en-GB"/>
        </w:rPr>
        <w:t xml:space="preserve">the following </w:t>
      </w:r>
      <w:r w:rsidRPr="00C4152C">
        <w:rPr>
          <w:lang w:val="en-GB"/>
        </w:rPr>
        <w:t>templates:</w:t>
      </w:r>
    </w:p>
    <w:p w:rsidR="00C22C1B" w:rsidRPr="00C4152C" w:rsidRDefault="00C22C1B" w:rsidP="00D8202D">
      <w:pPr>
        <w:pStyle w:val="Odstavek"/>
        <w:spacing w:before="0"/>
        <w:ind w:left="360"/>
        <w:rPr>
          <w:lang w:val="en-GB"/>
        </w:rPr>
      </w:pPr>
    </w:p>
    <w:p w:rsidR="00C561EF" w:rsidRPr="00C4152C" w:rsidRDefault="003B1C28" w:rsidP="00C561EF">
      <w:pPr>
        <w:pStyle w:val="Odstavekseznama"/>
        <w:numPr>
          <w:ilvl w:val="0"/>
          <w:numId w:val="35"/>
        </w:numPr>
        <w:jc w:val="both"/>
        <w:rPr>
          <w:sz w:val="22"/>
          <w:szCs w:val="22"/>
          <w:lang w:val="en-GB"/>
        </w:rPr>
      </w:pPr>
      <w:r>
        <w:rPr>
          <w:sz w:val="22"/>
          <w:szCs w:val="22"/>
          <w:lang w:val="en-GB"/>
        </w:rPr>
        <w:t>T</w:t>
      </w:r>
      <w:r w:rsidR="00C561EF" w:rsidRPr="00C4152C">
        <w:rPr>
          <w:sz w:val="22"/>
          <w:szCs w:val="22"/>
          <w:lang w:val="en-GB"/>
        </w:rPr>
        <w:t>emplates set out in point a)</w:t>
      </w:r>
    </w:p>
    <w:p w:rsidR="003B1C28" w:rsidRDefault="003B1C28"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Breakdown of financial assets by instrument and by counterparty sector:</w:t>
      </w:r>
    </w:p>
    <w:p w:rsidR="00C561EF" w:rsidRDefault="00C561EF" w:rsidP="00C561EF">
      <w:pPr>
        <w:pStyle w:val="Odstavekseznama"/>
        <w:numPr>
          <w:ilvl w:val="0"/>
          <w:numId w:val="35"/>
        </w:numPr>
        <w:jc w:val="both"/>
        <w:rPr>
          <w:sz w:val="22"/>
          <w:szCs w:val="22"/>
          <w:lang w:val="en-GB"/>
        </w:rPr>
      </w:pPr>
      <w:r w:rsidRPr="003B1C28">
        <w:rPr>
          <w:sz w:val="22"/>
          <w:szCs w:val="22"/>
          <w:lang w:val="en-GB"/>
        </w:rPr>
        <w:t>4.1 Financial assets held for trading</w:t>
      </w:r>
    </w:p>
    <w:p w:rsidR="00C22C1B" w:rsidRPr="00C22C1B" w:rsidRDefault="00C56469" w:rsidP="00C22C1B">
      <w:pPr>
        <w:pStyle w:val="Odstavekseznama"/>
        <w:numPr>
          <w:ilvl w:val="0"/>
          <w:numId w:val="35"/>
        </w:numPr>
        <w:jc w:val="both"/>
        <w:rPr>
          <w:sz w:val="22"/>
          <w:szCs w:val="22"/>
          <w:lang w:val="en-GB"/>
        </w:rPr>
      </w:pPr>
      <w:r w:rsidRPr="00C22C1B">
        <w:rPr>
          <w:sz w:val="22"/>
          <w:szCs w:val="22"/>
          <w:lang w:val="en-GB"/>
        </w:rPr>
        <w:t xml:space="preserve">4.2.1 </w:t>
      </w:r>
      <w:r w:rsidR="003B1C28" w:rsidRPr="00C22C1B">
        <w:rPr>
          <w:sz w:val="22"/>
          <w:szCs w:val="22"/>
          <w:lang w:val="en-GB"/>
        </w:rPr>
        <w:t>Non-trading f</w:t>
      </w:r>
      <w:r w:rsidRPr="00C22C1B">
        <w:rPr>
          <w:sz w:val="22"/>
          <w:szCs w:val="22"/>
          <w:lang w:val="en-GB"/>
        </w:rPr>
        <w:t>inancial assets</w:t>
      </w:r>
      <w:r w:rsidR="003B1C28" w:rsidRPr="00C22C1B">
        <w:rPr>
          <w:sz w:val="22"/>
          <w:szCs w:val="22"/>
          <w:lang w:val="en-GB"/>
        </w:rPr>
        <w:t xml:space="preserve"> mandatorily at fair</w:t>
      </w:r>
      <w:r w:rsidRPr="00C22C1B">
        <w:rPr>
          <w:sz w:val="22"/>
          <w:szCs w:val="22"/>
          <w:lang w:val="en-GB"/>
        </w:rPr>
        <w:t xml:space="preserve"> value through profit </w:t>
      </w:r>
      <w:r w:rsidR="003B1C28" w:rsidRPr="00C22C1B">
        <w:rPr>
          <w:sz w:val="22"/>
          <w:szCs w:val="22"/>
          <w:lang w:val="en-GB"/>
        </w:rPr>
        <w:t>or</w:t>
      </w:r>
      <w:r w:rsidRPr="00C22C1B">
        <w:rPr>
          <w:sz w:val="22"/>
          <w:szCs w:val="22"/>
          <w:lang w:val="en-GB"/>
        </w:rPr>
        <w:t xml:space="preserve"> loss</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4.2</w:t>
      </w:r>
      <w:r w:rsidR="00C56469" w:rsidRPr="003B1C28">
        <w:rPr>
          <w:sz w:val="22"/>
          <w:szCs w:val="22"/>
          <w:lang w:val="en-GB"/>
        </w:rPr>
        <w:t>.2</w:t>
      </w:r>
      <w:r w:rsidRPr="003B1C28">
        <w:rPr>
          <w:sz w:val="22"/>
          <w:szCs w:val="22"/>
          <w:lang w:val="en-GB"/>
        </w:rPr>
        <w:t xml:space="preserve"> Financial assets designated at fair value through profit </w:t>
      </w:r>
      <w:r w:rsidR="003B1C28" w:rsidRPr="003B1C28">
        <w:rPr>
          <w:sz w:val="22"/>
          <w:szCs w:val="22"/>
          <w:lang w:val="en-GB"/>
        </w:rPr>
        <w:t>or</w:t>
      </w:r>
      <w:r w:rsidRPr="003B1C28">
        <w:rPr>
          <w:sz w:val="22"/>
          <w:szCs w:val="22"/>
          <w:lang w:val="en-GB"/>
        </w:rPr>
        <w:t xml:space="preserve"> loss</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4.3</w:t>
      </w:r>
      <w:r w:rsidR="00C56469" w:rsidRPr="003B1C28">
        <w:rPr>
          <w:sz w:val="22"/>
          <w:szCs w:val="22"/>
          <w:lang w:val="en-GB"/>
        </w:rPr>
        <w:t>.1</w:t>
      </w:r>
      <w:r w:rsidRPr="003B1C28">
        <w:rPr>
          <w:sz w:val="22"/>
          <w:szCs w:val="22"/>
          <w:lang w:val="en-GB"/>
        </w:rPr>
        <w:t xml:space="preserve"> </w:t>
      </w:r>
      <w:r w:rsidR="00C56469" w:rsidRPr="003B1C28">
        <w:rPr>
          <w:sz w:val="22"/>
          <w:szCs w:val="22"/>
          <w:lang w:val="en-GB"/>
        </w:rPr>
        <w:t>F</w:t>
      </w:r>
      <w:r w:rsidRPr="003B1C28">
        <w:rPr>
          <w:sz w:val="22"/>
          <w:szCs w:val="22"/>
          <w:lang w:val="en-GB"/>
        </w:rPr>
        <w:t>inancial assets</w:t>
      </w:r>
      <w:r w:rsidR="0006637C" w:rsidRPr="003B1C28">
        <w:rPr>
          <w:sz w:val="22"/>
          <w:szCs w:val="22"/>
          <w:lang w:val="en-GB"/>
        </w:rPr>
        <w:t xml:space="preserve"> at fair value through other comprehensive income</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4.4</w:t>
      </w:r>
      <w:r w:rsidR="0006637C" w:rsidRPr="003B1C28">
        <w:rPr>
          <w:sz w:val="22"/>
          <w:szCs w:val="22"/>
          <w:lang w:val="en-GB"/>
        </w:rPr>
        <w:t>.1</w:t>
      </w:r>
      <w:r w:rsidRPr="003B1C28">
        <w:rPr>
          <w:sz w:val="22"/>
          <w:szCs w:val="22"/>
          <w:lang w:val="en-GB"/>
        </w:rPr>
        <w:t xml:space="preserve"> </w:t>
      </w:r>
      <w:r w:rsidR="0006637C" w:rsidRPr="003B1C28">
        <w:rPr>
          <w:sz w:val="22"/>
          <w:szCs w:val="22"/>
          <w:lang w:val="en-GB"/>
        </w:rPr>
        <w:t>Financial assets at amortized cost</w:t>
      </w:r>
      <w:r w:rsidRPr="003B1C28">
        <w:rPr>
          <w:sz w:val="22"/>
          <w:szCs w:val="22"/>
          <w:lang w:val="en-GB"/>
        </w:rPr>
        <w:t xml:space="preserve">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4.5 Subordinated financial assets</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9.1</w:t>
      </w:r>
      <w:r w:rsidR="0006637C">
        <w:rPr>
          <w:sz w:val="22"/>
          <w:szCs w:val="22"/>
          <w:lang w:val="en-GB"/>
        </w:rPr>
        <w:t>.1</w:t>
      </w:r>
      <w:r w:rsidRPr="00C4152C">
        <w:rPr>
          <w:sz w:val="22"/>
          <w:szCs w:val="22"/>
          <w:lang w:val="en-GB"/>
        </w:rPr>
        <w:t xml:space="preserve"> Off-balance sheet exposures: loan commitments, financial guarantees and other commitments given </w:t>
      </w:r>
    </w:p>
    <w:p w:rsidR="00C561EF" w:rsidRPr="00C4152C" w:rsidRDefault="00C561EF" w:rsidP="00C561EF">
      <w:pPr>
        <w:pStyle w:val="Odstavekseznama"/>
        <w:rPr>
          <w:sz w:val="22"/>
          <w:szCs w:val="22"/>
          <w:lang w:val="en-GB"/>
        </w:rPr>
      </w:pPr>
    </w:p>
    <w:p w:rsidR="00C22C1B" w:rsidRDefault="00C561EF" w:rsidP="00C22C1B">
      <w:pPr>
        <w:pStyle w:val="Odstavekseznama"/>
        <w:numPr>
          <w:ilvl w:val="0"/>
          <w:numId w:val="35"/>
        </w:numPr>
        <w:rPr>
          <w:sz w:val="22"/>
          <w:szCs w:val="22"/>
          <w:lang w:val="en-GB"/>
        </w:rPr>
      </w:pPr>
      <w:r w:rsidRPr="00C22C1B">
        <w:rPr>
          <w:sz w:val="22"/>
          <w:szCs w:val="22"/>
          <w:lang w:val="en-GB"/>
        </w:rPr>
        <w:t>12</w:t>
      </w:r>
      <w:r w:rsidR="007E2191" w:rsidRPr="00C22C1B">
        <w:rPr>
          <w:sz w:val="22"/>
          <w:szCs w:val="22"/>
          <w:lang w:val="en-GB"/>
        </w:rPr>
        <w:t>.1</w:t>
      </w:r>
      <w:r w:rsidRPr="00C22C1B">
        <w:rPr>
          <w:sz w:val="22"/>
          <w:szCs w:val="22"/>
          <w:lang w:val="en-GB"/>
        </w:rPr>
        <w:t xml:space="preserve"> Movements in allowances </w:t>
      </w:r>
      <w:r w:rsidR="00C22C1B" w:rsidRPr="00C22C1B">
        <w:rPr>
          <w:sz w:val="22"/>
          <w:szCs w:val="22"/>
          <w:lang w:val="en-GB"/>
        </w:rPr>
        <w:t xml:space="preserve">and provisions </w:t>
      </w:r>
      <w:r w:rsidRPr="00C22C1B">
        <w:rPr>
          <w:sz w:val="22"/>
          <w:szCs w:val="22"/>
          <w:lang w:val="en-GB"/>
        </w:rPr>
        <w:t>for credit losses</w:t>
      </w:r>
    </w:p>
    <w:p w:rsidR="007E2191" w:rsidRPr="00C4152C" w:rsidRDefault="007E2191" w:rsidP="00C22C1B">
      <w:pPr>
        <w:pStyle w:val="Odstavekseznama"/>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14</w:t>
      </w:r>
      <w:r w:rsidR="00150F04">
        <w:rPr>
          <w:sz w:val="22"/>
          <w:szCs w:val="22"/>
          <w:lang w:val="en-GB"/>
        </w:rPr>
        <w:t>.</w:t>
      </w:r>
      <w:r w:rsidRPr="00C4152C">
        <w:rPr>
          <w:sz w:val="22"/>
          <w:szCs w:val="22"/>
          <w:lang w:val="en-GB"/>
        </w:rPr>
        <w:t xml:space="preserve"> Fair value hierarchy: financial instruments at fair value</w:t>
      </w:r>
    </w:p>
    <w:p w:rsidR="00C561EF" w:rsidRPr="00C4152C" w:rsidRDefault="00C561EF" w:rsidP="00C561EF">
      <w:pPr>
        <w:jc w:val="both"/>
        <w:rPr>
          <w:sz w:val="22"/>
          <w:szCs w:val="22"/>
          <w:lang w:val="en-GB"/>
        </w:rPr>
      </w:pPr>
    </w:p>
    <w:p w:rsidR="00C561EF" w:rsidRPr="00C4152C" w:rsidRDefault="00C561EF" w:rsidP="007E2191">
      <w:pPr>
        <w:pStyle w:val="Odstavek"/>
        <w:numPr>
          <w:ilvl w:val="0"/>
          <w:numId w:val="47"/>
        </w:numPr>
        <w:spacing w:before="0"/>
        <w:rPr>
          <w:lang w:val="en-GB"/>
        </w:rPr>
      </w:pPr>
      <w:r w:rsidRPr="00C4152C">
        <w:rPr>
          <w:lang w:val="en-GB"/>
        </w:rPr>
        <w:t xml:space="preserve">simplified financial reporting on </w:t>
      </w:r>
      <w:r w:rsidR="00DA0452">
        <w:rPr>
          <w:lang w:val="en-GB"/>
        </w:rPr>
        <w:t xml:space="preserve">the following </w:t>
      </w:r>
      <w:r w:rsidRPr="00C4152C">
        <w:rPr>
          <w:lang w:val="en-GB"/>
        </w:rPr>
        <w:t>templates:</w:t>
      </w:r>
    </w:p>
    <w:p w:rsidR="00C561EF" w:rsidRPr="00C4152C" w:rsidRDefault="00C561EF" w:rsidP="00C561EF">
      <w:pPr>
        <w:jc w:val="both"/>
        <w:rPr>
          <w:bCs/>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templates set out in points a) and b)</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6</w:t>
      </w:r>
      <w:r w:rsidR="007E2191" w:rsidRPr="00C22C1B">
        <w:rPr>
          <w:sz w:val="22"/>
          <w:szCs w:val="22"/>
          <w:lang w:val="en-GB"/>
        </w:rPr>
        <w:t>.1</w:t>
      </w:r>
      <w:r w:rsidRPr="00C22C1B">
        <w:rPr>
          <w:sz w:val="22"/>
          <w:szCs w:val="22"/>
          <w:lang w:val="en-GB"/>
        </w:rPr>
        <w:t xml:space="preserve"> Breakdown of loans and </w:t>
      </w:r>
      <w:r w:rsidR="00E60AD6" w:rsidRPr="00C22C1B">
        <w:rPr>
          <w:sz w:val="22"/>
          <w:szCs w:val="22"/>
          <w:lang w:val="en-GB"/>
        </w:rPr>
        <w:t>advances</w:t>
      </w:r>
      <w:r w:rsidRPr="00C22C1B">
        <w:rPr>
          <w:sz w:val="22"/>
          <w:szCs w:val="22"/>
          <w:lang w:val="en-GB"/>
        </w:rPr>
        <w:t xml:space="preserve"> </w:t>
      </w:r>
      <w:r w:rsidR="00C22C1B">
        <w:rPr>
          <w:sz w:val="22"/>
          <w:szCs w:val="22"/>
          <w:lang w:val="en-GB"/>
        </w:rPr>
        <w:t xml:space="preserve">other than </w:t>
      </w:r>
      <w:r w:rsidR="00C22C1B" w:rsidRPr="00C22C1B">
        <w:rPr>
          <w:sz w:val="22"/>
          <w:szCs w:val="22"/>
          <w:lang w:val="en-GB"/>
        </w:rPr>
        <w:t xml:space="preserve">held for trading </w:t>
      </w:r>
      <w:r w:rsidR="00C22C1B">
        <w:rPr>
          <w:sz w:val="22"/>
          <w:szCs w:val="22"/>
          <w:lang w:val="en-GB"/>
        </w:rPr>
        <w:t>to</w:t>
      </w:r>
      <w:r w:rsidRPr="00C22C1B">
        <w:rPr>
          <w:sz w:val="22"/>
          <w:szCs w:val="22"/>
          <w:lang w:val="en-GB"/>
        </w:rPr>
        <w:t xml:space="preserve"> non-financial corporations by NACE codes</w:t>
      </w:r>
      <w:r w:rsidRPr="00C4152C">
        <w:rPr>
          <w:sz w:val="22"/>
          <w:szCs w:val="22"/>
          <w:lang w:val="en-GB"/>
        </w:rPr>
        <w:t xml:space="preserve">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9.2 Loan commitments, financial guarantees and other commitments received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Collateral and guarantees received:</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13.1 Breakdown of </w:t>
      </w:r>
      <w:r w:rsidR="00BE5B67" w:rsidRPr="00C4152C">
        <w:rPr>
          <w:sz w:val="22"/>
          <w:szCs w:val="22"/>
          <w:lang w:val="en-GB"/>
        </w:rPr>
        <w:t xml:space="preserve">collateral and guarantees </w:t>
      </w:r>
      <w:r w:rsidR="00BE5B67">
        <w:rPr>
          <w:sz w:val="22"/>
          <w:szCs w:val="22"/>
          <w:lang w:val="en-GB"/>
        </w:rPr>
        <w:t xml:space="preserve">by </w:t>
      </w:r>
      <w:r w:rsidRPr="00C4152C">
        <w:rPr>
          <w:sz w:val="22"/>
          <w:szCs w:val="22"/>
          <w:lang w:val="en-GB"/>
        </w:rPr>
        <w:t xml:space="preserve">loans and </w:t>
      </w:r>
      <w:r w:rsidR="00B96CF0" w:rsidRPr="00C4152C">
        <w:rPr>
          <w:sz w:val="22"/>
          <w:szCs w:val="22"/>
          <w:lang w:val="en-GB"/>
        </w:rPr>
        <w:t>advances</w:t>
      </w:r>
      <w:r w:rsidR="00BE5B67">
        <w:rPr>
          <w:sz w:val="22"/>
          <w:szCs w:val="22"/>
          <w:lang w:val="en-GB"/>
        </w:rPr>
        <w:t xml:space="preserve"> other than </w:t>
      </w:r>
      <w:r w:rsidR="007E2191" w:rsidRPr="00BE5B67">
        <w:rPr>
          <w:sz w:val="22"/>
          <w:szCs w:val="22"/>
          <w:lang w:val="en-GB"/>
        </w:rPr>
        <w:t>held for trading</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13.2 Collateral obtained by taking possession during the period (held at the reporting date)</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13.3 Collateral obtained by taking possession (tangible assets) accumulated</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Breakdown of selected statement</w:t>
      </w:r>
      <w:r w:rsidR="0064478A" w:rsidRPr="00C4152C">
        <w:rPr>
          <w:sz w:val="22"/>
          <w:szCs w:val="22"/>
          <w:lang w:val="en-GB"/>
        </w:rPr>
        <w:t xml:space="preserve"> of profit or loss</w:t>
      </w:r>
      <w:r w:rsidRPr="00C4152C">
        <w:rPr>
          <w:sz w:val="22"/>
          <w:szCs w:val="22"/>
          <w:lang w:val="en-GB"/>
        </w:rPr>
        <w:t xml:space="preserve"> items:</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16.1 Interest income and expenses by instrument and counterparty sector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16.3 Gains or losses on financial assets and liabilities held for trading </w:t>
      </w:r>
      <w:r w:rsidR="003A71A4">
        <w:rPr>
          <w:sz w:val="22"/>
          <w:szCs w:val="22"/>
          <w:lang w:val="en-GB"/>
        </w:rPr>
        <w:t xml:space="preserve">and trading financial assets and trading financial liabilities </w:t>
      </w:r>
      <w:r w:rsidRPr="00C4152C">
        <w:rPr>
          <w:sz w:val="22"/>
          <w:szCs w:val="22"/>
          <w:lang w:val="en-GB"/>
        </w:rPr>
        <w:t xml:space="preserve">by instrument </w:t>
      </w:r>
    </w:p>
    <w:p w:rsidR="00C561EF" w:rsidRPr="00C4152C" w:rsidRDefault="00C561EF" w:rsidP="00C561EF">
      <w:pPr>
        <w:pStyle w:val="Odstavekseznama"/>
        <w:jc w:val="both"/>
        <w:rPr>
          <w:sz w:val="22"/>
          <w:szCs w:val="22"/>
          <w:lang w:val="en-GB"/>
        </w:rPr>
      </w:pPr>
    </w:p>
    <w:p w:rsidR="00C561EF" w:rsidRPr="00C4152C" w:rsidRDefault="00C561EF" w:rsidP="00B80689">
      <w:pPr>
        <w:ind w:left="709"/>
        <w:rPr>
          <w:sz w:val="22"/>
          <w:szCs w:val="22"/>
          <w:lang w:val="en-GB"/>
        </w:rPr>
      </w:pPr>
      <w:r w:rsidRPr="00C4152C">
        <w:rPr>
          <w:sz w:val="22"/>
          <w:szCs w:val="22"/>
          <w:lang w:val="en-GB"/>
        </w:rPr>
        <w:t>Reconciliation between accounting and CRR scope of consolidation: balance sheet</w:t>
      </w:r>
      <w:r w:rsidR="00450FD3">
        <w:rPr>
          <w:sz w:val="22"/>
          <w:szCs w:val="22"/>
          <w:lang w:val="en-GB"/>
        </w:rPr>
        <w:t>:</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17.1 Assets</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17.2 Off-balance sheet exposures: loan commitments, financial guarantees and other commitments given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17.3 Liabilities</w:t>
      </w:r>
      <w:r w:rsidR="00684519">
        <w:rPr>
          <w:sz w:val="22"/>
          <w:szCs w:val="22"/>
          <w:lang w:val="en-GB"/>
        </w:rPr>
        <w:t xml:space="preserve"> and equity</w:t>
      </w:r>
    </w:p>
    <w:p w:rsidR="00C561EF" w:rsidRDefault="00C561EF" w:rsidP="00C561EF">
      <w:pPr>
        <w:pStyle w:val="Odstavekseznama"/>
        <w:jc w:val="both"/>
        <w:rPr>
          <w:sz w:val="22"/>
          <w:szCs w:val="22"/>
          <w:lang w:val="en-GB"/>
        </w:rPr>
      </w:pPr>
    </w:p>
    <w:p w:rsidR="00DA06B6" w:rsidRPr="00C4152C" w:rsidRDefault="00DA06B6"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Geographical breakdown:</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20.4 Geographical breakdown of assets by residence of the counterparty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20.5 Geographical breakdown of off-balance-sheet exposures by residence of the counterparty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20.6 Geographical breakdown of liabilities by residence of the counterparty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40.1 Group structure: entity-by-entity (annual reporting frequency)</w:t>
      </w:r>
    </w:p>
    <w:p w:rsidR="00C561EF" w:rsidRPr="00C4152C" w:rsidRDefault="00C561EF" w:rsidP="00C561EF">
      <w:pPr>
        <w:autoSpaceDE w:val="0"/>
        <w:autoSpaceDN w:val="0"/>
        <w:adjustRightInd w:val="0"/>
        <w:jc w:val="both"/>
        <w:rPr>
          <w:b/>
          <w:sz w:val="22"/>
          <w:szCs w:val="22"/>
          <w:lang w:val="en-GB"/>
        </w:rPr>
      </w:pPr>
    </w:p>
    <w:p w:rsidR="00C561EF" w:rsidRPr="00C4152C" w:rsidRDefault="00C561EF" w:rsidP="00522107">
      <w:pPr>
        <w:pStyle w:val="Odstavek"/>
        <w:numPr>
          <w:ilvl w:val="0"/>
          <w:numId w:val="47"/>
        </w:numPr>
        <w:spacing w:before="0"/>
        <w:rPr>
          <w:lang w:val="en-GB"/>
        </w:rPr>
      </w:pPr>
      <w:r w:rsidRPr="00C4152C">
        <w:rPr>
          <w:lang w:val="en-GB"/>
        </w:rPr>
        <w:t>full financial reporting on all templates set out in Annex III of Commission Implementing Regulation (EU) No 680/2014.</w:t>
      </w:r>
    </w:p>
    <w:p w:rsidR="00522107" w:rsidRPr="00684519" w:rsidRDefault="00522107" w:rsidP="00522107">
      <w:pPr>
        <w:pStyle w:val="Odstavek"/>
        <w:numPr>
          <w:ilvl w:val="0"/>
          <w:numId w:val="48"/>
        </w:numPr>
        <w:rPr>
          <w:lang w:val="en-GB"/>
        </w:rPr>
      </w:pPr>
      <w:r w:rsidRPr="00684519">
        <w:rPr>
          <w:lang w:val="en-GB"/>
        </w:rPr>
        <w:t xml:space="preserve">Financial information on the templates 17.1, 17.2, 17.3 and 40.2 from </w:t>
      </w:r>
      <w:r w:rsidRPr="00522107">
        <w:rPr>
          <w:lang w:val="en-GB"/>
        </w:rPr>
        <w:t xml:space="preserve">points </w:t>
      </w:r>
      <w:r w:rsidRPr="00684519">
        <w:rPr>
          <w:lang w:val="en-GB"/>
        </w:rPr>
        <w:t xml:space="preserve">(c) and (d) of the first paragraph of this article shall be included </w:t>
      </w:r>
      <w:r w:rsidRPr="00522107">
        <w:rPr>
          <w:lang w:val="en-GB"/>
        </w:rPr>
        <w:t xml:space="preserve">in the report stated in the first paragraph of this article only by </w:t>
      </w:r>
      <w:r>
        <w:rPr>
          <w:lang w:val="en-GB"/>
        </w:rPr>
        <w:t xml:space="preserve">the </w:t>
      </w:r>
      <w:r w:rsidRPr="00684519">
        <w:rPr>
          <w:lang w:val="en-GB"/>
        </w:rPr>
        <w:t xml:space="preserve">banks </w:t>
      </w:r>
      <w:r>
        <w:rPr>
          <w:lang w:val="en-GB"/>
        </w:rPr>
        <w:t xml:space="preserve">that prepare </w:t>
      </w:r>
      <w:r w:rsidRPr="00D12FBE">
        <w:rPr>
          <w:lang w:val="en-GB"/>
        </w:rPr>
        <w:t xml:space="preserve">the consolidated financial statements in accordance with IFRS and </w:t>
      </w:r>
      <w:r w:rsidRPr="00522107">
        <w:rPr>
          <w:lang w:val="en-GB"/>
        </w:rPr>
        <w:t>Chapter 3 of this</w:t>
      </w:r>
      <w:r w:rsidRPr="00D12FBE">
        <w:rPr>
          <w:lang w:val="en-GB"/>
        </w:rPr>
        <w:t xml:space="preserve"> </w:t>
      </w:r>
      <w:r>
        <w:rPr>
          <w:lang w:val="en-GB"/>
        </w:rPr>
        <w:t xml:space="preserve">regulation, </w:t>
      </w:r>
      <w:r w:rsidRPr="00670D5D">
        <w:rPr>
          <w:lang w:val="en-GB"/>
        </w:rPr>
        <w:t xml:space="preserve">but are not obliged </w:t>
      </w:r>
      <w:r w:rsidRPr="00684519">
        <w:rPr>
          <w:lang w:val="en-GB"/>
        </w:rPr>
        <w:t>to fulfil the prudential requirements on a consolidated basis in accordance with Regulation (EU) No. 575/2013.</w:t>
      </w:r>
    </w:p>
    <w:p w:rsidR="00C561EF" w:rsidRPr="00C4152C" w:rsidRDefault="00C561EF" w:rsidP="00C561EF">
      <w:pPr>
        <w:pStyle w:val="Odstavek"/>
        <w:numPr>
          <w:ilvl w:val="0"/>
          <w:numId w:val="48"/>
        </w:numPr>
        <w:rPr>
          <w:lang w:val="en-GB"/>
        </w:rPr>
      </w:pPr>
      <w:r w:rsidRPr="00C4152C">
        <w:rPr>
          <w:lang w:val="en-GB"/>
        </w:rPr>
        <w:t>The provisions on the completion of templates set out in Annex V of Commission Implementing Regulation (EU) No 680/2014 shall apply to the completion of the templates referred to in the first paragraph of this article.</w:t>
      </w:r>
    </w:p>
    <w:p w:rsidR="00C561EF" w:rsidRPr="00C4152C" w:rsidRDefault="00C561EF" w:rsidP="00C561EF">
      <w:pPr>
        <w:autoSpaceDE w:val="0"/>
        <w:autoSpaceDN w:val="0"/>
        <w:adjustRightInd w:val="0"/>
        <w:rPr>
          <w:sz w:val="22"/>
          <w:szCs w:val="22"/>
          <w:lang w:val="en-GB"/>
        </w:rPr>
      </w:pPr>
    </w:p>
    <w:p w:rsidR="00C561EF" w:rsidRPr="00C4152C" w:rsidRDefault="00C561EF" w:rsidP="00C561EF">
      <w:pPr>
        <w:autoSpaceDE w:val="0"/>
        <w:autoSpaceDN w:val="0"/>
        <w:adjustRightInd w:val="0"/>
        <w:rPr>
          <w:sz w:val="22"/>
          <w:szCs w:val="22"/>
          <w:lang w:val="en-GB"/>
        </w:rPr>
      </w:pPr>
    </w:p>
    <w:p w:rsidR="00C561EF" w:rsidRPr="00D8202D" w:rsidRDefault="00C561EF" w:rsidP="00B80689">
      <w:pPr>
        <w:ind w:left="432"/>
        <w:jc w:val="center"/>
        <w:rPr>
          <w:bCs/>
          <w:sz w:val="22"/>
          <w:szCs w:val="22"/>
          <w:lang w:val="en-GB"/>
        </w:rPr>
      </w:pPr>
      <w:r w:rsidRPr="00D8202D">
        <w:rPr>
          <w:sz w:val="22"/>
          <w:szCs w:val="22"/>
          <w:lang w:val="en-GB"/>
        </w:rPr>
        <w:t>Article 25</w:t>
      </w:r>
    </w:p>
    <w:p w:rsidR="00C561EF" w:rsidRPr="00D8202D" w:rsidRDefault="00C561EF" w:rsidP="00C561EF">
      <w:pPr>
        <w:autoSpaceDE w:val="0"/>
        <w:autoSpaceDN w:val="0"/>
        <w:adjustRightInd w:val="0"/>
        <w:jc w:val="center"/>
        <w:rPr>
          <w:sz w:val="22"/>
          <w:szCs w:val="22"/>
          <w:lang w:val="en-GB"/>
        </w:rPr>
      </w:pPr>
      <w:r w:rsidRPr="00D8202D">
        <w:rPr>
          <w:sz w:val="22"/>
          <w:szCs w:val="22"/>
          <w:lang w:val="en-GB"/>
        </w:rPr>
        <w:t>(frequency and submission of reports)</w:t>
      </w:r>
    </w:p>
    <w:p w:rsidR="00C561EF" w:rsidRDefault="00962E3A" w:rsidP="00DA5980">
      <w:pPr>
        <w:pStyle w:val="Odstavek"/>
        <w:numPr>
          <w:ilvl w:val="0"/>
          <w:numId w:val="25"/>
        </w:numPr>
        <w:rPr>
          <w:lang w:val="en-GB"/>
        </w:rPr>
      </w:pPr>
      <w:r w:rsidRPr="00D8202D">
        <w:rPr>
          <w:lang w:val="en-GB"/>
        </w:rPr>
        <w:t xml:space="preserve">The bank </w:t>
      </w:r>
      <w:r w:rsidR="00C561EF" w:rsidRPr="00D8202D">
        <w:rPr>
          <w:lang w:val="en-GB"/>
        </w:rPr>
        <w:t xml:space="preserve">shall compile a report in the extent set out in Article 22 and with the content set out in Article 24 of this regulation as at the final day of each quarter, with the exception of Template 40.1 </w:t>
      </w:r>
      <w:r w:rsidR="00C561EF" w:rsidRPr="00DA5980">
        <w:rPr>
          <w:lang w:val="en-GB"/>
        </w:rPr>
        <w:t>Group structure: entity-by-entity</w:t>
      </w:r>
      <w:r w:rsidR="00C561EF" w:rsidRPr="00D8202D">
        <w:rPr>
          <w:lang w:val="en-GB"/>
        </w:rPr>
        <w:t xml:space="preserve">, </w:t>
      </w:r>
      <w:r w:rsidR="00D8202D" w:rsidRPr="00D8202D">
        <w:rPr>
          <w:lang w:val="en-GB"/>
        </w:rPr>
        <w:t xml:space="preserve">and </w:t>
      </w:r>
      <w:r w:rsidR="00D8202D">
        <w:rPr>
          <w:lang w:val="en-GB"/>
        </w:rPr>
        <w:t xml:space="preserve">other templates on </w:t>
      </w:r>
      <w:r w:rsidR="00EA5CFD">
        <w:rPr>
          <w:lang w:val="en-GB"/>
        </w:rPr>
        <w:t xml:space="preserve">full </w:t>
      </w:r>
      <w:r w:rsidR="00D8202D">
        <w:rPr>
          <w:lang w:val="en-GB"/>
        </w:rPr>
        <w:t xml:space="preserve">financial </w:t>
      </w:r>
      <w:r w:rsidR="00EA5CFD">
        <w:rPr>
          <w:lang w:val="en-GB"/>
        </w:rPr>
        <w:t>reporting</w:t>
      </w:r>
      <w:r w:rsidR="00D8202D">
        <w:rPr>
          <w:lang w:val="en-GB"/>
        </w:rPr>
        <w:t xml:space="preserve"> set-out in point d) of the first paragraph of Article 24 of this regulation, </w:t>
      </w:r>
      <w:r w:rsidR="00C561EF" w:rsidRPr="00D8202D">
        <w:rPr>
          <w:lang w:val="en-GB"/>
        </w:rPr>
        <w:t>which shall be compiled</w:t>
      </w:r>
      <w:r w:rsidR="00DA5980">
        <w:rPr>
          <w:lang w:val="en-GB"/>
        </w:rPr>
        <w:t xml:space="preserve"> </w:t>
      </w:r>
      <w:r w:rsidR="00C561EF" w:rsidRPr="00D8202D">
        <w:rPr>
          <w:lang w:val="en-GB"/>
        </w:rPr>
        <w:t xml:space="preserve">as at the final day of </w:t>
      </w:r>
      <w:r w:rsidR="00D8202D">
        <w:rPr>
          <w:lang w:val="en-GB"/>
        </w:rPr>
        <w:t xml:space="preserve">each half-year or as at the final day of </w:t>
      </w:r>
      <w:r w:rsidR="00C561EF" w:rsidRPr="00D8202D">
        <w:rPr>
          <w:lang w:val="en-GB"/>
        </w:rPr>
        <w:t>the financial year</w:t>
      </w:r>
      <w:r w:rsidR="00DA5980">
        <w:rPr>
          <w:lang w:val="en-GB"/>
        </w:rPr>
        <w:t xml:space="preserve">, </w:t>
      </w:r>
      <w:r w:rsidR="00C561EF" w:rsidRPr="00D8202D">
        <w:rPr>
          <w:lang w:val="en-GB"/>
        </w:rPr>
        <w:t xml:space="preserve">in accordance with the </w:t>
      </w:r>
      <w:r w:rsidR="00DA5980">
        <w:rPr>
          <w:lang w:val="en-GB"/>
        </w:rPr>
        <w:t xml:space="preserve">second paragraph of Article 9 of the </w:t>
      </w:r>
      <w:r w:rsidR="00DA5980" w:rsidRPr="00C4152C">
        <w:rPr>
          <w:lang w:val="en-GB"/>
        </w:rPr>
        <w:t>Commission Implementing Regulation (EU) No 680/2014</w:t>
      </w:r>
      <w:r w:rsidR="00DA5980">
        <w:rPr>
          <w:lang w:val="en-GB"/>
        </w:rPr>
        <w:t xml:space="preserve">. </w:t>
      </w:r>
    </w:p>
    <w:p w:rsidR="00DA5980" w:rsidRDefault="00DA5980" w:rsidP="00DA5980">
      <w:pPr>
        <w:pStyle w:val="Odstavek"/>
        <w:numPr>
          <w:ilvl w:val="0"/>
          <w:numId w:val="25"/>
        </w:numPr>
        <w:rPr>
          <w:lang w:val="en-GB"/>
        </w:rPr>
      </w:pPr>
      <w:r>
        <w:rPr>
          <w:lang w:val="en-GB"/>
        </w:rPr>
        <w:t xml:space="preserve">Bank compiles the report from first paragraph of this article in line with the </w:t>
      </w:r>
      <w:r w:rsidRPr="00D8202D">
        <w:rPr>
          <w:lang w:val="en-GB"/>
        </w:rPr>
        <w:t>Technical guidelines for reporting ITS to the Bank of Slovenia, which are published on the Bank of Slovenia website.</w:t>
      </w:r>
    </w:p>
    <w:p w:rsidR="00C561EF" w:rsidRPr="00C4152C" w:rsidRDefault="00C561EF" w:rsidP="00C561EF">
      <w:pPr>
        <w:autoSpaceDE w:val="0"/>
        <w:autoSpaceDN w:val="0"/>
        <w:adjustRightInd w:val="0"/>
        <w:jc w:val="both"/>
        <w:rPr>
          <w:sz w:val="22"/>
          <w:szCs w:val="22"/>
          <w:lang w:val="en-GB"/>
        </w:rPr>
      </w:pPr>
    </w:p>
    <w:p w:rsidR="00C561EF" w:rsidRPr="00C4152C" w:rsidRDefault="00C561EF" w:rsidP="00C561EF">
      <w:pPr>
        <w:rPr>
          <w:bCs/>
          <w:sz w:val="22"/>
          <w:szCs w:val="22"/>
          <w:lang w:val="en-GB"/>
        </w:rPr>
      </w:pPr>
    </w:p>
    <w:p w:rsidR="00C561EF" w:rsidRDefault="00C561EF" w:rsidP="00B80689">
      <w:pPr>
        <w:ind w:left="432"/>
        <w:jc w:val="center"/>
        <w:rPr>
          <w:sz w:val="22"/>
          <w:szCs w:val="22"/>
          <w:lang w:val="en-GB"/>
        </w:rPr>
      </w:pPr>
      <w:r w:rsidRPr="00C4152C">
        <w:rPr>
          <w:sz w:val="22"/>
          <w:szCs w:val="22"/>
          <w:lang w:val="en-GB"/>
        </w:rPr>
        <w:t>Article 26</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(deadlines for submitting reports)</w:t>
      </w:r>
    </w:p>
    <w:p w:rsidR="00C561EF" w:rsidRPr="00C4152C" w:rsidRDefault="00C561EF" w:rsidP="00C561EF">
      <w:pPr>
        <w:autoSpaceDE w:val="0"/>
        <w:autoSpaceDN w:val="0"/>
        <w:adjustRightInd w:val="0"/>
        <w:rPr>
          <w:sz w:val="22"/>
          <w:szCs w:val="22"/>
          <w:lang w:val="en-GB"/>
        </w:rPr>
      </w:pPr>
    </w:p>
    <w:p w:rsidR="00C561EF" w:rsidRPr="00C4152C" w:rsidRDefault="00962E3A" w:rsidP="00C561EF">
      <w:pPr>
        <w:autoSpaceDE w:val="0"/>
        <w:autoSpaceDN w:val="0"/>
        <w:adjustRightInd w:val="0"/>
        <w:jc w:val="both"/>
        <w:rPr>
          <w:sz w:val="22"/>
          <w:szCs w:val="22"/>
          <w:lang w:val="en-GB"/>
        </w:rPr>
      </w:pPr>
      <w:r w:rsidRPr="00C4152C">
        <w:rPr>
          <w:sz w:val="22"/>
          <w:szCs w:val="22"/>
          <w:lang w:val="en-GB"/>
        </w:rPr>
        <w:t xml:space="preserve">The bank </w:t>
      </w:r>
      <w:r w:rsidR="00C561EF" w:rsidRPr="00C4152C">
        <w:rPr>
          <w:sz w:val="22"/>
          <w:szCs w:val="22"/>
          <w:lang w:val="en-GB"/>
        </w:rPr>
        <w:t>shall submit the report in the extent set out by Article 22 and with the content set out in Article 24 of this regulation by the deadlines set out in the first, second, fourth and fifth paragraph of Commission Implementing Regulation (EU) No 680/2014.</w:t>
      </w:r>
    </w:p>
    <w:p w:rsidR="00C561EF" w:rsidRPr="00C4152C" w:rsidRDefault="00C561EF" w:rsidP="00C561EF">
      <w:pPr>
        <w:autoSpaceDE w:val="0"/>
        <w:autoSpaceDN w:val="0"/>
        <w:adjustRightInd w:val="0"/>
        <w:rPr>
          <w:sz w:val="22"/>
          <w:szCs w:val="22"/>
          <w:lang w:val="en-GB"/>
        </w:rPr>
      </w:pPr>
    </w:p>
    <w:p w:rsidR="00C561EF" w:rsidRPr="00C4152C" w:rsidRDefault="00C561EF" w:rsidP="00C561EF">
      <w:pPr>
        <w:jc w:val="both"/>
        <w:rPr>
          <w:sz w:val="22"/>
          <w:szCs w:val="22"/>
          <w:lang w:val="en-GB"/>
        </w:rPr>
      </w:pPr>
    </w:p>
    <w:p w:rsidR="00DA06B6" w:rsidRDefault="00DA06B6">
      <w:pPr>
        <w:rPr>
          <w:sz w:val="22"/>
          <w:szCs w:val="22"/>
          <w:lang w:val="en-GB"/>
        </w:rPr>
      </w:pPr>
      <w:r>
        <w:rPr>
          <w:sz w:val="22"/>
          <w:szCs w:val="22"/>
          <w:lang w:val="en-GB"/>
        </w:rPr>
        <w:br w:type="page"/>
      </w: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 xml:space="preserve"> TRANSITIONAL AND FINAL PROVISIONS</w:t>
      </w:r>
    </w:p>
    <w:p w:rsidR="00C561EF" w:rsidRPr="00C4152C" w:rsidRDefault="00C561EF" w:rsidP="00C561EF">
      <w:pPr>
        <w:pStyle w:val="Telobesedila-zamik2"/>
        <w:ind w:left="0" w:firstLine="0"/>
        <w:rPr>
          <w:szCs w:val="22"/>
          <w:lang w:val="en-GB"/>
        </w:rPr>
      </w:pPr>
    </w:p>
    <w:p w:rsidR="00C561EF" w:rsidRPr="00C4152C" w:rsidRDefault="00C561EF" w:rsidP="00B80689">
      <w:pPr>
        <w:ind w:left="432"/>
        <w:jc w:val="center"/>
        <w:rPr>
          <w:bCs/>
          <w:sz w:val="22"/>
          <w:szCs w:val="22"/>
          <w:lang w:val="en-GB"/>
        </w:rPr>
      </w:pPr>
      <w:r w:rsidRPr="00C4152C">
        <w:rPr>
          <w:sz w:val="22"/>
          <w:szCs w:val="22"/>
          <w:lang w:val="en-GB"/>
        </w:rPr>
        <w:t>Article 27</w:t>
      </w:r>
    </w:p>
    <w:p w:rsidR="00C561EF" w:rsidRPr="00C4152C" w:rsidRDefault="00C561EF" w:rsidP="00C561EF">
      <w:pPr>
        <w:jc w:val="center"/>
        <w:rPr>
          <w:bCs/>
          <w:sz w:val="22"/>
          <w:szCs w:val="22"/>
          <w:lang w:val="en-GB"/>
        </w:rPr>
      </w:pPr>
      <w:r w:rsidRPr="00C4152C">
        <w:rPr>
          <w:sz w:val="22"/>
          <w:szCs w:val="22"/>
          <w:lang w:val="en-GB"/>
        </w:rPr>
        <w:t>(cessation of regulation)</w:t>
      </w:r>
    </w:p>
    <w:p w:rsidR="00C561EF" w:rsidRDefault="00C561EF" w:rsidP="00F36A98">
      <w:pPr>
        <w:pStyle w:val="Odstavek"/>
        <w:numPr>
          <w:ilvl w:val="0"/>
          <w:numId w:val="64"/>
        </w:numPr>
        <w:rPr>
          <w:lang w:val="en-GB"/>
        </w:rPr>
      </w:pPr>
      <w:r w:rsidRPr="00C4152C">
        <w:rPr>
          <w:lang w:val="en-GB"/>
        </w:rPr>
        <w:t xml:space="preserve">On the day that this regulation enters into force, the Regulation on the books of account and annual reports of banks and savings banks (Official Gazette of the Republic of Slovenia, No. </w:t>
      </w:r>
      <w:r w:rsidR="00522107">
        <w:rPr>
          <w:lang w:val="en-GB"/>
        </w:rPr>
        <w:t>50/15</w:t>
      </w:r>
      <w:r w:rsidRPr="00C4152C">
        <w:rPr>
          <w:lang w:val="en-GB"/>
        </w:rPr>
        <w:t xml:space="preserve">) shall cease to be </w:t>
      </w:r>
      <w:r w:rsidR="00DA705C">
        <w:rPr>
          <w:lang w:val="en-GB"/>
        </w:rPr>
        <w:t>in force</w:t>
      </w:r>
      <w:r w:rsidRPr="00C4152C">
        <w:rPr>
          <w:lang w:val="en-GB"/>
        </w:rPr>
        <w:t>.</w:t>
      </w:r>
    </w:p>
    <w:p w:rsidR="000D5FAA" w:rsidRDefault="000D5FAA" w:rsidP="00F36A98">
      <w:pPr>
        <w:pStyle w:val="Odstavek"/>
        <w:numPr>
          <w:ilvl w:val="0"/>
          <w:numId w:val="64"/>
        </w:numPr>
        <w:rPr>
          <w:lang w:val="en-GB"/>
        </w:rPr>
      </w:pPr>
      <w:r w:rsidRPr="00D1712D">
        <w:rPr>
          <w:lang w:val="en-GB"/>
        </w:rPr>
        <w:t xml:space="preserve">Notwithstanding the first paragraph of this article, the banks shall continue to apply the regulation from </w:t>
      </w:r>
      <w:r w:rsidR="00DA705C">
        <w:rPr>
          <w:lang w:val="en-GB"/>
        </w:rPr>
        <w:t xml:space="preserve">the </w:t>
      </w:r>
      <w:r w:rsidRPr="00D1712D">
        <w:rPr>
          <w:lang w:val="en-GB"/>
        </w:rPr>
        <w:t xml:space="preserve">first paragraph </w:t>
      </w:r>
      <w:r w:rsidR="00DA705C">
        <w:rPr>
          <w:lang w:val="en-GB"/>
        </w:rPr>
        <w:t>when p</w:t>
      </w:r>
      <w:r w:rsidRPr="00D1712D">
        <w:rPr>
          <w:lang w:val="en-GB"/>
        </w:rPr>
        <w:t>repar</w:t>
      </w:r>
      <w:r w:rsidR="00DA705C">
        <w:rPr>
          <w:lang w:val="en-GB"/>
        </w:rPr>
        <w:t>ing the</w:t>
      </w:r>
      <w:r w:rsidRPr="00D1712D">
        <w:rPr>
          <w:lang w:val="en-GB"/>
        </w:rPr>
        <w:t xml:space="preserve"> annual and consolidated annual reports and </w:t>
      </w:r>
      <w:r w:rsidR="00DA705C" w:rsidRPr="00E61EC7">
        <w:rPr>
          <w:lang w:val="en-GB"/>
        </w:rPr>
        <w:t xml:space="preserve">reports on </w:t>
      </w:r>
      <w:r w:rsidRPr="00E61EC7">
        <w:rPr>
          <w:lang w:val="en-GB"/>
        </w:rPr>
        <w:t>financial information for the reference periods until the end of the financial year 2017, with the exception</w:t>
      </w:r>
      <w:r w:rsidRPr="00D1712D">
        <w:rPr>
          <w:lang w:val="en-GB"/>
        </w:rPr>
        <w:t xml:space="preserve"> of calculation of the business performance indicators referred to in point 6 (e) of the fourth </w:t>
      </w:r>
      <w:r w:rsidRPr="00DA705C">
        <w:rPr>
          <w:lang w:val="en-GB"/>
        </w:rPr>
        <w:t>paragraph of Article 14</w:t>
      </w:r>
      <w:r w:rsidRPr="00D1712D">
        <w:rPr>
          <w:lang w:val="en-GB"/>
        </w:rPr>
        <w:t xml:space="preserve"> of this regulation</w:t>
      </w:r>
      <w:r w:rsidR="00DA705C">
        <w:rPr>
          <w:lang w:val="en-GB"/>
        </w:rPr>
        <w:t>.</w:t>
      </w:r>
    </w:p>
    <w:p w:rsidR="00DA5980" w:rsidRDefault="00DA5980" w:rsidP="00C561EF">
      <w:pPr>
        <w:rPr>
          <w:bCs/>
          <w:sz w:val="22"/>
          <w:szCs w:val="22"/>
          <w:lang w:val="en-GB"/>
        </w:rPr>
      </w:pPr>
    </w:p>
    <w:p w:rsidR="00B23173" w:rsidRPr="00C4152C" w:rsidRDefault="00B23173" w:rsidP="00C561EF">
      <w:pPr>
        <w:rPr>
          <w:bCs/>
          <w:sz w:val="22"/>
          <w:szCs w:val="22"/>
          <w:lang w:val="en-GB"/>
        </w:rPr>
      </w:pPr>
    </w:p>
    <w:p w:rsidR="00C561EF" w:rsidRPr="00C4152C" w:rsidRDefault="00C561EF" w:rsidP="00B80689">
      <w:pPr>
        <w:jc w:val="center"/>
        <w:rPr>
          <w:bCs/>
          <w:sz w:val="22"/>
          <w:szCs w:val="22"/>
          <w:lang w:val="en-GB"/>
        </w:rPr>
      </w:pPr>
      <w:r w:rsidRPr="00C4152C">
        <w:rPr>
          <w:sz w:val="22"/>
          <w:szCs w:val="22"/>
          <w:lang w:val="en-GB"/>
        </w:rPr>
        <w:t>Article 28</w:t>
      </w:r>
    </w:p>
    <w:p w:rsidR="00C561EF" w:rsidRPr="00C4152C" w:rsidRDefault="00C561EF" w:rsidP="00C561EF">
      <w:pPr>
        <w:jc w:val="center"/>
        <w:rPr>
          <w:bCs/>
          <w:sz w:val="22"/>
          <w:szCs w:val="22"/>
          <w:lang w:val="en-GB"/>
        </w:rPr>
      </w:pPr>
      <w:r w:rsidRPr="00C4152C">
        <w:rPr>
          <w:sz w:val="22"/>
          <w:szCs w:val="22"/>
          <w:lang w:val="en-GB"/>
        </w:rPr>
        <w:t>(entry into force</w:t>
      </w:r>
      <w:r w:rsidR="00DA705C">
        <w:rPr>
          <w:sz w:val="22"/>
          <w:szCs w:val="22"/>
          <w:lang w:val="en-GB"/>
        </w:rPr>
        <w:t xml:space="preserve"> and application</w:t>
      </w:r>
      <w:r w:rsidRPr="00C4152C">
        <w:rPr>
          <w:sz w:val="22"/>
          <w:szCs w:val="22"/>
          <w:lang w:val="en-GB"/>
        </w:rPr>
        <w:t>)</w:t>
      </w:r>
    </w:p>
    <w:p w:rsidR="00C561EF" w:rsidRPr="00C4152C" w:rsidRDefault="00C561EF" w:rsidP="00246F74">
      <w:pPr>
        <w:pStyle w:val="Odstavek"/>
        <w:rPr>
          <w:lang w:val="en-GB"/>
        </w:rPr>
      </w:pPr>
      <w:r w:rsidRPr="00C4152C">
        <w:rPr>
          <w:lang w:val="en-GB"/>
        </w:rPr>
        <w:t>This regulation shall enter into force on the day after its publication in the Official Gazette of the Republic of Slovenia</w:t>
      </w:r>
      <w:r w:rsidR="006127AE" w:rsidRPr="00986A23">
        <w:rPr>
          <w:lang w:val="en-GB"/>
        </w:rPr>
        <w:t xml:space="preserve"> and shall apply from 1 January 2018.</w:t>
      </w:r>
    </w:p>
    <w:p w:rsidR="00C561EF" w:rsidRDefault="00C561EF" w:rsidP="00C561EF">
      <w:pPr>
        <w:pStyle w:val="Telobesedila-zamik2"/>
        <w:ind w:left="0" w:firstLine="0"/>
        <w:rPr>
          <w:szCs w:val="22"/>
          <w:lang w:val="en-GB"/>
        </w:rPr>
      </w:pPr>
    </w:p>
    <w:p w:rsidR="00394EB0" w:rsidRPr="00C4152C" w:rsidRDefault="00394EB0" w:rsidP="00C561EF">
      <w:pPr>
        <w:pStyle w:val="Telobesedila-zamik2"/>
        <w:ind w:left="0" w:firstLine="0"/>
        <w:rPr>
          <w:szCs w:val="22"/>
          <w:lang w:val="en-GB"/>
        </w:rPr>
      </w:pPr>
    </w:p>
    <w:p w:rsidR="00C561EF" w:rsidRPr="00C4152C" w:rsidRDefault="00C561EF" w:rsidP="00C561EF">
      <w:pPr>
        <w:jc w:val="both"/>
        <w:rPr>
          <w:sz w:val="22"/>
          <w:szCs w:val="22"/>
          <w:lang w:val="en-GB"/>
        </w:rPr>
      </w:pPr>
    </w:p>
    <w:p w:rsidR="00C561EF" w:rsidRDefault="00C561EF" w:rsidP="00C561EF">
      <w:pPr>
        <w:pStyle w:val="esegmentc1"/>
        <w:rPr>
          <w:color w:val="auto"/>
          <w:sz w:val="22"/>
          <w:szCs w:val="22"/>
          <w:lang w:val="en-GB"/>
        </w:rPr>
      </w:pPr>
      <w:r w:rsidRPr="00C4152C">
        <w:rPr>
          <w:color w:val="auto"/>
          <w:sz w:val="22"/>
          <w:szCs w:val="22"/>
          <w:lang w:val="en-GB"/>
        </w:rPr>
        <w:t xml:space="preserve">Ljubljana, </w:t>
      </w:r>
      <w:r w:rsidR="00ED223C">
        <w:rPr>
          <w:color w:val="auto"/>
          <w:sz w:val="22"/>
          <w:szCs w:val="22"/>
          <w:lang w:val="en-GB"/>
        </w:rPr>
        <w:t xml:space="preserve">5 December </w:t>
      </w:r>
      <w:r w:rsidRPr="003C7B3B">
        <w:rPr>
          <w:color w:val="auto"/>
          <w:sz w:val="22"/>
          <w:szCs w:val="22"/>
          <w:lang w:val="en-GB"/>
        </w:rPr>
        <w:t>201</w:t>
      </w:r>
      <w:r w:rsidR="00522107" w:rsidRPr="003C7B3B">
        <w:rPr>
          <w:color w:val="auto"/>
          <w:sz w:val="22"/>
          <w:szCs w:val="22"/>
          <w:lang w:val="en-GB"/>
        </w:rPr>
        <w:t>7</w:t>
      </w:r>
    </w:p>
    <w:p w:rsidR="00D611FF" w:rsidRDefault="00D611FF" w:rsidP="00C561EF">
      <w:pPr>
        <w:pStyle w:val="esegmentc1"/>
        <w:rPr>
          <w:color w:val="auto"/>
          <w:sz w:val="22"/>
          <w:szCs w:val="22"/>
          <w:lang w:val="en-GB"/>
        </w:rPr>
      </w:pPr>
    </w:p>
    <w:p w:rsidR="005F006C" w:rsidRPr="00C4152C" w:rsidRDefault="005F006C" w:rsidP="005F006C">
      <w:pPr>
        <w:jc w:val="both"/>
        <w:rPr>
          <w:sz w:val="22"/>
          <w:szCs w:val="22"/>
          <w:lang w:val="en-GB"/>
        </w:rPr>
      </w:pPr>
    </w:p>
    <w:p w:rsidR="005F006C" w:rsidRPr="00C4152C" w:rsidRDefault="005F006C" w:rsidP="005F006C">
      <w:pPr>
        <w:ind w:left="5812"/>
        <w:jc w:val="center"/>
        <w:rPr>
          <w:sz w:val="22"/>
          <w:szCs w:val="22"/>
          <w:lang w:val="en-GB"/>
        </w:rPr>
      </w:pPr>
      <w:r w:rsidRPr="00C4152C">
        <w:rPr>
          <w:sz w:val="22"/>
          <w:szCs w:val="22"/>
          <w:lang w:val="en-GB"/>
        </w:rPr>
        <w:t>Boštjan Jazbec</w:t>
      </w:r>
    </w:p>
    <w:p w:rsidR="005F006C" w:rsidRPr="00C4152C" w:rsidRDefault="005F006C" w:rsidP="005F006C">
      <w:pPr>
        <w:ind w:left="5812"/>
        <w:jc w:val="center"/>
        <w:rPr>
          <w:sz w:val="22"/>
          <w:szCs w:val="22"/>
          <w:lang w:val="en-GB"/>
        </w:rPr>
      </w:pPr>
      <w:r w:rsidRPr="00C4152C">
        <w:rPr>
          <w:sz w:val="22"/>
          <w:szCs w:val="22"/>
          <w:lang w:val="en-GB"/>
        </w:rPr>
        <w:t>President,</w:t>
      </w:r>
    </w:p>
    <w:p w:rsidR="005F006C" w:rsidRPr="00C4152C" w:rsidRDefault="005F006C" w:rsidP="005F006C">
      <w:pPr>
        <w:ind w:left="5812"/>
        <w:jc w:val="center"/>
        <w:rPr>
          <w:sz w:val="22"/>
          <w:lang w:val="en-GB"/>
        </w:rPr>
      </w:pPr>
      <w:r w:rsidRPr="00C4152C">
        <w:rPr>
          <w:sz w:val="22"/>
          <w:szCs w:val="22"/>
          <w:lang w:val="en-GB"/>
        </w:rPr>
        <w:t>Governing Board of the Bank of Slovenia</w:t>
      </w:r>
    </w:p>
    <w:p w:rsidR="005F006C" w:rsidRPr="00C4152C" w:rsidRDefault="005F006C" w:rsidP="00C561EF">
      <w:pPr>
        <w:pStyle w:val="esegmentc1"/>
        <w:rPr>
          <w:color w:val="auto"/>
          <w:sz w:val="22"/>
          <w:szCs w:val="22"/>
          <w:lang w:val="en-GB"/>
        </w:rPr>
      </w:pPr>
    </w:p>
    <w:p w:rsidR="00C561EF" w:rsidRPr="00C4152C" w:rsidRDefault="00C561EF" w:rsidP="00C561EF">
      <w:pPr>
        <w:jc w:val="both"/>
        <w:rPr>
          <w:sz w:val="22"/>
          <w:szCs w:val="22"/>
          <w:lang w:val="en-GB"/>
        </w:rPr>
      </w:pPr>
    </w:p>
    <w:p w:rsidR="00517F06" w:rsidRPr="00DA5980" w:rsidRDefault="00517F06" w:rsidP="00DA5980">
      <w:pPr>
        <w:jc w:val="both"/>
        <w:rPr>
          <w:i/>
          <w:sz w:val="22"/>
          <w:szCs w:val="22"/>
          <w:lang w:val="en-GB"/>
        </w:rPr>
      </w:pPr>
    </w:p>
    <w:p w:rsidR="00C561EF" w:rsidRPr="00C4152C" w:rsidRDefault="00C561EF" w:rsidP="00394EB0">
      <w:pPr>
        <w:ind w:left="5812"/>
        <w:jc w:val="center"/>
        <w:rPr>
          <w:sz w:val="22"/>
          <w:lang w:val="en-GB"/>
        </w:rPr>
      </w:pPr>
    </w:p>
    <w:sectPr w:rsidR="00C561EF" w:rsidRPr="00C4152C" w:rsidSect="00C349F0">
      <w:headerReference w:type="default" r:id="rId15"/>
      <w:footerReference w:type="even" r:id="rId16"/>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6C" w:rsidRPr="00C561EF" w:rsidRDefault="0086226C">
      <w:pPr>
        <w:rPr>
          <w:noProof/>
        </w:rPr>
      </w:pPr>
      <w:r>
        <w:rPr>
          <w:noProof/>
        </w:rPr>
        <w:separator/>
      </w:r>
    </w:p>
  </w:endnote>
  <w:endnote w:type="continuationSeparator" w:id="0">
    <w:p w:rsidR="0086226C" w:rsidRPr="00C561EF" w:rsidRDefault="0086226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end"/>
    </w:r>
  </w:p>
  <w:p w:rsidR="00907466" w:rsidRPr="00C561EF" w:rsidRDefault="00907466">
    <w:pPr>
      <w:pStyle w:val="Noga"/>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separate"/>
    </w:r>
    <w:r w:rsidR="005425FA">
      <w:rPr>
        <w:rStyle w:val="tevilkastrani"/>
        <w:noProof/>
        <w:lang w:val="en-GB"/>
      </w:rPr>
      <w:t>2</w:t>
    </w:r>
    <w:r>
      <w:rPr>
        <w:rStyle w:val="tevilkastrani"/>
        <w:noProof/>
        <w:lang w:val="en-GB"/>
      </w:rPr>
      <w:fldChar w:fldCharType="end"/>
    </w:r>
  </w:p>
  <w:p w:rsidR="00907466" w:rsidRPr="00C561EF" w:rsidRDefault="00907466">
    <w:pPr>
      <w:pStyle w:val="Noga"/>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end"/>
    </w:r>
  </w:p>
  <w:p w:rsidR="00907466" w:rsidRPr="00C561EF" w:rsidRDefault="00907466">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6C" w:rsidRPr="00C561EF" w:rsidRDefault="0086226C">
      <w:pPr>
        <w:rPr>
          <w:noProof/>
        </w:rPr>
      </w:pPr>
      <w:r>
        <w:rPr>
          <w:noProof/>
        </w:rPr>
        <w:separator/>
      </w:r>
    </w:p>
  </w:footnote>
  <w:footnote w:type="continuationSeparator" w:id="0">
    <w:p w:rsidR="0086226C" w:rsidRPr="00C561EF" w:rsidRDefault="0086226C">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3D" w:rsidRDefault="005A323D" w:rsidP="005A323D">
    <w:pPr>
      <w:pStyle w:val="Glava"/>
      <w:jc w:val="center"/>
    </w:pPr>
    <w:r>
      <w:t>THIS TEXT IS UNOFFICIAL TRANSLATION AND MAY NOT BE USED AS A BASIS FOR SOLVING ANY DISPUTE</w:t>
    </w:r>
  </w:p>
  <w:p w:rsidR="005A323D" w:rsidRDefault="005A323D" w:rsidP="005A323D">
    <w:pPr>
      <w:pStyle w:val="Glava"/>
      <w:rPr>
        <w:noProof/>
      </w:rPr>
    </w:pPr>
  </w:p>
  <w:p w:rsidR="00907466" w:rsidRPr="005A323D" w:rsidRDefault="00907466" w:rsidP="005A32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Default="00907466" w:rsidP="00C43392">
    <w:pPr>
      <w:pStyle w:val="Glava"/>
      <w:jc w:val="center"/>
    </w:pPr>
    <w:r>
      <w:t>THIS TEXT IS UNOFFICIAL TRANSLATION AND MAY NOT BE USED AS A BASIS FOR SOLVING ANY DISPUTE</w:t>
    </w:r>
  </w:p>
  <w:p w:rsidR="00907466" w:rsidRDefault="00907466">
    <w:pPr>
      <w:pStyle w:val="Glava"/>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05" w:rsidRDefault="00BA0E05" w:rsidP="00BA0E05">
    <w:pPr>
      <w:pStyle w:val="Glava"/>
      <w:jc w:val="center"/>
    </w:pPr>
    <w:r>
      <w:t>THIS TEXT IS UNOFFICIAL TRANSLATION AND MAY NOT BE USED AS A BASIS FOR SOLVING ANY DISPUTE</w:t>
    </w:r>
  </w:p>
  <w:p w:rsidR="00907466" w:rsidRPr="00BA0E05" w:rsidRDefault="00907466" w:rsidP="00BA0E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E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8C732C"/>
    <w:multiLevelType w:val="hybridMultilevel"/>
    <w:tmpl w:val="6EF41606"/>
    <w:lvl w:ilvl="0" w:tplc="AC5E131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162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80" w:hanging="360"/>
      </w:pPr>
    </w:lvl>
    <w:lvl w:ilvl="5" w:tplc="0424001B" w:tentative="1">
      <w:start w:val="1"/>
      <w:numFmt w:val="lowerRoman"/>
      <w:lvlText w:val="%6."/>
      <w:lvlJc w:val="right"/>
      <w:pPr>
        <w:ind w:left="540" w:hanging="180"/>
      </w:pPr>
    </w:lvl>
    <w:lvl w:ilvl="6" w:tplc="0424000F" w:tentative="1">
      <w:start w:val="1"/>
      <w:numFmt w:val="decimal"/>
      <w:lvlText w:val="%7."/>
      <w:lvlJc w:val="left"/>
      <w:pPr>
        <w:ind w:left="1260" w:hanging="360"/>
      </w:pPr>
    </w:lvl>
    <w:lvl w:ilvl="7" w:tplc="04240019" w:tentative="1">
      <w:start w:val="1"/>
      <w:numFmt w:val="lowerLetter"/>
      <w:lvlText w:val="%8."/>
      <w:lvlJc w:val="left"/>
      <w:pPr>
        <w:ind w:left="1980" w:hanging="360"/>
      </w:pPr>
    </w:lvl>
    <w:lvl w:ilvl="8" w:tplc="0424001B" w:tentative="1">
      <w:start w:val="1"/>
      <w:numFmt w:val="lowerRoman"/>
      <w:lvlText w:val="%9."/>
      <w:lvlJc w:val="right"/>
      <w:pPr>
        <w:ind w:left="2700" w:hanging="180"/>
      </w:pPr>
    </w:lvl>
  </w:abstractNum>
  <w:abstractNum w:abstractNumId="2" w15:restartNumberingAfterBreak="0">
    <w:nsid w:val="028E2321"/>
    <w:multiLevelType w:val="hybridMultilevel"/>
    <w:tmpl w:val="DAA45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5917B9"/>
    <w:multiLevelType w:val="hybridMultilevel"/>
    <w:tmpl w:val="2168F1D2"/>
    <w:lvl w:ilvl="0" w:tplc="43B02162">
      <w:start w:val="2"/>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075866CF"/>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4353B9"/>
    <w:multiLevelType w:val="hybridMultilevel"/>
    <w:tmpl w:val="39C21CF0"/>
    <w:lvl w:ilvl="0" w:tplc="0424000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094"/>
        </w:tabs>
        <w:ind w:left="2094" w:hanging="360"/>
      </w:pPr>
    </w:lvl>
    <w:lvl w:ilvl="2" w:tplc="0424001B" w:tentative="1">
      <w:start w:val="1"/>
      <w:numFmt w:val="lowerRoman"/>
      <w:lvlText w:val="%3."/>
      <w:lvlJc w:val="right"/>
      <w:pPr>
        <w:tabs>
          <w:tab w:val="num" w:pos="2814"/>
        </w:tabs>
        <w:ind w:left="2814" w:hanging="180"/>
      </w:pPr>
    </w:lvl>
    <w:lvl w:ilvl="3" w:tplc="0424000F" w:tentative="1">
      <w:start w:val="1"/>
      <w:numFmt w:val="decimal"/>
      <w:lvlText w:val="%4."/>
      <w:lvlJc w:val="left"/>
      <w:pPr>
        <w:tabs>
          <w:tab w:val="num" w:pos="3534"/>
        </w:tabs>
        <w:ind w:left="3534" w:hanging="360"/>
      </w:pPr>
    </w:lvl>
    <w:lvl w:ilvl="4" w:tplc="04240019" w:tentative="1">
      <w:start w:val="1"/>
      <w:numFmt w:val="lowerLetter"/>
      <w:lvlText w:val="%5."/>
      <w:lvlJc w:val="left"/>
      <w:pPr>
        <w:tabs>
          <w:tab w:val="num" w:pos="4254"/>
        </w:tabs>
        <w:ind w:left="4254" w:hanging="360"/>
      </w:pPr>
    </w:lvl>
    <w:lvl w:ilvl="5" w:tplc="0424001B" w:tentative="1">
      <w:start w:val="1"/>
      <w:numFmt w:val="lowerRoman"/>
      <w:lvlText w:val="%6."/>
      <w:lvlJc w:val="right"/>
      <w:pPr>
        <w:tabs>
          <w:tab w:val="num" w:pos="4974"/>
        </w:tabs>
        <w:ind w:left="4974" w:hanging="180"/>
      </w:pPr>
    </w:lvl>
    <w:lvl w:ilvl="6" w:tplc="0424000F" w:tentative="1">
      <w:start w:val="1"/>
      <w:numFmt w:val="decimal"/>
      <w:lvlText w:val="%7."/>
      <w:lvlJc w:val="left"/>
      <w:pPr>
        <w:tabs>
          <w:tab w:val="num" w:pos="5694"/>
        </w:tabs>
        <w:ind w:left="5694" w:hanging="360"/>
      </w:pPr>
    </w:lvl>
    <w:lvl w:ilvl="7" w:tplc="04240019" w:tentative="1">
      <w:start w:val="1"/>
      <w:numFmt w:val="lowerLetter"/>
      <w:lvlText w:val="%8."/>
      <w:lvlJc w:val="left"/>
      <w:pPr>
        <w:tabs>
          <w:tab w:val="num" w:pos="6414"/>
        </w:tabs>
        <w:ind w:left="6414" w:hanging="360"/>
      </w:pPr>
    </w:lvl>
    <w:lvl w:ilvl="8" w:tplc="0424001B" w:tentative="1">
      <w:start w:val="1"/>
      <w:numFmt w:val="lowerRoman"/>
      <w:lvlText w:val="%9."/>
      <w:lvlJc w:val="right"/>
      <w:pPr>
        <w:tabs>
          <w:tab w:val="num" w:pos="7134"/>
        </w:tabs>
        <w:ind w:left="7134" w:hanging="180"/>
      </w:pPr>
    </w:lvl>
  </w:abstractNum>
  <w:abstractNum w:abstractNumId="6" w15:restartNumberingAfterBreak="0">
    <w:nsid w:val="0B4B7C30"/>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CF9503E"/>
    <w:multiLevelType w:val="hybridMultilevel"/>
    <w:tmpl w:val="37866882"/>
    <w:lvl w:ilvl="0" w:tplc="4600CEA6">
      <w:start w:val="1"/>
      <w:numFmt w:val="decimal"/>
      <w:lvlText w:val="(%1)"/>
      <w:lvlJc w:val="left"/>
      <w:pPr>
        <w:tabs>
          <w:tab w:val="num" w:pos="720"/>
        </w:tabs>
        <w:ind w:left="0" w:firstLine="360"/>
      </w:pPr>
      <w:rPr>
        <w:rFonts w:hint="default"/>
      </w:rPr>
    </w:lvl>
    <w:lvl w:ilvl="1" w:tplc="86E47A4E">
      <w:start w:val="1"/>
      <w:numFmt w:val="lowerLetter"/>
      <w:lvlText w:val="(%2)"/>
      <w:lvlJc w:val="left"/>
      <w:pPr>
        <w:tabs>
          <w:tab w:val="num" w:pos="1440"/>
        </w:tabs>
        <w:ind w:left="1440" w:hanging="360"/>
      </w:pPr>
      <w:rPr>
        <w:rFonts w:hint="default"/>
      </w:rPr>
    </w:lvl>
    <w:lvl w:ilvl="2" w:tplc="B07AC0BC">
      <w:start w:val="1"/>
      <w:numFmt w:val="lowerLetter"/>
      <w:lvlText w:val="%3)"/>
      <w:lvlJc w:val="left"/>
      <w:pPr>
        <w:ind w:left="2340" w:hanging="360"/>
      </w:pPr>
      <w:rPr>
        <w:rFonts w:hint="default"/>
        <w:b/>
      </w:rPr>
    </w:lvl>
    <w:lvl w:ilvl="3" w:tplc="0424000F" w:tentative="1">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E4341A6E">
      <w:start w:val="1"/>
      <w:numFmt w:val="lowerLetter"/>
      <w:lvlText w:val="(%6)"/>
      <w:lvlJc w:val="left"/>
      <w:pPr>
        <w:tabs>
          <w:tab w:val="num" w:pos="4500"/>
        </w:tabs>
        <w:ind w:left="3780" w:firstLine="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D790769"/>
    <w:multiLevelType w:val="multilevel"/>
    <w:tmpl w:val="F90A9F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0E1C67BF"/>
    <w:multiLevelType w:val="hybridMultilevel"/>
    <w:tmpl w:val="BBAE7B4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0" w15:restartNumberingAfterBreak="0">
    <w:nsid w:val="10901B57"/>
    <w:multiLevelType w:val="hybridMultilevel"/>
    <w:tmpl w:val="0418907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1" w15:restartNumberingAfterBreak="0">
    <w:nsid w:val="130E4484"/>
    <w:multiLevelType w:val="multilevel"/>
    <w:tmpl w:val="F6362772"/>
    <w:lvl w:ilvl="0">
      <w:start w:val="3"/>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4621DC"/>
    <w:multiLevelType w:val="hybridMultilevel"/>
    <w:tmpl w:val="3C3665D4"/>
    <w:lvl w:ilvl="0" w:tplc="D7A8F2FA">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B82CBE"/>
    <w:multiLevelType w:val="hybridMultilevel"/>
    <w:tmpl w:val="5C5833B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42341B6"/>
    <w:multiLevelType w:val="hybridMultilevel"/>
    <w:tmpl w:val="356CDD8C"/>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5A216DB"/>
    <w:multiLevelType w:val="hybridMultilevel"/>
    <w:tmpl w:val="074C3FBC"/>
    <w:lvl w:ilvl="0" w:tplc="523C3802">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15C42997"/>
    <w:multiLevelType w:val="hybridMultilevel"/>
    <w:tmpl w:val="870C65E0"/>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7" w15:restartNumberingAfterBreak="0">
    <w:nsid w:val="16562858"/>
    <w:multiLevelType w:val="hybridMultilevel"/>
    <w:tmpl w:val="DC4033A4"/>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8" w15:restartNumberingAfterBreak="0">
    <w:nsid w:val="186F0126"/>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9B278CE"/>
    <w:multiLevelType w:val="hybridMultilevel"/>
    <w:tmpl w:val="7B2844A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20" w15:restartNumberingAfterBreak="0">
    <w:nsid w:val="1A5B5B9E"/>
    <w:multiLevelType w:val="hybridMultilevel"/>
    <w:tmpl w:val="00701354"/>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F912BE4"/>
    <w:multiLevelType w:val="hybridMultilevel"/>
    <w:tmpl w:val="23DC09B0"/>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0AD4CDA"/>
    <w:multiLevelType w:val="hybridMultilevel"/>
    <w:tmpl w:val="01F69BC2"/>
    <w:lvl w:ilvl="0" w:tplc="A9300E1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17439"/>
    <w:multiLevelType w:val="hybridMultilevel"/>
    <w:tmpl w:val="E182C98C"/>
    <w:lvl w:ilvl="0" w:tplc="64686EB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CEE6C02"/>
    <w:multiLevelType w:val="hybridMultilevel"/>
    <w:tmpl w:val="13AAB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0814E4"/>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A576C35"/>
    <w:multiLevelType w:val="hybridMultilevel"/>
    <w:tmpl w:val="254AF502"/>
    <w:lvl w:ilvl="0" w:tplc="34121F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EF10E8"/>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C9E4902"/>
    <w:multiLevelType w:val="hybridMultilevel"/>
    <w:tmpl w:val="41B40FD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0" w15:restartNumberingAfterBreak="0">
    <w:nsid w:val="3FB72292"/>
    <w:multiLevelType w:val="hybridMultilevel"/>
    <w:tmpl w:val="C5DAADF6"/>
    <w:lvl w:ilvl="0" w:tplc="04240017">
      <w:start w:val="1"/>
      <w:numFmt w:val="lowerLetter"/>
      <w:lvlText w:val="%1)"/>
      <w:lvlJc w:val="left"/>
      <w:pPr>
        <w:ind w:left="36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1" w15:restartNumberingAfterBreak="0">
    <w:nsid w:val="40507AC6"/>
    <w:multiLevelType w:val="hybridMultilevel"/>
    <w:tmpl w:val="BB74CB64"/>
    <w:lvl w:ilvl="0" w:tplc="86E47A4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1BC7F10"/>
    <w:multiLevelType w:val="hybridMultilevel"/>
    <w:tmpl w:val="A01CBB7C"/>
    <w:lvl w:ilvl="0" w:tplc="5CA82AC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1D2575E"/>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2962B21"/>
    <w:multiLevelType w:val="hybridMultilevel"/>
    <w:tmpl w:val="4FD04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3F020C1"/>
    <w:multiLevelType w:val="hybridMultilevel"/>
    <w:tmpl w:val="6A56E900"/>
    <w:lvl w:ilvl="0" w:tplc="41EEC12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4E41900"/>
    <w:multiLevelType w:val="hybridMultilevel"/>
    <w:tmpl w:val="D092029A"/>
    <w:lvl w:ilvl="0" w:tplc="F48AF4B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5760CF3"/>
    <w:multiLevelType w:val="hybridMultilevel"/>
    <w:tmpl w:val="D1D69C4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8" w15:restartNumberingAfterBreak="0">
    <w:nsid w:val="48691912"/>
    <w:multiLevelType w:val="hybridMultilevel"/>
    <w:tmpl w:val="0766441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9" w15:restartNumberingAfterBreak="0">
    <w:nsid w:val="49481B70"/>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A1A7B6C"/>
    <w:multiLevelType w:val="hybridMultilevel"/>
    <w:tmpl w:val="82A4671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41" w15:restartNumberingAfterBreak="0">
    <w:nsid w:val="4EB54C30"/>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0B85B82"/>
    <w:multiLevelType w:val="multilevel"/>
    <w:tmpl w:val="E3F4CA9E"/>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3" w15:restartNumberingAfterBreak="0">
    <w:nsid w:val="50EB0F56"/>
    <w:multiLevelType w:val="hybridMultilevel"/>
    <w:tmpl w:val="36D040CA"/>
    <w:lvl w:ilvl="0" w:tplc="81A411FE">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14A5AA8"/>
    <w:multiLevelType w:val="hybridMultilevel"/>
    <w:tmpl w:val="36B8A9E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2A667FC"/>
    <w:multiLevelType w:val="hybridMultilevel"/>
    <w:tmpl w:val="ED2EBB38"/>
    <w:lvl w:ilvl="0" w:tplc="86E47A4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7A363A3"/>
    <w:multiLevelType w:val="hybridMultilevel"/>
    <w:tmpl w:val="E0DA9982"/>
    <w:lvl w:ilvl="0" w:tplc="0D06FEE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81E4484"/>
    <w:multiLevelType w:val="hybridMultilevel"/>
    <w:tmpl w:val="624421A2"/>
    <w:lvl w:ilvl="0" w:tplc="4BBA9124">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CD94046"/>
    <w:multiLevelType w:val="hybridMultilevel"/>
    <w:tmpl w:val="16144988"/>
    <w:lvl w:ilvl="0" w:tplc="86E47A4E">
      <w:start w:val="1"/>
      <w:numFmt w:val="decimal"/>
      <w:lvlText w:val="(%1)"/>
      <w:lvlJc w:val="left"/>
      <w:pPr>
        <w:tabs>
          <w:tab w:val="num" w:pos="644"/>
        </w:tabs>
        <w:ind w:left="-76" w:firstLine="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49" w15:restartNumberingAfterBreak="0">
    <w:nsid w:val="5D7E7B77"/>
    <w:multiLevelType w:val="hybridMultilevel"/>
    <w:tmpl w:val="C3C61AD6"/>
    <w:lvl w:ilvl="0" w:tplc="F51AABE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7E502A"/>
    <w:multiLevelType w:val="multilevel"/>
    <w:tmpl w:val="BF16608A"/>
    <w:lvl w:ilvl="0">
      <w:start w:val="1"/>
      <w:numFmt w:val="upperRoman"/>
      <w:pStyle w:val="Naslov1"/>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slov2"/>
      <w:lvlText w:val="%1.%2."/>
      <w:lvlJc w:val="left"/>
      <w:pPr>
        <w:tabs>
          <w:tab w:val="num" w:pos="0"/>
        </w:tabs>
        <w:ind w:left="794" w:hanging="794"/>
      </w:pPr>
      <w:rPr>
        <w:rFonts w:hint="default"/>
      </w:rPr>
    </w:lvl>
    <w:lvl w:ilvl="2">
      <w:start w:val="1"/>
      <w:numFmt w:val="decimal"/>
      <w:pStyle w:val="Naslov3"/>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15:restartNumberingAfterBreak="0">
    <w:nsid w:val="5F516F3A"/>
    <w:multiLevelType w:val="hybridMultilevel"/>
    <w:tmpl w:val="871E0670"/>
    <w:lvl w:ilvl="0" w:tplc="939C33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61EE422D"/>
    <w:multiLevelType w:val="hybridMultilevel"/>
    <w:tmpl w:val="08D2D0C6"/>
    <w:lvl w:ilvl="0" w:tplc="DF0A2E1E">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7E4AF9"/>
    <w:multiLevelType w:val="hybridMultilevel"/>
    <w:tmpl w:val="CC1E4B6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6953503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698F70D4"/>
    <w:multiLevelType w:val="hybridMultilevel"/>
    <w:tmpl w:val="AD8EBE86"/>
    <w:lvl w:ilvl="0" w:tplc="86E47A4E">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6B154B29"/>
    <w:multiLevelType w:val="hybridMultilevel"/>
    <w:tmpl w:val="32205C60"/>
    <w:lvl w:ilvl="0" w:tplc="74AEA162">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71564B87"/>
    <w:multiLevelType w:val="hybridMultilevel"/>
    <w:tmpl w:val="35708078"/>
    <w:lvl w:ilvl="0" w:tplc="2984FB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754767F3"/>
    <w:multiLevelType w:val="hybridMultilevel"/>
    <w:tmpl w:val="4492FD48"/>
    <w:lvl w:ilvl="0" w:tplc="53BCD49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EB696E"/>
    <w:multiLevelType w:val="hybridMultilevel"/>
    <w:tmpl w:val="D35AB0B6"/>
    <w:lvl w:ilvl="0" w:tplc="A3DA66EC">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7E854D6"/>
    <w:multiLevelType w:val="hybridMultilevel"/>
    <w:tmpl w:val="A9D4AD4C"/>
    <w:lvl w:ilvl="0" w:tplc="3EE64F9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795E4B89"/>
    <w:multiLevelType w:val="hybridMultilevel"/>
    <w:tmpl w:val="3B8CC49C"/>
    <w:lvl w:ilvl="0" w:tplc="03ECC246">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7D592602"/>
    <w:multiLevelType w:val="hybridMultilevel"/>
    <w:tmpl w:val="BA7A4AD2"/>
    <w:lvl w:ilvl="0" w:tplc="7040C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F9B3794"/>
    <w:multiLevelType w:val="hybridMultilevel"/>
    <w:tmpl w:val="BFB64FE4"/>
    <w:lvl w:ilvl="0" w:tplc="F3DA8FF2">
      <w:start w:val="1"/>
      <w:numFmt w:val="bullet"/>
      <w:lvlText w:val="–"/>
      <w:lvlJc w:val="left"/>
      <w:pPr>
        <w:tabs>
          <w:tab w:val="num" w:pos="965"/>
        </w:tabs>
        <w:ind w:left="965" w:hanging="397"/>
      </w:pPr>
      <w:rPr>
        <w:rFonts w:ascii="Times New Roman" w:hAnsi="Times New Roman" w:cs="Times New Roman" w:hint="default"/>
      </w:rPr>
    </w:lvl>
    <w:lvl w:ilvl="1" w:tplc="E0FE0DE8" w:tentative="1">
      <w:start w:val="1"/>
      <w:numFmt w:val="bullet"/>
      <w:lvlText w:val="o"/>
      <w:lvlJc w:val="left"/>
      <w:pPr>
        <w:tabs>
          <w:tab w:val="num" w:pos="1506"/>
        </w:tabs>
        <w:ind w:left="1506" w:hanging="360"/>
      </w:pPr>
      <w:rPr>
        <w:rFonts w:ascii="Courier New" w:hAnsi="Courier New" w:cs="Courier New" w:hint="default"/>
      </w:rPr>
    </w:lvl>
    <w:lvl w:ilvl="2" w:tplc="F724E21E" w:tentative="1">
      <w:start w:val="1"/>
      <w:numFmt w:val="bullet"/>
      <w:lvlText w:val=""/>
      <w:lvlJc w:val="left"/>
      <w:pPr>
        <w:tabs>
          <w:tab w:val="num" w:pos="2226"/>
        </w:tabs>
        <w:ind w:left="2226" w:hanging="360"/>
      </w:pPr>
      <w:rPr>
        <w:rFonts w:ascii="Wingdings" w:hAnsi="Wingdings" w:hint="default"/>
      </w:rPr>
    </w:lvl>
    <w:lvl w:ilvl="3" w:tplc="3AFAD480" w:tentative="1">
      <w:start w:val="1"/>
      <w:numFmt w:val="bullet"/>
      <w:lvlText w:val=""/>
      <w:lvlJc w:val="left"/>
      <w:pPr>
        <w:tabs>
          <w:tab w:val="num" w:pos="2946"/>
        </w:tabs>
        <w:ind w:left="2946" w:hanging="360"/>
      </w:pPr>
      <w:rPr>
        <w:rFonts w:ascii="Symbol" w:hAnsi="Symbol" w:hint="default"/>
      </w:rPr>
    </w:lvl>
    <w:lvl w:ilvl="4" w:tplc="C08C38B8" w:tentative="1">
      <w:start w:val="1"/>
      <w:numFmt w:val="bullet"/>
      <w:lvlText w:val="o"/>
      <w:lvlJc w:val="left"/>
      <w:pPr>
        <w:tabs>
          <w:tab w:val="num" w:pos="3666"/>
        </w:tabs>
        <w:ind w:left="3666" w:hanging="360"/>
      </w:pPr>
      <w:rPr>
        <w:rFonts w:ascii="Courier New" w:hAnsi="Courier New" w:cs="Courier New" w:hint="default"/>
      </w:rPr>
    </w:lvl>
    <w:lvl w:ilvl="5" w:tplc="4E8A65FA" w:tentative="1">
      <w:start w:val="1"/>
      <w:numFmt w:val="bullet"/>
      <w:lvlText w:val=""/>
      <w:lvlJc w:val="left"/>
      <w:pPr>
        <w:tabs>
          <w:tab w:val="num" w:pos="4386"/>
        </w:tabs>
        <w:ind w:left="4386" w:hanging="360"/>
      </w:pPr>
      <w:rPr>
        <w:rFonts w:ascii="Wingdings" w:hAnsi="Wingdings" w:hint="default"/>
      </w:rPr>
    </w:lvl>
    <w:lvl w:ilvl="6" w:tplc="8B941B7C" w:tentative="1">
      <w:start w:val="1"/>
      <w:numFmt w:val="bullet"/>
      <w:lvlText w:val=""/>
      <w:lvlJc w:val="left"/>
      <w:pPr>
        <w:tabs>
          <w:tab w:val="num" w:pos="5106"/>
        </w:tabs>
        <w:ind w:left="5106" w:hanging="360"/>
      </w:pPr>
      <w:rPr>
        <w:rFonts w:ascii="Symbol" w:hAnsi="Symbol" w:hint="default"/>
      </w:rPr>
    </w:lvl>
    <w:lvl w:ilvl="7" w:tplc="AD22A5DA" w:tentative="1">
      <w:start w:val="1"/>
      <w:numFmt w:val="bullet"/>
      <w:lvlText w:val="o"/>
      <w:lvlJc w:val="left"/>
      <w:pPr>
        <w:tabs>
          <w:tab w:val="num" w:pos="5826"/>
        </w:tabs>
        <w:ind w:left="5826" w:hanging="360"/>
      </w:pPr>
      <w:rPr>
        <w:rFonts w:ascii="Courier New" w:hAnsi="Courier New" w:cs="Courier New" w:hint="default"/>
      </w:rPr>
    </w:lvl>
    <w:lvl w:ilvl="8" w:tplc="1D28E7DE" w:tentative="1">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63"/>
  </w:num>
  <w:num w:numId="3">
    <w:abstractNumId w:val="50"/>
  </w:num>
  <w:num w:numId="4">
    <w:abstractNumId w:val="58"/>
  </w:num>
  <w:num w:numId="5">
    <w:abstractNumId w:val="7"/>
  </w:num>
  <w:num w:numId="6">
    <w:abstractNumId w:val="55"/>
  </w:num>
  <w:num w:numId="7">
    <w:abstractNumId w:val="14"/>
  </w:num>
  <w:num w:numId="8">
    <w:abstractNumId w:val="56"/>
  </w:num>
  <w:num w:numId="9">
    <w:abstractNumId w:val="13"/>
  </w:num>
  <w:num w:numId="10">
    <w:abstractNumId w:val="45"/>
  </w:num>
  <w:num w:numId="11">
    <w:abstractNumId w:val="44"/>
  </w:num>
  <w:num w:numId="12">
    <w:abstractNumId w:val="5"/>
  </w:num>
  <w:num w:numId="13">
    <w:abstractNumId w:val="21"/>
  </w:num>
  <w:num w:numId="14">
    <w:abstractNumId w:val="18"/>
  </w:num>
  <w:num w:numId="15">
    <w:abstractNumId w:val="20"/>
  </w:num>
  <w:num w:numId="16">
    <w:abstractNumId w:val="9"/>
  </w:num>
  <w:num w:numId="17">
    <w:abstractNumId w:val="37"/>
  </w:num>
  <w:num w:numId="18">
    <w:abstractNumId w:val="29"/>
  </w:num>
  <w:num w:numId="19">
    <w:abstractNumId w:val="10"/>
  </w:num>
  <w:num w:numId="20">
    <w:abstractNumId w:val="38"/>
  </w:num>
  <w:num w:numId="21">
    <w:abstractNumId w:val="40"/>
  </w:num>
  <w:num w:numId="22">
    <w:abstractNumId w:val="19"/>
  </w:num>
  <w:num w:numId="23">
    <w:abstractNumId w:val="16"/>
  </w:num>
  <w:num w:numId="24">
    <w:abstractNumId w:val="17"/>
  </w:num>
  <w:num w:numId="25">
    <w:abstractNumId w:val="39"/>
  </w:num>
  <w:num w:numId="26">
    <w:abstractNumId w:val="11"/>
  </w:num>
  <w:num w:numId="27">
    <w:abstractNumId w:val="48"/>
  </w:num>
  <w:num w:numId="28">
    <w:abstractNumId w:val="2"/>
  </w:num>
  <w:num w:numId="29">
    <w:abstractNumId w:val="32"/>
  </w:num>
  <w:num w:numId="30">
    <w:abstractNumId w:val="12"/>
  </w:num>
  <w:num w:numId="31">
    <w:abstractNumId w:val="52"/>
  </w:num>
  <w:num w:numId="32">
    <w:abstractNumId w:val="47"/>
  </w:num>
  <w:num w:numId="33">
    <w:abstractNumId w:val="53"/>
  </w:num>
  <w:num w:numId="34">
    <w:abstractNumId w:val="46"/>
  </w:num>
  <w:num w:numId="35">
    <w:abstractNumId w:val="49"/>
  </w:num>
  <w:num w:numId="36">
    <w:abstractNumId w:val="42"/>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61"/>
  </w:num>
  <w:num w:numId="42">
    <w:abstractNumId w:val="59"/>
  </w:num>
  <w:num w:numId="43">
    <w:abstractNumId w:val="23"/>
  </w:num>
  <w:num w:numId="44">
    <w:abstractNumId w:val="30"/>
  </w:num>
  <w:num w:numId="45">
    <w:abstractNumId w:val="6"/>
  </w:num>
  <w:num w:numId="46">
    <w:abstractNumId w:val="25"/>
  </w:num>
  <w:num w:numId="47">
    <w:abstractNumId w:val="41"/>
  </w:num>
  <w:num w:numId="48">
    <w:abstractNumId w:val="0"/>
  </w:num>
  <w:num w:numId="49">
    <w:abstractNumId w:val="4"/>
  </w:num>
  <w:num w:numId="50">
    <w:abstractNumId w:val="54"/>
  </w:num>
  <w:num w:numId="51">
    <w:abstractNumId w:val="43"/>
  </w:num>
  <w:num w:numId="52">
    <w:abstractNumId w:val="22"/>
  </w:num>
  <w:num w:numId="53">
    <w:abstractNumId w:val="35"/>
  </w:num>
  <w:num w:numId="54">
    <w:abstractNumId w:val="60"/>
  </w:num>
  <w:num w:numId="55">
    <w:abstractNumId w:val="31"/>
  </w:num>
  <w:num w:numId="56">
    <w:abstractNumId w:val="1"/>
  </w:num>
  <w:num w:numId="57">
    <w:abstractNumId w:val="26"/>
  </w:num>
  <w:num w:numId="58">
    <w:abstractNumId w:val="27"/>
  </w:num>
  <w:num w:numId="59">
    <w:abstractNumId w:val="57"/>
  </w:num>
  <w:num w:numId="60">
    <w:abstractNumId w:val="3"/>
  </w:num>
  <w:num w:numId="61">
    <w:abstractNumId w:val="24"/>
  </w:num>
  <w:num w:numId="62">
    <w:abstractNumId w:val="28"/>
  </w:num>
  <w:num w:numId="63">
    <w:abstractNumId w:val="51"/>
  </w:num>
  <w:num w:numId="64">
    <w:abstractNumId w:val="33"/>
  </w:num>
  <w:num w:numId="6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87A"/>
    <w:rsid w:val="00000AE9"/>
    <w:rsid w:val="00000D6E"/>
    <w:rsid w:val="000028FF"/>
    <w:rsid w:val="00004792"/>
    <w:rsid w:val="000070FB"/>
    <w:rsid w:val="0000774B"/>
    <w:rsid w:val="00012CCD"/>
    <w:rsid w:val="00014664"/>
    <w:rsid w:val="000154F5"/>
    <w:rsid w:val="0001608A"/>
    <w:rsid w:val="000166CD"/>
    <w:rsid w:val="00017B67"/>
    <w:rsid w:val="0002054A"/>
    <w:rsid w:val="000209CC"/>
    <w:rsid w:val="00020A8E"/>
    <w:rsid w:val="00021850"/>
    <w:rsid w:val="00025843"/>
    <w:rsid w:val="000259CD"/>
    <w:rsid w:val="00032B5E"/>
    <w:rsid w:val="00033FAE"/>
    <w:rsid w:val="00034DA9"/>
    <w:rsid w:val="00041BFC"/>
    <w:rsid w:val="00043966"/>
    <w:rsid w:val="00044185"/>
    <w:rsid w:val="000444EF"/>
    <w:rsid w:val="000471F5"/>
    <w:rsid w:val="00050ADD"/>
    <w:rsid w:val="00050B18"/>
    <w:rsid w:val="00051B46"/>
    <w:rsid w:val="0005383E"/>
    <w:rsid w:val="00055B74"/>
    <w:rsid w:val="00055F42"/>
    <w:rsid w:val="000566F9"/>
    <w:rsid w:val="00056A72"/>
    <w:rsid w:val="000604ED"/>
    <w:rsid w:val="000611F4"/>
    <w:rsid w:val="0006637C"/>
    <w:rsid w:val="000673F8"/>
    <w:rsid w:val="0007081C"/>
    <w:rsid w:val="00071EF0"/>
    <w:rsid w:val="000746D0"/>
    <w:rsid w:val="000756FF"/>
    <w:rsid w:val="000770FB"/>
    <w:rsid w:val="00077CF3"/>
    <w:rsid w:val="00082487"/>
    <w:rsid w:val="00083426"/>
    <w:rsid w:val="00083F52"/>
    <w:rsid w:val="00085AE3"/>
    <w:rsid w:val="00087E9A"/>
    <w:rsid w:val="00093873"/>
    <w:rsid w:val="000961FD"/>
    <w:rsid w:val="000A01AD"/>
    <w:rsid w:val="000A4D1D"/>
    <w:rsid w:val="000A749C"/>
    <w:rsid w:val="000B12E3"/>
    <w:rsid w:val="000B50E5"/>
    <w:rsid w:val="000B585B"/>
    <w:rsid w:val="000B7669"/>
    <w:rsid w:val="000B773D"/>
    <w:rsid w:val="000B7925"/>
    <w:rsid w:val="000C0CEB"/>
    <w:rsid w:val="000C21CC"/>
    <w:rsid w:val="000D498A"/>
    <w:rsid w:val="000D4BC2"/>
    <w:rsid w:val="000D5FAA"/>
    <w:rsid w:val="000E09F8"/>
    <w:rsid w:val="000E4CEA"/>
    <w:rsid w:val="000E4E84"/>
    <w:rsid w:val="000E6265"/>
    <w:rsid w:val="000E653D"/>
    <w:rsid w:val="000E6BD9"/>
    <w:rsid w:val="000F0BFA"/>
    <w:rsid w:val="000F0F10"/>
    <w:rsid w:val="000F1147"/>
    <w:rsid w:val="000F1DC9"/>
    <w:rsid w:val="000F53E8"/>
    <w:rsid w:val="000F7B6D"/>
    <w:rsid w:val="001005DB"/>
    <w:rsid w:val="00103167"/>
    <w:rsid w:val="0010357D"/>
    <w:rsid w:val="00103625"/>
    <w:rsid w:val="001128DE"/>
    <w:rsid w:val="0011399B"/>
    <w:rsid w:val="001147CF"/>
    <w:rsid w:val="0011648B"/>
    <w:rsid w:val="00116ECC"/>
    <w:rsid w:val="001170DE"/>
    <w:rsid w:val="001173D0"/>
    <w:rsid w:val="00120BE5"/>
    <w:rsid w:val="001210EF"/>
    <w:rsid w:val="001234B4"/>
    <w:rsid w:val="001255D7"/>
    <w:rsid w:val="00125EA5"/>
    <w:rsid w:val="001260CD"/>
    <w:rsid w:val="00135214"/>
    <w:rsid w:val="00135794"/>
    <w:rsid w:val="0013755C"/>
    <w:rsid w:val="00143CB6"/>
    <w:rsid w:val="00146589"/>
    <w:rsid w:val="0014670B"/>
    <w:rsid w:val="00147164"/>
    <w:rsid w:val="00147E8C"/>
    <w:rsid w:val="001508C7"/>
    <w:rsid w:val="00150F04"/>
    <w:rsid w:val="00152763"/>
    <w:rsid w:val="0015485F"/>
    <w:rsid w:val="00155973"/>
    <w:rsid w:val="00155EDB"/>
    <w:rsid w:val="00155FC0"/>
    <w:rsid w:val="001563B4"/>
    <w:rsid w:val="001602BA"/>
    <w:rsid w:val="00160778"/>
    <w:rsid w:val="00160CCF"/>
    <w:rsid w:val="001632E3"/>
    <w:rsid w:val="0016399A"/>
    <w:rsid w:val="00164D21"/>
    <w:rsid w:val="0016693E"/>
    <w:rsid w:val="00167C93"/>
    <w:rsid w:val="001708D2"/>
    <w:rsid w:val="00171A54"/>
    <w:rsid w:val="00172A39"/>
    <w:rsid w:val="001770B0"/>
    <w:rsid w:val="00177BB1"/>
    <w:rsid w:val="00177F36"/>
    <w:rsid w:val="00182895"/>
    <w:rsid w:val="00182AF8"/>
    <w:rsid w:val="0018405D"/>
    <w:rsid w:val="00184BF9"/>
    <w:rsid w:val="00185597"/>
    <w:rsid w:val="001859D8"/>
    <w:rsid w:val="001868A9"/>
    <w:rsid w:val="001912F7"/>
    <w:rsid w:val="00191CEE"/>
    <w:rsid w:val="0019293B"/>
    <w:rsid w:val="00192CA5"/>
    <w:rsid w:val="0019390B"/>
    <w:rsid w:val="001954A9"/>
    <w:rsid w:val="00197B4F"/>
    <w:rsid w:val="001A3D58"/>
    <w:rsid w:val="001A499E"/>
    <w:rsid w:val="001A615D"/>
    <w:rsid w:val="001A66B8"/>
    <w:rsid w:val="001A6C57"/>
    <w:rsid w:val="001A7D70"/>
    <w:rsid w:val="001B31F4"/>
    <w:rsid w:val="001B48CD"/>
    <w:rsid w:val="001B4ABE"/>
    <w:rsid w:val="001B4BD9"/>
    <w:rsid w:val="001B64A0"/>
    <w:rsid w:val="001B6715"/>
    <w:rsid w:val="001B6B8F"/>
    <w:rsid w:val="001C1214"/>
    <w:rsid w:val="001C2191"/>
    <w:rsid w:val="001C24B5"/>
    <w:rsid w:val="001C6E5E"/>
    <w:rsid w:val="001D0567"/>
    <w:rsid w:val="001D0E41"/>
    <w:rsid w:val="001D1394"/>
    <w:rsid w:val="001D1EBD"/>
    <w:rsid w:val="001D259B"/>
    <w:rsid w:val="001D3012"/>
    <w:rsid w:val="001D3C37"/>
    <w:rsid w:val="001D4304"/>
    <w:rsid w:val="001D4723"/>
    <w:rsid w:val="001D4A97"/>
    <w:rsid w:val="001D6D5A"/>
    <w:rsid w:val="001E185F"/>
    <w:rsid w:val="001E217C"/>
    <w:rsid w:val="001E22C4"/>
    <w:rsid w:val="001E39BA"/>
    <w:rsid w:val="001E3E8E"/>
    <w:rsid w:val="001E4098"/>
    <w:rsid w:val="001E4C3B"/>
    <w:rsid w:val="001F032A"/>
    <w:rsid w:val="001F0882"/>
    <w:rsid w:val="001F11A5"/>
    <w:rsid w:val="001F1BE9"/>
    <w:rsid w:val="001F2A0D"/>
    <w:rsid w:val="001F54FD"/>
    <w:rsid w:val="001F5BD7"/>
    <w:rsid w:val="001F627E"/>
    <w:rsid w:val="001F7D7B"/>
    <w:rsid w:val="002005CA"/>
    <w:rsid w:val="00200975"/>
    <w:rsid w:val="00200CDC"/>
    <w:rsid w:val="00202975"/>
    <w:rsid w:val="00202E95"/>
    <w:rsid w:val="00205659"/>
    <w:rsid w:val="00205F10"/>
    <w:rsid w:val="00206E8B"/>
    <w:rsid w:val="00207340"/>
    <w:rsid w:val="00207D14"/>
    <w:rsid w:val="0021005D"/>
    <w:rsid w:val="0021028C"/>
    <w:rsid w:val="00211C1F"/>
    <w:rsid w:val="00214955"/>
    <w:rsid w:val="0021542B"/>
    <w:rsid w:val="0021544E"/>
    <w:rsid w:val="00216585"/>
    <w:rsid w:val="00217197"/>
    <w:rsid w:val="0021755F"/>
    <w:rsid w:val="00217EBF"/>
    <w:rsid w:val="002205A5"/>
    <w:rsid w:val="00221785"/>
    <w:rsid w:val="00221B30"/>
    <w:rsid w:val="00221DD3"/>
    <w:rsid w:val="002223BB"/>
    <w:rsid w:val="002223C6"/>
    <w:rsid w:val="00225CC2"/>
    <w:rsid w:val="0023674E"/>
    <w:rsid w:val="002373BD"/>
    <w:rsid w:val="00237418"/>
    <w:rsid w:val="002417F7"/>
    <w:rsid w:val="00246F74"/>
    <w:rsid w:val="00247E65"/>
    <w:rsid w:val="00250AAC"/>
    <w:rsid w:val="0025260F"/>
    <w:rsid w:val="00256A16"/>
    <w:rsid w:val="00260510"/>
    <w:rsid w:val="002607C1"/>
    <w:rsid w:val="00260C76"/>
    <w:rsid w:val="002611F4"/>
    <w:rsid w:val="00261751"/>
    <w:rsid w:val="00263872"/>
    <w:rsid w:val="00271338"/>
    <w:rsid w:val="002728F5"/>
    <w:rsid w:val="00274C4B"/>
    <w:rsid w:val="00275419"/>
    <w:rsid w:val="00275427"/>
    <w:rsid w:val="00276243"/>
    <w:rsid w:val="002762A2"/>
    <w:rsid w:val="00276E57"/>
    <w:rsid w:val="002778B3"/>
    <w:rsid w:val="002806F4"/>
    <w:rsid w:val="00280FC8"/>
    <w:rsid w:val="00283C9E"/>
    <w:rsid w:val="00284DDA"/>
    <w:rsid w:val="00286887"/>
    <w:rsid w:val="00286F77"/>
    <w:rsid w:val="00287035"/>
    <w:rsid w:val="0028743E"/>
    <w:rsid w:val="00287CB8"/>
    <w:rsid w:val="00290004"/>
    <w:rsid w:val="00292225"/>
    <w:rsid w:val="00292315"/>
    <w:rsid w:val="00297DDD"/>
    <w:rsid w:val="002A006D"/>
    <w:rsid w:val="002A011E"/>
    <w:rsid w:val="002A2E75"/>
    <w:rsid w:val="002A319B"/>
    <w:rsid w:val="002A33E6"/>
    <w:rsid w:val="002A380B"/>
    <w:rsid w:val="002A6B37"/>
    <w:rsid w:val="002B23B2"/>
    <w:rsid w:val="002B3465"/>
    <w:rsid w:val="002B42B7"/>
    <w:rsid w:val="002B6C5C"/>
    <w:rsid w:val="002C30D9"/>
    <w:rsid w:val="002C36A7"/>
    <w:rsid w:val="002C614A"/>
    <w:rsid w:val="002C7204"/>
    <w:rsid w:val="002D10FF"/>
    <w:rsid w:val="002D396F"/>
    <w:rsid w:val="002D5603"/>
    <w:rsid w:val="002D659A"/>
    <w:rsid w:val="002E2115"/>
    <w:rsid w:val="002E6DF1"/>
    <w:rsid w:val="002F1D16"/>
    <w:rsid w:val="002F423C"/>
    <w:rsid w:val="002F77B8"/>
    <w:rsid w:val="00301504"/>
    <w:rsid w:val="00301883"/>
    <w:rsid w:val="00301F14"/>
    <w:rsid w:val="00302666"/>
    <w:rsid w:val="003026F9"/>
    <w:rsid w:val="0030290A"/>
    <w:rsid w:val="003034D5"/>
    <w:rsid w:val="00303B37"/>
    <w:rsid w:val="00304186"/>
    <w:rsid w:val="00306510"/>
    <w:rsid w:val="00306FAB"/>
    <w:rsid w:val="00307CF9"/>
    <w:rsid w:val="00310862"/>
    <w:rsid w:val="003108B8"/>
    <w:rsid w:val="003110CA"/>
    <w:rsid w:val="003162DA"/>
    <w:rsid w:val="0032150F"/>
    <w:rsid w:val="00321C16"/>
    <w:rsid w:val="0032264B"/>
    <w:rsid w:val="00324466"/>
    <w:rsid w:val="00325818"/>
    <w:rsid w:val="0032670F"/>
    <w:rsid w:val="0033113A"/>
    <w:rsid w:val="00331150"/>
    <w:rsid w:val="00331316"/>
    <w:rsid w:val="003317AB"/>
    <w:rsid w:val="00332BBE"/>
    <w:rsid w:val="003364BA"/>
    <w:rsid w:val="00336A90"/>
    <w:rsid w:val="00337679"/>
    <w:rsid w:val="00337A95"/>
    <w:rsid w:val="00340DA0"/>
    <w:rsid w:val="0034106E"/>
    <w:rsid w:val="00342F7A"/>
    <w:rsid w:val="00343619"/>
    <w:rsid w:val="0034372B"/>
    <w:rsid w:val="00346F43"/>
    <w:rsid w:val="003475EA"/>
    <w:rsid w:val="00352E58"/>
    <w:rsid w:val="003561BB"/>
    <w:rsid w:val="00356EA8"/>
    <w:rsid w:val="00357A53"/>
    <w:rsid w:val="00361845"/>
    <w:rsid w:val="00362DD0"/>
    <w:rsid w:val="003630AA"/>
    <w:rsid w:val="00365537"/>
    <w:rsid w:val="0036571B"/>
    <w:rsid w:val="00367B89"/>
    <w:rsid w:val="0037333F"/>
    <w:rsid w:val="00373DCC"/>
    <w:rsid w:val="0037458B"/>
    <w:rsid w:val="00376C50"/>
    <w:rsid w:val="00380769"/>
    <w:rsid w:val="003809B8"/>
    <w:rsid w:val="003911D8"/>
    <w:rsid w:val="00392128"/>
    <w:rsid w:val="003925B0"/>
    <w:rsid w:val="00392E23"/>
    <w:rsid w:val="0039357A"/>
    <w:rsid w:val="00394EB0"/>
    <w:rsid w:val="00395358"/>
    <w:rsid w:val="0039646A"/>
    <w:rsid w:val="003A0229"/>
    <w:rsid w:val="003A20B8"/>
    <w:rsid w:val="003A4A0B"/>
    <w:rsid w:val="003A5EA2"/>
    <w:rsid w:val="003A6FFB"/>
    <w:rsid w:val="003A71A4"/>
    <w:rsid w:val="003B1C28"/>
    <w:rsid w:val="003B630F"/>
    <w:rsid w:val="003B6A66"/>
    <w:rsid w:val="003B70C1"/>
    <w:rsid w:val="003B7263"/>
    <w:rsid w:val="003C1673"/>
    <w:rsid w:val="003C1EB7"/>
    <w:rsid w:val="003C39C4"/>
    <w:rsid w:val="003C5209"/>
    <w:rsid w:val="003C7B3B"/>
    <w:rsid w:val="003D26E2"/>
    <w:rsid w:val="003D282E"/>
    <w:rsid w:val="003D65D6"/>
    <w:rsid w:val="003E22CE"/>
    <w:rsid w:val="003E6811"/>
    <w:rsid w:val="003E719E"/>
    <w:rsid w:val="003E753C"/>
    <w:rsid w:val="003E7CB0"/>
    <w:rsid w:val="003F0E54"/>
    <w:rsid w:val="003F3FCB"/>
    <w:rsid w:val="003F419A"/>
    <w:rsid w:val="003F6C47"/>
    <w:rsid w:val="00403A6B"/>
    <w:rsid w:val="00405D5B"/>
    <w:rsid w:val="004065D0"/>
    <w:rsid w:val="00410412"/>
    <w:rsid w:val="00411ED1"/>
    <w:rsid w:val="00421430"/>
    <w:rsid w:val="00422026"/>
    <w:rsid w:val="0042343B"/>
    <w:rsid w:val="00424852"/>
    <w:rsid w:val="0042700F"/>
    <w:rsid w:val="004316A0"/>
    <w:rsid w:val="00431A03"/>
    <w:rsid w:val="0043335D"/>
    <w:rsid w:val="00434563"/>
    <w:rsid w:val="0043563C"/>
    <w:rsid w:val="004362DF"/>
    <w:rsid w:val="0044036B"/>
    <w:rsid w:val="004420CB"/>
    <w:rsid w:val="004437AF"/>
    <w:rsid w:val="004440BC"/>
    <w:rsid w:val="00444821"/>
    <w:rsid w:val="00447CA3"/>
    <w:rsid w:val="00450FD3"/>
    <w:rsid w:val="0045116C"/>
    <w:rsid w:val="0045200B"/>
    <w:rsid w:val="00455996"/>
    <w:rsid w:val="00455A48"/>
    <w:rsid w:val="00456672"/>
    <w:rsid w:val="0045710B"/>
    <w:rsid w:val="00462AA9"/>
    <w:rsid w:val="00463647"/>
    <w:rsid w:val="004637EE"/>
    <w:rsid w:val="00463D59"/>
    <w:rsid w:val="004641F9"/>
    <w:rsid w:val="00467EFB"/>
    <w:rsid w:val="00472626"/>
    <w:rsid w:val="004727DE"/>
    <w:rsid w:val="00473DBA"/>
    <w:rsid w:val="00475AF8"/>
    <w:rsid w:val="004761F8"/>
    <w:rsid w:val="00480688"/>
    <w:rsid w:val="00480CA4"/>
    <w:rsid w:val="00483C1F"/>
    <w:rsid w:val="00484C40"/>
    <w:rsid w:val="00485215"/>
    <w:rsid w:val="00486C07"/>
    <w:rsid w:val="0049044E"/>
    <w:rsid w:val="004908AA"/>
    <w:rsid w:val="004929EF"/>
    <w:rsid w:val="0049312D"/>
    <w:rsid w:val="004931C3"/>
    <w:rsid w:val="00494E88"/>
    <w:rsid w:val="00495415"/>
    <w:rsid w:val="00496AAE"/>
    <w:rsid w:val="004A0EE5"/>
    <w:rsid w:val="004A756D"/>
    <w:rsid w:val="004A79C2"/>
    <w:rsid w:val="004B1511"/>
    <w:rsid w:val="004B1B2D"/>
    <w:rsid w:val="004B1CE4"/>
    <w:rsid w:val="004B2CEC"/>
    <w:rsid w:val="004B3CC8"/>
    <w:rsid w:val="004B5C5B"/>
    <w:rsid w:val="004B5CE2"/>
    <w:rsid w:val="004C04A8"/>
    <w:rsid w:val="004C21AA"/>
    <w:rsid w:val="004C5EF7"/>
    <w:rsid w:val="004C6F7D"/>
    <w:rsid w:val="004C7672"/>
    <w:rsid w:val="004D130B"/>
    <w:rsid w:val="004D2F6A"/>
    <w:rsid w:val="004D42AF"/>
    <w:rsid w:val="004D4C98"/>
    <w:rsid w:val="004D5647"/>
    <w:rsid w:val="004D6BA8"/>
    <w:rsid w:val="004E00E8"/>
    <w:rsid w:val="004E05E5"/>
    <w:rsid w:val="004E10E8"/>
    <w:rsid w:val="004E1917"/>
    <w:rsid w:val="004F14AC"/>
    <w:rsid w:val="004F6316"/>
    <w:rsid w:val="004F718A"/>
    <w:rsid w:val="0050033A"/>
    <w:rsid w:val="0050100F"/>
    <w:rsid w:val="00507661"/>
    <w:rsid w:val="005078F5"/>
    <w:rsid w:val="00510956"/>
    <w:rsid w:val="0051488A"/>
    <w:rsid w:val="0051652C"/>
    <w:rsid w:val="00517ED9"/>
    <w:rsid w:val="00517F06"/>
    <w:rsid w:val="00520367"/>
    <w:rsid w:val="00520EFF"/>
    <w:rsid w:val="00521458"/>
    <w:rsid w:val="00522107"/>
    <w:rsid w:val="005232AB"/>
    <w:rsid w:val="00523415"/>
    <w:rsid w:val="005245AF"/>
    <w:rsid w:val="00526794"/>
    <w:rsid w:val="00527149"/>
    <w:rsid w:val="00537047"/>
    <w:rsid w:val="00540D45"/>
    <w:rsid w:val="005419B2"/>
    <w:rsid w:val="005425FA"/>
    <w:rsid w:val="00546407"/>
    <w:rsid w:val="00551120"/>
    <w:rsid w:val="005515F1"/>
    <w:rsid w:val="00551D80"/>
    <w:rsid w:val="005525A6"/>
    <w:rsid w:val="00553C33"/>
    <w:rsid w:val="00553E9B"/>
    <w:rsid w:val="005552D8"/>
    <w:rsid w:val="0055625B"/>
    <w:rsid w:val="005625B2"/>
    <w:rsid w:val="00563257"/>
    <w:rsid w:val="00563B92"/>
    <w:rsid w:val="00563EFE"/>
    <w:rsid w:val="00567815"/>
    <w:rsid w:val="00567EC3"/>
    <w:rsid w:val="00571214"/>
    <w:rsid w:val="005736D5"/>
    <w:rsid w:val="00573FC9"/>
    <w:rsid w:val="00574485"/>
    <w:rsid w:val="005745A0"/>
    <w:rsid w:val="00576008"/>
    <w:rsid w:val="005766E0"/>
    <w:rsid w:val="00577410"/>
    <w:rsid w:val="005807AB"/>
    <w:rsid w:val="00581B42"/>
    <w:rsid w:val="005863CA"/>
    <w:rsid w:val="00590A30"/>
    <w:rsid w:val="005923A5"/>
    <w:rsid w:val="005A1B5A"/>
    <w:rsid w:val="005A1E02"/>
    <w:rsid w:val="005A323D"/>
    <w:rsid w:val="005A34B8"/>
    <w:rsid w:val="005A39A5"/>
    <w:rsid w:val="005A430F"/>
    <w:rsid w:val="005A4FA8"/>
    <w:rsid w:val="005A5F7A"/>
    <w:rsid w:val="005B0036"/>
    <w:rsid w:val="005B466D"/>
    <w:rsid w:val="005B6C1C"/>
    <w:rsid w:val="005B7A4F"/>
    <w:rsid w:val="005B7B3E"/>
    <w:rsid w:val="005B7FDA"/>
    <w:rsid w:val="005C0828"/>
    <w:rsid w:val="005C292B"/>
    <w:rsid w:val="005C3F83"/>
    <w:rsid w:val="005C713C"/>
    <w:rsid w:val="005D0963"/>
    <w:rsid w:val="005D3C38"/>
    <w:rsid w:val="005D3F56"/>
    <w:rsid w:val="005D4A80"/>
    <w:rsid w:val="005D550D"/>
    <w:rsid w:val="005D587B"/>
    <w:rsid w:val="005D67ED"/>
    <w:rsid w:val="005D79EF"/>
    <w:rsid w:val="005E1391"/>
    <w:rsid w:val="005E2493"/>
    <w:rsid w:val="005E3235"/>
    <w:rsid w:val="005E4362"/>
    <w:rsid w:val="005E438F"/>
    <w:rsid w:val="005E4D9D"/>
    <w:rsid w:val="005E5176"/>
    <w:rsid w:val="005E5443"/>
    <w:rsid w:val="005E6029"/>
    <w:rsid w:val="005E645C"/>
    <w:rsid w:val="005E76B2"/>
    <w:rsid w:val="005F006C"/>
    <w:rsid w:val="005F0A2E"/>
    <w:rsid w:val="005F1234"/>
    <w:rsid w:val="005F2201"/>
    <w:rsid w:val="005F54CF"/>
    <w:rsid w:val="005F59CF"/>
    <w:rsid w:val="005F5F7E"/>
    <w:rsid w:val="005F78B0"/>
    <w:rsid w:val="005F7CE3"/>
    <w:rsid w:val="00600BBA"/>
    <w:rsid w:val="0060164D"/>
    <w:rsid w:val="006018D9"/>
    <w:rsid w:val="00601DF5"/>
    <w:rsid w:val="00603DE1"/>
    <w:rsid w:val="006051F8"/>
    <w:rsid w:val="006072E5"/>
    <w:rsid w:val="00607CEC"/>
    <w:rsid w:val="00607E42"/>
    <w:rsid w:val="00610982"/>
    <w:rsid w:val="006127AE"/>
    <w:rsid w:val="00612871"/>
    <w:rsid w:val="00612C73"/>
    <w:rsid w:val="00615117"/>
    <w:rsid w:val="00615C10"/>
    <w:rsid w:val="00615E10"/>
    <w:rsid w:val="00617426"/>
    <w:rsid w:val="006245B5"/>
    <w:rsid w:val="00626559"/>
    <w:rsid w:val="006268CB"/>
    <w:rsid w:val="00627E4E"/>
    <w:rsid w:val="006304BE"/>
    <w:rsid w:val="00631104"/>
    <w:rsid w:val="00631EC0"/>
    <w:rsid w:val="0063229D"/>
    <w:rsid w:val="00632946"/>
    <w:rsid w:val="00633692"/>
    <w:rsid w:val="00634698"/>
    <w:rsid w:val="0063569E"/>
    <w:rsid w:val="00637083"/>
    <w:rsid w:val="006419B2"/>
    <w:rsid w:val="006422DB"/>
    <w:rsid w:val="0064409E"/>
    <w:rsid w:val="0064478A"/>
    <w:rsid w:val="00645199"/>
    <w:rsid w:val="006462C5"/>
    <w:rsid w:val="00646A1F"/>
    <w:rsid w:val="00652574"/>
    <w:rsid w:val="006526EB"/>
    <w:rsid w:val="00652BDD"/>
    <w:rsid w:val="006530D1"/>
    <w:rsid w:val="006541EB"/>
    <w:rsid w:val="00655FD4"/>
    <w:rsid w:val="00656B19"/>
    <w:rsid w:val="00657BD1"/>
    <w:rsid w:val="0066090E"/>
    <w:rsid w:val="00661E25"/>
    <w:rsid w:val="00663AF9"/>
    <w:rsid w:val="0066517A"/>
    <w:rsid w:val="0066662E"/>
    <w:rsid w:val="00670667"/>
    <w:rsid w:val="00670F22"/>
    <w:rsid w:val="006712A5"/>
    <w:rsid w:val="0067241B"/>
    <w:rsid w:val="00672D3B"/>
    <w:rsid w:val="006743D7"/>
    <w:rsid w:val="00675831"/>
    <w:rsid w:val="0067635C"/>
    <w:rsid w:val="006765FB"/>
    <w:rsid w:val="00684519"/>
    <w:rsid w:val="0068606B"/>
    <w:rsid w:val="0069032B"/>
    <w:rsid w:val="00690362"/>
    <w:rsid w:val="00690C41"/>
    <w:rsid w:val="0069235A"/>
    <w:rsid w:val="00695133"/>
    <w:rsid w:val="006956AD"/>
    <w:rsid w:val="00696650"/>
    <w:rsid w:val="006A09FA"/>
    <w:rsid w:val="006A5244"/>
    <w:rsid w:val="006A52E1"/>
    <w:rsid w:val="006A7F19"/>
    <w:rsid w:val="006B4232"/>
    <w:rsid w:val="006B44F4"/>
    <w:rsid w:val="006B619B"/>
    <w:rsid w:val="006B65B6"/>
    <w:rsid w:val="006B76FC"/>
    <w:rsid w:val="006B7A68"/>
    <w:rsid w:val="006C27EA"/>
    <w:rsid w:val="006C6633"/>
    <w:rsid w:val="006C796F"/>
    <w:rsid w:val="006D2B7B"/>
    <w:rsid w:val="006D587A"/>
    <w:rsid w:val="006D5A20"/>
    <w:rsid w:val="006D65B1"/>
    <w:rsid w:val="006E015F"/>
    <w:rsid w:val="006E0461"/>
    <w:rsid w:val="006E1400"/>
    <w:rsid w:val="006E20D2"/>
    <w:rsid w:val="006E319B"/>
    <w:rsid w:val="006E40E2"/>
    <w:rsid w:val="006E4709"/>
    <w:rsid w:val="006E63B4"/>
    <w:rsid w:val="006E6D15"/>
    <w:rsid w:val="006E7863"/>
    <w:rsid w:val="006F20F5"/>
    <w:rsid w:val="006F2784"/>
    <w:rsid w:val="006F2E35"/>
    <w:rsid w:val="006F2FC8"/>
    <w:rsid w:val="006F4EB1"/>
    <w:rsid w:val="006F5412"/>
    <w:rsid w:val="006F5BE7"/>
    <w:rsid w:val="006F75F4"/>
    <w:rsid w:val="007001AF"/>
    <w:rsid w:val="0070072B"/>
    <w:rsid w:val="00701FAB"/>
    <w:rsid w:val="00702510"/>
    <w:rsid w:val="007056AC"/>
    <w:rsid w:val="007104B6"/>
    <w:rsid w:val="0071116F"/>
    <w:rsid w:val="00713966"/>
    <w:rsid w:val="00714417"/>
    <w:rsid w:val="00716203"/>
    <w:rsid w:val="0071648E"/>
    <w:rsid w:val="00716506"/>
    <w:rsid w:val="00717F9E"/>
    <w:rsid w:val="00723CCC"/>
    <w:rsid w:val="00730B60"/>
    <w:rsid w:val="00735BE4"/>
    <w:rsid w:val="00736B9B"/>
    <w:rsid w:val="00740D53"/>
    <w:rsid w:val="00740DA4"/>
    <w:rsid w:val="00741F5E"/>
    <w:rsid w:val="00742BF8"/>
    <w:rsid w:val="00745924"/>
    <w:rsid w:val="00745951"/>
    <w:rsid w:val="007502C9"/>
    <w:rsid w:val="00752832"/>
    <w:rsid w:val="007528CE"/>
    <w:rsid w:val="0075524C"/>
    <w:rsid w:val="007606AC"/>
    <w:rsid w:val="00760E35"/>
    <w:rsid w:val="0076345B"/>
    <w:rsid w:val="00763ADF"/>
    <w:rsid w:val="00764564"/>
    <w:rsid w:val="0076545D"/>
    <w:rsid w:val="007657B1"/>
    <w:rsid w:val="00765D32"/>
    <w:rsid w:val="00765F83"/>
    <w:rsid w:val="00766380"/>
    <w:rsid w:val="007729DB"/>
    <w:rsid w:val="00772C62"/>
    <w:rsid w:val="00773FAC"/>
    <w:rsid w:val="0077453E"/>
    <w:rsid w:val="00774A18"/>
    <w:rsid w:val="007750DE"/>
    <w:rsid w:val="00775735"/>
    <w:rsid w:val="0077624C"/>
    <w:rsid w:val="0077685A"/>
    <w:rsid w:val="00777758"/>
    <w:rsid w:val="007804A8"/>
    <w:rsid w:val="007807AD"/>
    <w:rsid w:val="00780DDD"/>
    <w:rsid w:val="007829E3"/>
    <w:rsid w:val="00782EE2"/>
    <w:rsid w:val="0078382E"/>
    <w:rsid w:val="00786679"/>
    <w:rsid w:val="007874FB"/>
    <w:rsid w:val="00792CEE"/>
    <w:rsid w:val="007947F1"/>
    <w:rsid w:val="00794C49"/>
    <w:rsid w:val="007956CC"/>
    <w:rsid w:val="00797064"/>
    <w:rsid w:val="007A1CAA"/>
    <w:rsid w:val="007A456C"/>
    <w:rsid w:val="007A571B"/>
    <w:rsid w:val="007A6AC0"/>
    <w:rsid w:val="007A73DC"/>
    <w:rsid w:val="007B1042"/>
    <w:rsid w:val="007B1479"/>
    <w:rsid w:val="007B1DF6"/>
    <w:rsid w:val="007B248C"/>
    <w:rsid w:val="007B39BD"/>
    <w:rsid w:val="007B3CE9"/>
    <w:rsid w:val="007B4603"/>
    <w:rsid w:val="007B6A52"/>
    <w:rsid w:val="007B7294"/>
    <w:rsid w:val="007B79EE"/>
    <w:rsid w:val="007C1211"/>
    <w:rsid w:val="007C3D1A"/>
    <w:rsid w:val="007C3D5D"/>
    <w:rsid w:val="007C4B58"/>
    <w:rsid w:val="007C6099"/>
    <w:rsid w:val="007C6774"/>
    <w:rsid w:val="007D0CC8"/>
    <w:rsid w:val="007D1527"/>
    <w:rsid w:val="007D359B"/>
    <w:rsid w:val="007D55BD"/>
    <w:rsid w:val="007D6492"/>
    <w:rsid w:val="007E1677"/>
    <w:rsid w:val="007E2191"/>
    <w:rsid w:val="007E6795"/>
    <w:rsid w:val="007F02BB"/>
    <w:rsid w:val="007F118F"/>
    <w:rsid w:val="007F2A7B"/>
    <w:rsid w:val="007F3FED"/>
    <w:rsid w:val="007F4A75"/>
    <w:rsid w:val="007F7116"/>
    <w:rsid w:val="007F7733"/>
    <w:rsid w:val="007F7843"/>
    <w:rsid w:val="00800DB1"/>
    <w:rsid w:val="008010FD"/>
    <w:rsid w:val="008019B4"/>
    <w:rsid w:val="00805FE1"/>
    <w:rsid w:val="00806CBA"/>
    <w:rsid w:val="008108CC"/>
    <w:rsid w:val="0081569A"/>
    <w:rsid w:val="00820164"/>
    <w:rsid w:val="00821C85"/>
    <w:rsid w:val="008229ED"/>
    <w:rsid w:val="00822ABB"/>
    <w:rsid w:val="008241F1"/>
    <w:rsid w:val="0082479A"/>
    <w:rsid w:val="008255ED"/>
    <w:rsid w:val="008273EA"/>
    <w:rsid w:val="008275B7"/>
    <w:rsid w:val="00831877"/>
    <w:rsid w:val="008323E2"/>
    <w:rsid w:val="00832BE5"/>
    <w:rsid w:val="00833A7C"/>
    <w:rsid w:val="00836A62"/>
    <w:rsid w:val="00836A9D"/>
    <w:rsid w:val="00837BD2"/>
    <w:rsid w:val="0084029A"/>
    <w:rsid w:val="00840A74"/>
    <w:rsid w:val="00841F36"/>
    <w:rsid w:val="00842C8E"/>
    <w:rsid w:val="008450A9"/>
    <w:rsid w:val="0085033F"/>
    <w:rsid w:val="008515F1"/>
    <w:rsid w:val="008519F0"/>
    <w:rsid w:val="00851E8A"/>
    <w:rsid w:val="00854C44"/>
    <w:rsid w:val="00855480"/>
    <w:rsid w:val="00860F43"/>
    <w:rsid w:val="00861DF0"/>
    <w:rsid w:val="0086226C"/>
    <w:rsid w:val="0086427A"/>
    <w:rsid w:val="00865267"/>
    <w:rsid w:val="00866528"/>
    <w:rsid w:val="008670D2"/>
    <w:rsid w:val="00872ACF"/>
    <w:rsid w:val="008732A1"/>
    <w:rsid w:val="00882547"/>
    <w:rsid w:val="00882822"/>
    <w:rsid w:val="00883010"/>
    <w:rsid w:val="008833D0"/>
    <w:rsid w:val="00884902"/>
    <w:rsid w:val="00885228"/>
    <w:rsid w:val="00886D05"/>
    <w:rsid w:val="00886EA1"/>
    <w:rsid w:val="00887425"/>
    <w:rsid w:val="008900EC"/>
    <w:rsid w:val="00890661"/>
    <w:rsid w:val="00893B66"/>
    <w:rsid w:val="00894845"/>
    <w:rsid w:val="00894916"/>
    <w:rsid w:val="00895096"/>
    <w:rsid w:val="008967B5"/>
    <w:rsid w:val="008975D9"/>
    <w:rsid w:val="008A1947"/>
    <w:rsid w:val="008A28A6"/>
    <w:rsid w:val="008A3758"/>
    <w:rsid w:val="008A5C80"/>
    <w:rsid w:val="008A6BB2"/>
    <w:rsid w:val="008B059C"/>
    <w:rsid w:val="008B0EB2"/>
    <w:rsid w:val="008B176E"/>
    <w:rsid w:val="008B1E7E"/>
    <w:rsid w:val="008B3318"/>
    <w:rsid w:val="008B3AD5"/>
    <w:rsid w:val="008B6964"/>
    <w:rsid w:val="008C1609"/>
    <w:rsid w:val="008C1CA0"/>
    <w:rsid w:val="008C5304"/>
    <w:rsid w:val="008C6DF4"/>
    <w:rsid w:val="008D1CF7"/>
    <w:rsid w:val="008D3265"/>
    <w:rsid w:val="008D4003"/>
    <w:rsid w:val="008D4451"/>
    <w:rsid w:val="008D5674"/>
    <w:rsid w:val="008D5726"/>
    <w:rsid w:val="008D7D74"/>
    <w:rsid w:val="008E0E7D"/>
    <w:rsid w:val="008E2110"/>
    <w:rsid w:val="008E33CD"/>
    <w:rsid w:val="008F3FE1"/>
    <w:rsid w:val="008F50CB"/>
    <w:rsid w:val="008F5738"/>
    <w:rsid w:val="008F66D4"/>
    <w:rsid w:val="008F73F2"/>
    <w:rsid w:val="008F7DB9"/>
    <w:rsid w:val="00902AA4"/>
    <w:rsid w:val="009031B2"/>
    <w:rsid w:val="00903DA5"/>
    <w:rsid w:val="00904CAC"/>
    <w:rsid w:val="009073D2"/>
    <w:rsid w:val="00907466"/>
    <w:rsid w:val="00907617"/>
    <w:rsid w:val="00910657"/>
    <w:rsid w:val="009136F6"/>
    <w:rsid w:val="00914CA9"/>
    <w:rsid w:val="0091598B"/>
    <w:rsid w:val="009164A8"/>
    <w:rsid w:val="00920428"/>
    <w:rsid w:val="009215EC"/>
    <w:rsid w:val="00922496"/>
    <w:rsid w:val="009235D5"/>
    <w:rsid w:val="0092383A"/>
    <w:rsid w:val="009238E8"/>
    <w:rsid w:val="00923D83"/>
    <w:rsid w:val="0092563F"/>
    <w:rsid w:val="00927E52"/>
    <w:rsid w:val="0093437D"/>
    <w:rsid w:val="009343DD"/>
    <w:rsid w:val="00936441"/>
    <w:rsid w:val="00936F62"/>
    <w:rsid w:val="00937432"/>
    <w:rsid w:val="00937CCF"/>
    <w:rsid w:val="00942798"/>
    <w:rsid w:val="0094544F"/>
    <w:rsid w:val="00945ABC"/>
    <w:rsid w:val="00946719"/>
    <w:rsid w:val="00950257"/>
    <w:rsid w:val="00951573"/>
    <w:rsid w:val="00952636"/>
    <w:rsid w:val="009547F3"/>
    <w:rsid w:val="009548F7"/>
    <w:rsid w:val="009551CE"/>
    <w:rsid w:val="00956729"/>
    <w:rsid w:val="009567FC"/>
    <w:rsid w:val="00956DDB"/>
    <w:rsid w:val="00957DFA"/>
    <w:rsid w:val="009600DF"/>
    <w:rsid w:val="0096180C"/>
    <w:rsid w:val="009625C1"/>
    <w:rsid w:val="00962E3A"/>
    <w:rsid w:val="00963F5F"/>
    <w:rsid w:val="0096718E"/>
    <w:rsid w:val="00971991"/>
    <w:rsid w:val="00973F87"/>
    <w:rsid w:val="009756FC"/>
    <w:rsid w:val="00977DA0"/>
    <w:rsid w:val="00981B24"/>
    <w:rsid w:val="00982BA1"/>
    <w:rsid w:val="00986A23"/>
    <w:rsid w:val="00986C03"/>
    <w:rsid w:val="00992013"/>
    <w:rsid w:val="009922C5"/>
    <w:rsid w:val="00994BD7"/>
    <w:rsid w:val="00995F7D"/>
    <w:rsid w:val="00996053"/>
    <w:rsid w:val="0099615D"/>
    <w:rsid w:val="009967F4"/>
    <w:rsid w:val="009A1A84"/>
    <w:rsid w:val="009A2836"/>
    <w:rsid w:val="009A34F1"/>
    <w:rsid w:val="009A73D2"/>
    <w:rsid w:val="009B1E02"/>
    <w:rsid w:val="009B4DF0"/>
    <w:rsid w:val="009B5697"/>
    <w:rsid w:val="009C1F6F"/>
    <w:rsid w:val="009C68FE"/>
    <w:rsid w:val="009D061E"/>
    <w:rsid w:val="009D0B99"/>
    <w:rsid w:val="009D70E0"/>
    <w:rsid w:val="009D7C43"/>
    <w:rsid w:val="009E7FB9"/>
    <w:rsid w:val="009F0C92"/>
    <w:rsid w:val="009F0E67"/>
    <w:rsid w:val="009F2229"/>
    <w:rsid w:val="009F232B"/>
    <w:rsid w:val="009F37F5"/>
    <w:rsid w:val="009F415D"/>
    <w:rsid w:val="009F76C8"/>
    <w:rsid w:val="00A01AF0"/>
    <w:rsid w:val="00A01E77"/>
    <w:rsid w:val="00A03B16"/>
    <w:rsid w:val="00A10B05"/>
    <w:rsid w:val="00A12E2C"/>
    <w:rsid w:val="00A21B9F"/>
    <w:rsid w:val="00A21E50"/>
    <w:rsid w:val="00A25CF5"/>
    <w:rsid w:val="00A26AF8"/>
    <w:rsid w:val="00A3031B"/>
    <w:rsid w:val="00A30881"/>
    <w:rsid w:val="00A30CD4"/>
    <w:rsid w:val="00A326BB"/>
    <w:rsid w:val="00A34D0A"/>
    <w:rsid w:val="00A36942"/>
    <w:rsid w:val="00A37D61"/>
    <w:rsid w:val="00A40C01"/>
    <w:rsid w:val="00A43140"/>
    <w:rsid w:val="00A4432B"/>
    <w:rsid w:val="00A444D5"/>
    <w:rsid w:val="00A51CA0"/>
    <w:rsid w:val="00A51E8C"/>
    <w:rsid w:val="00A529B2"/>
    <w:rsid w:val="00A53A83"/>
    <w:rsid w:val="00A5594D"/>
    <w:rsid w:val="00A55D46"/>
    <w:rsid w:val="00A56834"/>
    <w:rsid w:val="00A579F7"/>
    <w:rsid w:val="00A62C41"/>
    <w:rsid w:val="00A65889"/>
    <w:rsid w:val="00A70970"/>
    <w:rsid w:val="00A71FD4"/>
    <w:rsid w:val="00A75AC0"/>
    <w:rsid w:val="00A763E6"/>
    <w:rsid w:val="00A76FFA"/>
    <w:rsid w:val="00A80DA5"/>
    <w:rsid w:val="00A8264C"/>
    <w:rsid w:val="00A827C7"/>
    <w:rsid w:val="00A84FBE"/>
    <w:rsid w:val="00A8583E"/>
    <w:rsid w:val="00A85C62"/>
    <w:rsid w:val="00A873E2"/>
    <w:rsid w:val="00A93341"/>
    <w:rsid w:val="00A93CBE"/>
    <w:rsid w:val="00A94C07"/>
    <w:rsid w:val="00A9506A"/>
    <w:rsid w:val="00AA07D7"/>
    <w:rsid w:val="00AA0D71"/>
    <w:rsid w:val="00AA2EF7"/>
    <w:rsid w:val="00AA3E3D"/>
    <w:rsid w:val="00AA4017"/>
    <w:rsid w:val="00AA47A6"/>
    <w:rsid w:val="00AA51DC"/>
    <w:rsid w:val="00AA6152"/>
    <w:rsid w:val="00AA632D"/>
    <w:rsid w:val="00AA6797"/>
    <w:rsid w:val="00AB31FC"/>
    <w:rsid w:val="00AB325E"/>
    <w:rsid w:val="00AB380C"/>
    <w:rsid w:val="00AB3A01"/>
    <w:rsid w:val="00AB7595"/>
    <w:rsid w:val="00AC0606"/>
    <w:rsid w:val="00AC06E4"/>
    <w:rsid w:val="00AC08D9"/>
    <w:rsid w:val="00AC19B0"/>
    <w:rsid w:val="00AC29C6"/>
    <w:rsid w:val="00AC2FAA"/>
    <w:rsid w:val="00AD09DF"/>
    <w:rsid w:val="00AD1049"/>
    <w:rsid w:val="00AD1264"/>
    <w:rsid w:val="00AD4667"/>
    <w:rsid w:val="00AD55D8"/>
    <w:rsid w:val="00AD5C3C"/>
    <w:rsid w:val="00AD71AD"/>
    <w:rsid w:val="00AE1EF3"/>
    <w:rsid w:val="00AE27AB"/>
    <w:rsid w:val="00AE34E5"/>
    <w:rsid w:val="00AE418C"/>
    <w:rsid w:val="00AE492E"/>
    <w:rsid w:val="00AE7241"/>
    <w:rsid w:val="00AE7285"/>
    <w:rsid w:val="00AF2821"/>
    <w:rsid w:val="00AF4EAB"/>
    <w:rsid w:val="00AF61F4"/>
    <w:rsid w:val="00B02509"/>
    <w:rsid w:val="00B03622"/>
    <w:rsid w:val="00B05FDB"/>
    <w:rsid w:val="00B06C88"/>
    <w:rsid w:val="00B072EE"/>
    <w:rsid w:val="00B141A7"/>
    <w:rsid w:val="00B14BC5"/>
    <w:rsid w:val="00B15B7E"/>
    <w:rsid w:val="00B16145"/>
    <w:rsid w:val="00B17C32"/>
    <w:rsid w:val="00B17DA8"/>
    <w:rsid w:val="00B20C2C"/>
    <w:rsid w:val="00B216B9"/>
    <w:rsid w:val="00B22A7A"/>
    <w:rsid w:val="00B23173"/>
    <w:rsid w:val="00B24801"/>
    <w:rsid w:val="00B30888"/>
    <w:rsid w:val="00B30E66"/>
    <w:rsid w:val="00B31A4E"/>
    <w:rsid w:val="00B31D94"/>
    <w:rsid w:val="00B32043"/>
    <w:rsid w:val="00B350CE"/>
    <w:rsid w:val="00B37C69"/>
    <w:rsid w:val="00B41496"/>
    <w:rsid w:val="00B427EF"/>
    <w:rsid w:val="00B42C23"/>
    <w:rsid w:val="00B44BB0"/>
    <w:rsid w:val="00B44E85"/>
    <w:rsid w:val="00B4504B"/>
    <w:rsid w:val="00B50DCA"/>
    <w:rsid w:val="00B528EC"/>
    <w:rsid w:val="00B550D2"/>
    <w:rsid w:val="00B621B2"/>
    <w:rsid w:val="00B65AAD"/>
    <w:rsid w:val="00B67EAE"/>
    <w:rsid w:val="00B70159"/>
    <w:rsid w:val="00B70CB6"/>
    <w:rsid w:val="00B71530"/>
    <w:rsid w:val="00B71F18"/>
    <w:rsid w:val="00B73631"/>
    <w:rsid w:val="00B73749"/>
    <w:rsid w:val="00B7432A"/>
    <w:rsid w:val="00B744B6"/>
    <w:rsid w:val="00B75D89"/>
    <w:rsid w:val="00B76820"/>
    <w:rsid w:val="00B80689"/>
    <w:rsid w:val="00B806A0"/>
    <w:rsid w:val="00B81576"/>
    <w:rsid w:val="00B86C79"/>
    <w:rsid w:val="00B90216"/>
    <w:rsid w:val="00B906DF"/>
    <w:rsid w:val="00B9340D"/>
    <w:rsid w:val="00B93DE1"/>
    <w:rsid w:val="00B941FE"/>
    <w:rsid w:val="00B94232"/>
    <w:rsid w:val="00B96CF0"/>
    <w:rsid w:val="00B97703"/>
    <w:rsid w:val="00BA0074"/>
    <w:rsid w:val="00BA0C76"/>
    <w:rsid w:val="00BA0E05"/>
    <w:rsid w:val="00BA166F"/>
    <w:rsid w:val="00BA2300"/>
    <w:rsid w:val="00BA4C40"/>
    <w:rsid w:val="00BA7228"/>
    <w:rsid w:val="00BB0137"/>
    <w:rsid w:val="00BB1556"/>
    <w:rsid w:val="00BB2781"/>
    <w:rsid w:val="00BC01D1"/>
    <w:rsid w:val="00BC0A8B"/>
    <w:rsid w:val="00BC67D9"/>
    <w:rsid w:val="00BC7800"/>
    <w:rsid w:val="00BD08AE"/>
    <w:rsid w:val="00BD61BF"/>
    <w:rsid w:val="00BD6451"/>
    <w:rsid w:val="00BD7CEA"/>
    <w:rsid w:val="00BE1B5F"/>
    <w:rsid w:val="00BE26A5"/>
    <w:rsid w:val="00BE403B"/>
    <w:rsid w:val="00BE57E3"/>
    <w:rsid w:val="00BE5B67"/>
    <w:rsid w:val="00BF0C18"/>
    <w:rsid w:val="00BF2615"/>
    <w:rsid w:val="00BF3068"/>
    <w:rsid w:val="00BF3350"/>
    <w:rsid w:val="00BF49C9"/>
    <w:rsid w:val="00BF5495"/>
    <w:rsid w:val="00BF56C7"/>
    <w:rsid w:val="00BF6B51"/>
    <w:rsid w:val="00C00643"/>
    <w:rsid w:val="00C00BDF"/>
    <w:rsid w:val="00C00F44"/>
    <w:rsid w:val="00C02EC4"/>
    <w:rsid w:val="00C036D4"/>
    <w:rsid w:val="00C04119"/>
    <w:rsid w:val="00C0439A"/>
    <w:rsid w:val="00C07226"/>
    <w:rsid w:val="00C1140E"/>
    <w:rsid w:val="00C12AB6"/>
    <w:rsid w:val="00C136FE"/>
    <w:rsid w:val="00C138A3"/>
    <w:rsid w:val="00C15A07"/>
    <w:rsid w:val="00C16970"/>
    <w:rsid w:val="00C16EDE"/>
    <w:rsid w:val="00C1700C"/>
    <w:rsid w:val="00C2108C"/>
    <w:rsid w:val="00C22C1B"/>
    <w:rsid w:val="00C23296"/>
    <w:rsid w:val="00C24BC5"/>
    <w:rsid w:val="00C3017C"/>
    <w:rsid w:val="00C3056A"/>
    <w:rsid w:val="00C327DF"/>
    <w:rsid w:val="00C3317B"/>
    <w:rsid w:val="00C33EBD"/>
    <w:rsid w:val="00C349F0"/>
    <w:rsid w:val="00C34B8F"/>
    <w:rsid w:val="00C34F44"/>
    <w:rsid w:val="00C363D2"/>
    <w:rsid w:val="00C36451"/>
    <w:rsid w:val="00C371BD"/>
    <w:rsid w:val="00C37FEA"/>
    <w:rsid w:val="00C4047E"/>
    <w:rsid w:val="00C4128A"/>
    <w:rsid w:val="00C4152C"/>
    <w:rsid w:val="00C42FAE"/>
    <w:rsid w:val="00C43219"/>
    <w:rsid w:val="00C43392"/>
    <w:rsid w:val="00C43E5C"/>
    <w:rsid w:val="00C45BF4"/>
    <w:rsid w:val="00C475EE"/>
    <w:rsid w:val="00C47B8D"/>
    <w:rsid w:val="00C511A2"/>
    <w:rsid w:val="00C5215E"/>
    <w:rsid w:val="00C54A7D"/>
    <w:rsid w:val="00C54B6E"/>
    <w:rsid w:val="00C561EF"/>
    <w:rsid w:val="00C56469"/>
    <w:rsid w:val="00C56B7A"/>
    <w:rsid w:val="00C578FA"/>
    <w:rsid w:val="00C61AFA"/>
    <w:rsid w:val="00C6275F"/>
    <w:rsid w:val="00C66539"/>
    <w:rsid w:val="00C66AD1"/>
    <w:rsid w:val="00C66F47"/>
    <w:rsid w:val="00C674DB"/>
    <w:rsid w:val="00C70569"/>
    <w:rsid w:val="00C70618"/>
    <w:rsid w:val="00C74C75"/>
    <w:rsid w:val="00C77306"/>
    <w:rsid w:val="00C82178"/>
    <w:rsid w:val="00C82188"/>
    <w:rsid w:val="00C82821"/>
    <w:rsid w:val="00C83477"/>
    <w:rsid w:val="00C8412D"/>
    <w:rsid w:val="00C85CA5"/>
    <w:rsid w:val="00C85DDF"/>
    <w:rsid w:val="00C8609E"/>
    <w:rsid w:val="00C90CE8"/>
    <w:rsid w:val="00C95B52"/>
    <w:rsid w:val="00C96007"/>
    <w:rsid w:val="00C964F5"/>
    <w:rsid w:val="00C9703E"/>
    <w:rsid w:val="00CA0476"/>
    <w:rsid w:val="00CA5518"/>
    <w:rsid w:val="00CA5A53"/>
    <w:rsid w:val="00CB0F9E"/>
    <w:rsid w:val="00CB1095"/>
    <w:rsid w:val="00CB12A6"/>
    <w:rsid w:val="00CB2586"/>
    <w:rsid w:val="00CB3275"/>
    <w:rsid w:val="00CB418A"/>
    <w:rsid w:val="00CB47AA"/>
    <w:rsid w:val="00CB6684"/>
    <w:rsid w:val="00CB6771"/>
    <w:rsid w:val="00CB6A98"/>
    <w:rsid w:val="00CB6CEB"/>
    <w:rsid w:val="00CB77F5"/>
    <w:rsid w:val="00CC238B"/>
    <w:rsid w:val="00CD0036"/>
    <w:rsid w:val="00CD259C"/>
    <w:rsid w:val="00CD4C77"/>
    <w:rsid w:val="00CD6899"/>
    <w:rsid w:val="00CD7EBE"/>
    <w:rsid w:val="00CE3EDE"/>
    <w:rsid w:val="00CE49E6"/>
    <w:rsid w:val="00CE5E45"/>
    <w:rsid w:val="00CF2B2B"/>
    <w:rsid w:val="00CF2F2C"/>
    <w:rsid w:val="00CF3C9A"/>
    <w:rsid w:val="00CF79D3"/>
    <w:rsid w:val="00D00965"/>
    <w:rsid w:val="00D043EB"/>
    <w:rsid w:val="00D05751"/>
    <w:rsid w:val="00D0636B"/>
    <w:rsid w:val="00D06557"/>
    <w:rsid w:val="00D07342"/>
    <w:rsid w:val="00D07650"/>
    <w:rsid w:val="00D07AE4"/>
    <w:rsid w:val="00D10B70"/>
    <w:rsid w:val="00D16E3A"/>
    <w:rsid w:val="00D2174D"/>
    <w:rsid w:val="00D2276E"/>
    <w:rsid w:val="00D2301F"/>
    <w:rsid w:val="00D24C56"/>
    <w:rsid w:val="00D30BFA"/>
    <w:rsid w:val="00D333A8"/>
    <w:rsid w:val="00D3750D"/>
    <w:rsid w:val="00D41299"/>
    <w:rsid w:val="00D41711"/>
    <w:rsid w:val="00D422CB"/>
    <w:rsid w:val="00D42411"/>
    <w:rsid w:val="00D43E5C"/>
    <w:rsid w:val="00D45A0D"/>
    <w:rsid w:val="00D4684B"/>
    <w:rsid w:val="00D47635"/>
    <w:rsid w:val="00D47D64"/>
    <w:rsid w:val="00D5167A"/>
    <w:rsid w:val="00D52E12"/>
    <w:rsid w:val="00D542FE"/>
    <w:rsid w:val="00D5546E"/>
    <w:rsid w:val="00D56325"/>
    <w:rsid w:val="00D56BED"/>
    <w:rsid w:val="00D611FF"/>
    <w:rsid w:val="00D61D46"/>
    <w:rsid w:val="00D61F3A"/>
    <w:rsid w:val="00D64BDB"/>
    <w:rsid w:val="00D66109"/>
    <w:rsid w:val="00D66905"/>
    <w:rsid w:val="00D705D4"/>
    <w:rsid w:val="00D7254B"/>
    <w:rsid w:val="00D75112"/>
    <w:rsid w:val="00D755FF"/>
    <w:rsid w:val="00D75649"/>
    <w:rsid w:val="00D77F21"/>
    <w:rsid w:val="00D80CBC"/>
    <w:rsid w:val="00D80E1D"/>
    <w:rsid w:val="00D80ECF"/>
    <w:rsid w:val="00D8202D"/>
    <w:rsid w:val="00D82746"/>
    <w:rsid w:val="00D842EB"/>
    <w:rsid w:val="00D846FB"/>
    <w:rsid w:val="00D867F5"/>
    <w:rsid w:val="00D86B6C"/>
    <w:rsid w:val="00D913D3"/>
    <w:rsid w:val="00D91744"/>
    <w:rsid w:val="00D95CF0"/>
    <w:rsid w:val="00D95F09"/>
    <w:rsid w:val="00DA0452"/>
    <w:rsid w:val="00DA06B6"/>
    <w:rsid w:val="00DA2327"/>
    <w:rsid w:val="00DA5980"/>
    <w:rsid w:val="00DA6E03"/>
    <w:rsid w:val="00DA705C"/>
    <w:rsid w:val="00DB0749"/>
    <w:rsid w:val="00DB182B"/>
    <w:rsid w:val="00DB2F48"/>
    <w:rsid w:val="00DB430E"/>
    <w:rsid w:val="00DB4412"/>
    <w:rsid w:val="00DB4CA0"/>
    <w:rsid w:val="00DB7947"/>
    <w:rsid w:val="00DC087E"/>
    <w:rsid w:val="00DC1F02"/>
    <w:rsid w:val="00DC3B81"/>
    <w:rsid w:val="00DC4170"/>
    <w:rsid w:val="00DC4676"/>
    <w:rsid w:val="00DC552A"/>
    <w:rsid w:val="00DC6935"/>
    <w:rsid w:val="00DC75EA"/>
    <w:rsid w:val="00DD2E89"/>
    <w:rsid w:val="00DD31A0"/>
    <w:rsid w:val="00DD4A8C"/>
    <w:rsid w:val="00DD4E06"/>
    <w:rsid w:val="00DD4ED7"/>
    <w:rsid w:val="00DD5390"/>
    <w:rsid w:val="00DD5E21"/>
    <w:rsid w:val="00DE1286"/>
    <w:rsid w:val="00DE2CBC"/>
    <w:rsid w:val="00DE4326"/>
    <w:rsid w:val="00DE578A"/>
    <w:rsid w:val="00DE5E62"/>
    <w:rsid w:val="00DF4D70"/>
    <w:rsid w:val="00E005C2"/>
    <w:rsid w:val="00E01B9F"/>
    <w:rsid w:val="00E02CD1"/>
    <w:rsid w:val="00E03749"/>
    <w:rsid w:val="00E03A0C"/>
    <w:rsid w:val="00E050E7"/>
    <w:rsid w:val="00E05D3A"/>
    <w:rsid w:val="00E072A1"/>
    <w:rsid w:val="00E12433"/>
    <w:rsid w:val="00E13740"/>
    <w:rsid w:val="00E143F7"/>
    <w:rsid w:val="00E15657"/>
    <w:rsid w:val="00E17C21"/>
    <w:rsid w:val="00E21A65"/>
    <w:rsid w:val="00E24A19"/>
    <w:rsid w:val="00E260C2"/>
    <w:rsid w:val="00E33B05"/>
    <w:rsid w:val="00E36A66"/>
    <w:rsid w:val="00E372A5"/>
    <w:rsid w:val="00E40DA9"/>
    <w:rsid w:val="00E43619"/>
    <w:rsid w:val="00E44255"/>
    <w:rsid w:val="00E5027A"/>
    <w:rsid w:val="00E50B55"/>
    <w:rsid w:val="00E5247A"/>
    <w:rsid w:val="00E52968"/>
    <w:rsid w:val="00E60AD6"/>
    <w:rsid w:val="00E61184"/>
    <w:rsid w:val="00E61E1F"/>
    <w:rsid w:val="00E61EC7"/>
    <w:rsid w:val="00E630C2"/>
    <w:rsid w:val="00E64DC0"/>
    <w:rsid w:val="00E65F11"/>
    <w:rsid w:val="00E704BE"/>
    <w:rsid w:val="00E71135"/>
    <w:rsid w:val="00E72930"/>
    <w:rsid w:val="00E74503"/>
    <w:rsid w:val="00E74762"/>
    <w:rsid w:val="00E75D3E"/>
    <w:rsid w:val="00E8021D"/>
    <w:rsid w:val="00E82D53"/>
    <w:rsid w:val="00E8378C"/>
    <w:rsid w:val="00E8437D"/>
    <w:rsid w:val="00E85D2C"/>
    <w:rsid w:val="00E8606C"/>
    <w:rsid w:val="00E86866"/>
    <w:rsid w:val="00E91C14"/>
    <w:rsid w:val="00E930D2"/>
    <w:rsid w:val="00E94407"/>
    <w:rsid w:val="00E94676"/>
    <w:rsid w:val="00E9522D"/>
    <w:rsid w:val="00E96522"/>
    <w:rsid w:val="00E96AA9"/>
    <w:rsid w:val="00E97594"/>
    <w:rsid w:val="00EA0D1E"/>
    <w:rsid w:val="00EA3135"/>
    <w:rsid w:val="00EA4487"/>
    <w:rsid w:val="00EA4969"/>
    <w:rsid w:val="00EA50F9"/>
    <w:rsid w:val="00EA5CFD"/>
    <w:rsid w:val="00EA7DA4"/>
    <w:rsid w:val="00EB1F46"/>
    <w:rsid w:val="00EB22DB"/>
    <w:rsid w:val="00EB3D00"/>
    <w:rsid w:val="00EB3E5C"/>
    <w:rsid w:val="00EB41A0"/>
    <w:rsid w:val="00EB4BEC"/>
    <w:rsid w:val="00EB5A1A"/>
    <w:rsid w:val="00EB68DC"/>
    <w:rsid w:val="00EB7D69"/>
    <w:rsid w:val="00EC131B"/>
    <w:rsid w:val="00EC23D0"/>
    <w:rsid w:val="00EC3339"/>
    <w:rsid w:val="00EC37A5"/>
    <w:rsid w:val="00EC6782"/>
    <w:rsid w:val="00EC7C99"/>
    <w:rsid w:val="00ED0D59"/>
    <w:rsid w:val="00ED223C"/>
    <w:rsid w:val="00ED2E30"/>
    <w:rsid w:val="00ED35B0"/>
    <w:rsid w:val="00ED3A7A"/>
    <w:rsid w:val="00ED4A55"/>
    <w:rsid w:val="00ED6DB9"/>
    <w:rsid w:val="00ED707F"/>
    <w:rsid w:val="00ED7538"/>
    <w:rsid w:val="00EE0955"/>
    <w:rsid w:val="00EE6D0B"/>
    <w:rsid w:val="00EE6D89"/>
    <w:rsid w:val="00EF09CB"/>
    <w:rsid w:val="00EF151F"/>
    <w:rsid w:val="00EF1C66"/>
    <w:rsid w:val="00EF2CA2"/>
    <w:rsid w:val="00EF36CE"/>
    <w:rsid w:val="00EF3F12"/>
    <w:rsid w:val="00F0045A"/>
    <w:rsid w:val="00F0294F"/>
    <w:rsid w:val="00F045CA"/>
    <w:rsid w:val="00F063CB"/>
    <w:rsid w:val="00F06D42"/>
    <w:rsid w:val="00F1352C"/>
    <w:rsid w:val="00F14992"/>
    <w:rsid w:val="00F15B47"/>
    <w:rsid w:val="00F16E8C"/>
    <w:rsid w:val="00F17B6B"/>
    <w:rsid w:val="00F21212"/>
    <w:rsid w:val="00F22F57"/>
    <w:rsid w:val="00F242C1"/>
    <w:rsid w:val="00F24861"/>
    <w:rsid w:val="00F2489A"/>
    <w:rsid w:val="00F25EBF"/>
    <w:rsid w:val="00F26594"/>
    <w:rsid w:val="00F26A07"/>
    <w:rsid w:val="00F31C49"/>
    <w:rsid w:val="00F3200B"/>
    <w:rsid w:val="00F3342A"/>
    <w:rsid w:val="00F33CA1"/>
    <w:rsid w:val="00F3626C"/>
    <w:rsid w:val="00F36A98"/>
    <w:rsid w:val="00F401DB"/>
    <w:rsid w:val="00F43CB9"/>
    <w:rsid w:val="00F448D3"/>
    <w:rsid w:val="00F44B17"/>
    <w:rsid w:val="00F460BF"/>
    <w:rsid w:val="00F521B8"/>
    <w:rsid w:val="00F52664"/>
    <w:rsid w:val="00F535A4"/>
    <w:rsid w:val="00F61686"/>
    <w:rsid w:val="00F62424"/>
    <w:rsid w:val="00F6662E"/>
    <w:rsid w:val="00F66666"/>
    <w:rsid w:val="00F671A1"/>
    <w:rsid w:val="00F71096"/>
    <w:rsid w:val="00F73578"/>
    <w:rsid w:val="00F75CCC"/>
    <w:rsid w:val="00F77DDD"/>
    <w:rsid w:val="00F80434"/>
    <w:rsid w:val="00F80832"/>
    <w:rsid w:val="00F80C18"/>
    <w:rsid w:val="00F818BB"/>
    <w:rsid w:val="00F827D4"/>
    <w:rsid w:val="00F83246"/>
    <w:rsid w:val="00F84FDA"/>
    <w:rsid w:val="00F85D47"/>
    <w:rsid w:val="00F901D1"/>
    <w:rsid w:val="00F90EFA"/>
    <w:rsid w:val="00F918F8"/>
    <w:rsid w:val="00F93C52"/>
    <w:rsid w:val="00F940B7"/>
    <w:rsid w:val="00F95724"/>
    <w:rsid w:val="00F9593D"/>
    <w:rsid w:val="00F960D0"/>
    <w:rsid w:val="00F9652E"/>
    <w:rsid w:val="00F96884"/>
    <w:rsid w:val="00F97753"/>
    <w:rsid w:val="00FA1C1B"/>
    <w:rsid w:val="00FA252D"/>
    <w:rsid w:val="00FA2E3B"/>
    <w:rsid w:val="00FA7B97"/>
    <w:rsid w:val="00FA7D8B"/>
    <w:rsid w:val="00FB20F3"/>
    <w:rsid w:val="00FB2BF7"/>
    <w:rsid w:val="00FB40F9"/>
    <w:rsid w:val="00FB48B0"/>
    <w:rsid w:val="00FB4901"/>
    <w:rsid w:val="00FB4D37"/>
    <w:rsid w:val="00FB6FAE"/>
    <w:rsid w:val="00FC1FEF"/>
    <w:rsid w:val="00FC2760"/>
    <w:rsid w:val="00FC640C"/>
    <w:rsid w:val="00FC6DED"/>
    <w:rsid w:val="00FC7A21"/>
    <w:rsid w:val="00FD07DC"/>
    <w:rsid w:val="00FD3BF4"/>
    <w:rsid w:val="00FD71A1"/>
    <w:rsid w:val="00FE141A"/>
    <w:rsid w:val="00FE1953"/>
    <w:rsid w:val="00FE398B"/>
    <w:rsid w:val="00FE522A"/>
    <w:rsid w:val="00FE5D8A"/>
    <w:rsid w:val="00FE6099"/>
    <w:rsid w:val="00FE7B7B"/>
    <w:rsid w:val="00FF49E0"/>
    <w:rsid w:val="00FF50C5"/>
    <w:rsid w:val="00FF53BE"/>
    <w:rsid w:val="00FF6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94D73-7D89-45E0-A7FB-B81E6A3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9F0"/>
    <w:rPr>
      <w:sz w:val="24"/>
      <w:szCs w:val="24"/>
    </w:rPr>
  </w:style>
  <w:style w:type="paragraph" w:styleId="Naslov1">
    <w:name w:val="heading 1"/>
    <w:basedOn w:val="Navaden"/>
    <w:next w:val="Navaden"/>
    <w:qFormat/>
    <w:rsid w:val="00C349F0"/>
    <w:pPr>
      <w:keepNext/>
      <w:numPr>
        <w:numId w:val="3"/>
      </w:numPr>
      <w:outlineLvl w:val="0"/>
    </w:pPr>
    <w:rPr>
      <w:b/>
      <w:spacing w:val="26"/>
      <w:sz w:val="20"/>
    </w:rPr>
  </w:style>
  <w:style w:type="paragraph" w:styleId="Naslov2">
    <w:name w:val="heading 2"/>
    <w:basedOn w:val="Navaden"/>
    <w:next w:val="Navaden"/>
    <w:qFormat/>
    <w:rsid w:val="00C349F0"/>
    <w:pPr>
      <w:keepNext/>
      <w:numPr>
        <w:ilvl w:val="1"/>
        <w:numId w:val="3"/>
      </w:numPr>
      <w:jc w:val="both"/>
      <w:outlineLvl w:val="1"/>
    </w:pPr>
    <w:rPr>
      <w:b/>
      <w:sz w:val="20"/>
    </w:rPr>
  </w:style>
  <w:style w:type="paragraph" w:styleId="Naslov3">
    <w:name w:val="heading 3"/>
    <w:basedOn w:val="Navaden"/>
    <w:next w:val="Navaden"/>
    <w:qFormat/>
    <w:rsid w:val="00C349F0"/>
    <w:pPr>
      <w:keepNext/>
      <w:numPr>
        <w:ilvl w:val="2"/>
        <w:numId w:val="3"/>
      </w:numPr>
      <w:tabs>
        <w:tab w:val="left" w:pos="360"/>
      </w:tabs>
      <w:jc w:val="both"/>
      <w:outlineLvl w:val="2"/>
    </w:pPr>
    <w:rPr>
      <w:b/>
      <w:sz w:val="22"/>
    </w:rPr>
  </w:style>
  <w:style w:type="paragraph" w:styleId="Naslov5">
    <w:name w:val="heading 5"/>
    <w:basedOn w:val="Navaden"/>
    <w:next w:val="Navaden"/>
    <w:qFormat/>
    <w:rsid w:val="00C349F0"/>
    <w:pPr>
      <w:keepNext/>
      <w:numPr>
        <w:ilvl w:val="4"/>
        <w:numId w:val="3"/>
      </w:numPr>
      <w:jc w:val="both"/>
      <w:outlineLvl w:val="4"/>
    </w:pPr>
    <w:rPr>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349F0"/>
    <w:pPr>
      <w:widowControl w:val="0"/>
      <w:autoSpaceDE w:val="0"/>
      <w:autoSpaceDN w:val="0"/>
      <w:adjustRightInd w:val="0"/>
    </w:pPr>
    <w:rPr>
      <w:color w:val="000000"/>
      <w:sz w:val="24"/>
      <w:szCs w:val="24"/>
    </w:rPr>
  </w:style>
  <w:style w:type="paragraph" w:customStyle="1" w:styleId="CM2">
    <w:name w:val="CM2"/>
    <w:basedOn w:val="Default"/>
    <w:next w:val="Default"/>
    <w:rsid w:val="00C349F0"/>
    <w:pPr>
      <w:spacing w:line="253" w:lineRule="atLeast"/>
    </w:pPr>
    <w:rPr>
      <w:color w:val="auto"/>
    </w:rPr>
  </w:style>
  <w:style w:type="paragraph" w:customStyle="1" w:styleId="CM20">
    <w:name w:val="CM20"/>
    <w:basedOn w:val="Default"/>
    <w:next w:val="Default"/>
    <w:rsid w:val="00C349F0"/>
    <w:pPr>
      <w:spacing w:after="255"/>
    </w:pPr>
    <w:rPr>
      <w:color w:val="auto"/>
    </w:rPr>
  </w:style>
  <w:style w:type="paragraph" w:customStyle="1" w:styleId="CM19">
    <w:name w:val="CM19"/>
    <w:basedOn w:val="Default"/>
    <w:next w:val="Default"/>
    <w:rsid w:val="00C349F0"/>
    <w:pPr>
      <w:spacing w:after="495"/>
    </w:pPr>
    <w:rPr>
      <w:color w:val="auto"/>
    </w:rPr>
  </w:style>
  <w:style w:type="paragraph" w:customStyle="1" w:styleId="CM1">
    <w:name w:val="CM1"/>
    <w:basedOn w:val="Default"/>
    <w:next w:val="Default"/>
    <w:uiPriority w:val="99"/>
    <w:rsid w:val="00C349F0"/>
    <w:rPr>
      <w:color w:val="auto"/>
    </w:rPr>
  </w:style>
  <w:style w:type="paragraph" w:customStyle="1" w:styleId="CM3">
    <w:name w:val="CM3"/>
    <w:basedOn w:val="Default"/>
    <w:next w:val="Default"/>
    <w:uiPriority w:val="99"/>
    <w:rsid w:val="00C349F0"/>
    <w:pPr>
      <w:spacing w:line="256" w:lineRule="atLeast"/>
    </w:pPr>
    <w:rPr>
      <w:color w:val="auto"/>
    </w:rPr>
  </w:style>
  <w:style w:type="paragraph" w:customStyle="1" w:styleId="CM21">
    <w:name w:val="CM21"/>
    <w:basedOn w:val="Default"/>
    <w:next w:val="Default"/>
    <w:rsid w:val="00C349F0"/>
    <w:pPr>
      <w:spacing w:after="745"/>
    </w:pPr>
    <w:rPr>
      <w:color w:val="auto"/>
    </w:rPr>
  </w:style>
  <w:style w:type="paragraph" w:customStyle="1" w:styleId="CM5">
    <w:name w:val="CM5"/>
    <w:basedOn w:val="Default"/>
    <w:next w:val="Default"/>
    <w:rsid w:val="00C349F0"/>
    <w:pPr>
      <w:spacing w:line="253" w:lineRule="atLeast"/>
    </w:pPr>
    <w:rPr>
      <w:color w:val="auto"/>
    </w:rPr>
  </w:style>
  <w:style w:type="paragraph" w:customStyle="1" w:styleId="CM6">
    <w:name w:val="CM6"/>
    <w:basedOn w:val="Default"/>
    <w:next w:val="Default"/>
    <w:rsid w:val="00C349F0"/>
    <w:pPr>
      <w:spacing w:line="253" w:lineRule="atLeast"/>
    </w:pPr>
    <w:rPr>
      <w:color w:val="auto"/>
    </w:rPr>
  </w:style>
  <w:style w:type="paragraph" w:customStyle="1" w:styleId="CM7">
    <w:name w:val="CM7"/>
    <w:basedOn w:val="Default"/>
    <w:next w:val="Default"/>
    <w:rsid w:val="00C349F0"/>
    <w:pPr>
      <w:spacing w:line="253" w:lineRule="atLeast"/>
    </w:pPr>
    <w:rPr>
      <w:color w:val="auto"/>
    </w:rPr>
  </w:style>
  <w:style w:type="paragraph" w:customStyle="1" w:styleId="CM9">
    <w:name w:val="CM9"/>
    <w:basedOn w:val="Default"/>
    <w:next w:val="Default"/>
    <w:rsid w:val="00C349F0"/>
    <w:pPr>
      <w:spacing w:line="253" w:lineRule="atLeast"/>
    </w:pPr>
    <w:rPr>
      <w:color w:val="auto"/>
    </w:rPr>
  </w:style>
  <w:style w:type="paragraph" w:customStyle="1" w:styleId="CM8">
    <w:name w:val="CM8"/>
    <w:basedOn w:val="Default"/>
    <w:next w:val="Default"/>
    <w:rsid w:val="00C349F0"/>
    <w:pPr>
      <w:spacing w:line="253" w:lineRule="atLeast"/>
    </w:pPr>
    <w:rPr>
      <w:color w:val="auto"/>
    </w:rPr>
  </w:style>
  <w:style w:type="paragraph" w:customStyle="1" w:styleId="CM11">
    <w:name w:val="CM11"/>
    <w:basedOn w:val="Default"/>
    <w:next w:val="Default"/>
    <w:rsid w:val="00C349F0"/>
    <w:pPr>
      <w:spacing w:line="253" w:lineRule="atLeast"/>
    </w:pPr>
    <w:rPr>
      <w:color w:val="auto"/>
    </w:rPr>
  </w:style>
  <w:style w:type="paragraph" w:customStyle="1" w:styleId="CM12">
    <w:name w:val="CM12"/>
    <w:basedOn w:val="Default"/>
    <w:next w:val="Default"/>
    <w:rsid w:val="00C349F0"/>
    <w:pPr>
      <w:spacing w:line="253" w:lineRule="atLeast"/>
    </w:pPr>
    <w:rPr>
      <w:color w:val="auto"/>
    </w:rPr>
  </w:style>
  <w:style w:type="paragraph" w:customStyle="1" w:styleId="CM13">
    <w:name w:val="CM13"/>
    <w:basedOn w:val="Default"/>
    <w:next w:val="Default"/>
    <w:rsid w:val="00C349F0"/>
    <w:pPr>
      <w:spacing w:line="253" w:lineRule="atLeast"/>
    </w:pPr>
    <w:rPr>
      <w:color w:val="auto"/>
    </w:rPr>
  </w:style>
  <w:style w:type="paragraph" w:customStyle="1" w:styleId="CM14">
    <w:name w:val="CM14"/>
    <w:basedOn w:val="Default"/>
    <w:next w:val="Default"/>
    <w:rsid w:val="00C349F0"/>
    <w:pPr>
      <w:spacing w:line="253" w:lineRule="atLeast"/>
    </w:pPr>
    <w:rPr>
      <w:color w:val="auto"/>
    </w:rPr>
  </w:style>
  <w:style w:type="paragraph" w:customStyle="1" w:styleId="CM16">
    <w:name w:val="CM16"/>
    <w:basedOn w:val="Default"/>
    <w:next w:val="Default"/>
    <w:rsid w:val="00C349F0"/>
    <w:rPr>
      <w:color w:val="auto"/>
    </w:rPr>
  </w:style>
  <w:style w:type="paragraph" w:customStyle="1" w:styleId="CM15">
    <w:name w:val="CM15"/>
    <w:basedOn w:val="Default"/>
    <w:next w:val="Default"/>
    <w:rsid w:val="00C349F0"/>
    <w:rPr>
      <w:color w:val="auto"/>
    </w:rPr>
  </w:style>
  <w:style w:type="paragraph" w:customStyle="1" w:styleId="CM17">
    <w:name w:val="CM17"/>
    <w:basedOn w:val="Default"/>
    <w:next w:val="Default"/>
    <w:rsid w:val="00C349F0"/>
    <w:pPr>
      <w:spacing w:line="253" w:lineRule="atLeast"/>
    </w:pPr>
    <w:rPr>
      <w:color w:val="auto"/>
    </w:rPr>
  </w:style>
  <w:style w:type="paragraph" w:customStyle="1" w:styleId="CM18">
    <w:name w:val="CM18"/>
    <w:basedOn w:val="Default"/>
    <w:next w:val="Default"/>
    <w:rsid w:val="00C349F0"/>
    <w:pPr>
      <w:spacing w:line="253" w:lineRule="atLeast"/>
    </w:pPr>
    <w:rPr>
      <w:color w:val="auto"/>
    </w:rPr>
  </w:style>
  <w:style w:type="paragraph" w:customStyle="1" w:styleId="CM22">
    <w:name w:val="CM22"/>
    <w:basedOn w:val="Default"/>
    <w:next w:val="Default"/>
    <w:rsid w:val="00C349F0"/>
    <w:pPr>
      <w:spacing w:after="988"/>
    </w:pPr>
    <w:rPr>
      <w:color w:val="auto"/>
    </w:rPr>
  </w:style>
  <w:style w:type="paragraph" w:customStyle="1" w:styleId="Besedilooblaka1">
    <w:name w:val="Besedilo oblačka1"/>
    <w:basedOn w:val="Navaden"/>
    <w:semiHidden/>
    <w:rsid w:val="00C349F0"/>
    <w:rPr>
      <w:rFonts w:ascii="Tahoma" w:hAnsi="Tahoma" w:cs="Tahoma"/>
      <w:sz w:val="16"/>
      <w:szCs w:val="16"/>
    </w:rPr>
  </w:style>
  <w:style w:type="paragraph" w:styleId="Telobesedila3">
    <w:name w:val="Body Text 3"/>
    <w:basedOn w:val="Navaden"/>
    <w:rsid w:val="00C349F0"/>
    <w:rPr>
      <w:sz w:val="22"/>
    </w:rPr>
  </w:style>
  <w:style w:type="paragraph" w:styleId="Telobesedila-zamik2">
    <w:name w:val="Body Text Indent 2"/>
    <w:basedOn w:val="Navaden"/>
    <w:rsid w:val="00C349F0"/>
    <w:pPr>
      <w:ind w:left="426" w:hanging="426"/>
      <w:jc w:val="both"/>
    </w:pPr>
    <w:rPr>
      <w:sz w:val="22"/>
    </w:rPr>
  </w:style>
  <w:style w:type="paragraph" w:styleId="Glava">
    <w:name w:val="header"/>
    <w:basedOn w:val="Navaden"/>
    <w:link w:val="GlavaZnak"/>
    <w:uiPriority w:val="99"/>
    <w:rsid w:val="00C349F0"/>
    <w:pPr>
      <w:tabs>
        <w:tab w:val="center" w:pos="4536"/>
        <w:tab w:val="right" w:pos="9072"/>
      </w:tabs>
    </w:pPr>
  </w:style>
  <w:style w:type="paragraph" w:styleId="Noga">
    <w:name w:val="footer"/>
    <w:basedOn w:val="Navaden"/>
    <w:link w:val="NogaZnak"/>
    <w:uiPriority w:val="99"/>
    <w:rsid w:val="00C349F0"/>
    <w:pPr>
      <w:tabs>
        <w:tab w:val="center" w:pos="4536"/>
        <w:tab w:val="right" w:pos="9072"/>
      </w:tabs>
    </w:pPr>
  </w:style>
  <w:style w:type="paragraph" w:styleId="Telobesedila-zamik">
    <w:name w:val="Body Text Indent"/>
    <w:basedOn w:val="Navaden"/>
    <w:rsid w:val="00C349F0"/>
    <w:pPr>
      <w:numPr>
        <w:ilvl w:val="12"/>
      </w:numPr>
      <w:ind w:left="360"/>
      <w:jc w:val="both"/>
    </w:pPr>
    <w:rPr>
      <w:sz w:val="22"/>
    </w:rPr>
  </w:style>
  <w:style w:type="paragraph" w:styleId="Telobesedila">
    <w:name w:val="Body Text"/>
    <w:basedOn w:val="Navaden"/>
    <w:rsid w:val="00C349F0"/>
    <w:pPr>
      <w:jc w:val="both"/>
    </w:pPr>
    <w:rPr>
      <w:sz w:val="22"/>
    </w:rPr>
  </w:style>
  <w:style w:type="character" w:styleId="tevilkastrani">
    <w:name w:val="page number"/>
    <w:basedOn w:val="Privzetapisavaodstavka"/>
    <w:rsid w:val="00C349F0"/>
  </w:style>
  <w:style w:type="character" w:styleId="Pripombasklic">
    <w:name w:val="annotation reference"/>
    <w:basedOn w:val="Privzetapisavaodstavka"/>
    <w:semiHidden/>
    <w:rsid w:val="008B3AD5"/>
    <w:rPr>
      <w:sz w:val="16"/>
      <w:szCs w:val="16"/>
    </w:rPr>
  </w:style>
  <w:style w:type="paragraph" w:styleId="Pripombabesedilo">
    <w:name w:val="annotation text"/>
    <w:basedOn w:val="Navaden"/>
    <w:semiHidden/>
    <w:rsid w:val="008B3AD5"/>
    <w:rPr>
      <w:sz w:val="20"/>
      <w:szCs w:val="20"/>
    </w:rPr>
  </w:style>
  <w:style w:type="paragraph" w:styleId="Zadevapripombe">
    <w:name w:val="annotation subject"/>
    <w:basedOn w:val="Pripombabesedilo"/>
    <w:next w:val="Pripombabesedilo"/>
    <w:semiHidden/>
    <w:rsid w:val="008B3AD5"/>
    <w:rPr>
      <w:b/>
      <w:bCs/>
    </w:rPr>
  </w:style>
  <w:style w:type="paragraph" w:styleId="Besedilooblaka">
    <w:name w:val="Balloon Text"/>
    <w:basedOn w:val="Navaden"/>
    <w:semiHidden/>
    <w:rsid w:val="008B3AD5"/>
    <w:rPr>
      <w:rFonts w:ascii="Tahoma" w:hAnsi="Tahoma"/>
      <w:sz w:val="16"/>
      <w:szCs w:val="16"/>
    </w:rPr>
  </w:style>
  <w:style w:type="paragraph" w:customStyle="1" w:styleId="Odstavek">
    <w:name w:val="Odstavek"/>
    <w:basedOn w:val="Navaden"/>
    <w:rsid w:val="0036571B"/>
    <w:pPr>
      <w:spacing w:before="240"/>
      <w:jc w:val="both"/>
    </w:pPr>
    <w:rPr>
      <w:sz w:val="22"/>
      <w:szCs w:val="22"/>
    </w:rPr>
  </w:style>
  <w:style w:type="paragraph" w:customStyle="1" w:styleId="CharChar1">
    <w:name w:val="Char Char1"/>
    <w:basedOn w:val="Navaden"/>
    <w:rsid w:val="0045116C"/>
    <w:pPr>
      <w:spacing w:after="160" w:line="288" w:lineRule="auto"/>
    </w:pPr>
    <w:rPr>
      <w:rFonts w:ascii="Tahoma" w:hAnsi="Tahoma"/>
      <w:sz w:val="20"/>
      <w:szCs w:val="20"/>
      <w:lang w:val="en-US" w:eastAsia="en-US"/>
    </w:rPr>
  </w:style>
  <w:style w:type="paragraph" w:customStyle="1" w:styleId="Pa5">
    <w:name w:val="Pa5"/>
    <w:basedOn w:val="Default"/>
    <w:next w:val="Default"/>
    <w:rsid w:val="00563257"/>
    <w:pPr>
      <w:spacing w:line="177" w:lineRule="atLeast"/>
    </w:pPr>
    <w:rPr>
      <w:rFonts w:ascii="Arial" w:hAnsi="Arial"/>
      <w:color w:val="auto"/>
    </w:rPr>
  </w:style>
  <w:style w:type="paragraph" w:customStyle="1" w:styleId="Pa13">
    <w:name w:val="Pa13"/>
    <w:basedOn w:val="Default"/>
    <w:next w:val="Default"/>
    <w:rsid w:val="00563257"/>
    <w:pPr>
      <w:spacing w:before="20" w:after="40" w:line="177" w:lineRule="atLeast"/>
    </w:pPr>
    <w:rPr>
      <w:rFonts w:ascii="Arial" w:hAnsi="Arial"/>
      <w:color w:val="auto"/>
    </w:rPr>
  </w:style>
  <w:style w:type="paragraph" w:customStyle="1" w:styleId="esegmentc1">
    <w:name w:val="esegment_c1"/>
    <w:basedOn w:val="Navaden"/>
    <w:rsid w:val="001173D0"/>
    <w:pPr>
      <w:spacing w:after="153"/>
    </w:pPr>
    <w:rPr>
      <w:color w:val="333333"/>
      <w:sz w:val="13"/>
      <w:szCs w:val="13"/>
    </w:rPr>
  </w:style>
  <w:style w:type="character" w:customStyle="1" w:styleId="GlavaZnak">
    <w:name w:val="Glava Znak"/>
    <w:basedOn w:val="Privzetapisavaodstavka"/>
    <w:link w:val="Glava"/>
    <w:uiPriority w:val="99"/>
    <w:rsid w:val="003F6C47"/>
    <w:rPr>
      <w:sz w:val="24"/>
      <w:szCs w:val="24"/>
    </w:rPr>
  </w:style>
  <w:style w:type="paragraph" w:styleId="Sprotnaopomba-besedilo">
    <w:name w:val="footnote text"/>
    <w:basedOn w:val="Navaden"/>
    <w:link w:val="Sprotnaopomba-besediloZnak"/>
    <w:rsid w:val="00F84FDA"/>
    <w:rPr>
      <w:sz w:val="20"/>
      <w:szCs w:val="20"/>
    </w:rPr>
  </w:style>
  <w:style w:type="character" w:customStyle="1" w:styleId="Sprotnaopomba-besediloZnak">
    <w:name w:val="Sprotna opomba - besedilo Znak"/>
    <w:basedOn w:val="Privzetapisavaodstavka"/>
    <w:link w:val="Sprotnaopomba-besedilo"/>
    <w:rsid w:val="00F84FDA"/>
  </w:style>
  <w:style w:type="character" w:styleId="Sprotnaopomba-sklic">
    <w:name w:val="footnote reference"/>
    <w:basedOn w:val="Privzetapisavaodstavka"/>
    <w:rsid w:val="00F84FDA"/>
    <w:rPr>
      <w:vertAlign w:val="superscript"/>
    </w:rPr>
  </w:style>
  <w:style w:type="paragraph" w:styleId="Navadensplet">
    <w:name w:val="Normal (Web)"/>
    <w:basedOn w:val="Navaden"/>
    <w:uiPriority w:val="99"/>
    <w:unhideWhenUsed/>
    <w:rsid w:val="001F2A0D"/>
    <w:pPr>
      <w:spacing w:after="153"/>
    </w:pPr>
    <w:rPr>
      <w:color w:val="333333"/>
      <w:sz w:val="13"/>
      <w:szCs w:val="13"/>
    </w:rPr>
  </w:style>
  <w:style w:type="paragraph" w:styleId="Odstavekseznama">
    <w:name w:val="List Paragraph"/>
    <w:basedOn w:val="Navaden"/>
    <w:uiPriority w:val="34"/>
    <w:qFormat/>
    <w:rsid w:val="001F2A0D"/>
    <w:pPr>
      <w:ind w:left="720"/>
      <w:contextualSpacing/>
    </w:pPr>
  </w:style>
  <w:style w:type="character" w:customStyle="1" w:styleId="NogaZnak">
    <w:name w:val="Noga Znak"/>
    <w:basedOn w:val="Privzetapisavaodstavka"/>
    <w:link w:val="Noga"/>
    <w:uiPriority w:val="99"/>
    <w:rsid w:val="00C371BD"/>
    <w:rPr>
      <w:sz w:val="24"/>
      <w:szCs w:val="24"/>
    </w:rPr>
  </w:style>
  <w:style w:type="character" w:styleId="Hiperpovezava">
    <w:name w:val="Hyperlink"/>
    <w:basedOn w:val="Privzetapisavaodstavka"/>
    <w:uiPriority w:val="99"/>
    <w:unhideWhenUsed/>
    <w:rsid w:val="00C371BD"/>
    <w:rPr>
      <w:rFonts w:ascii="Times New Roman" w:hAnsi="Times New Roman" w:cs="Times New Roman" w:hint="default"/>
      <w:color w:val="0000FF"/>
      <w:u w:val="single"/>
    </w:rPr>
  </w:style>
  <w:style w:type="paragraph" w:customStyle="1" w:styleId="esegmenth4">
    <w:name w:val="esegment_h4"/>
    <w:basedOn w:val="Navaden"/>
    <w:rsid w:val="00CD259C"/>
    <w:pPr>
      <w:spacing w:after="135"/>
      <w:jc w:val="center"/>
    </w:pPr>
    <w:rPr>
      <w:b/>
      <w:bCs/>
      <w:color w:val="333333"/>
      <w:sz w:val="12"/>
      <w:szCs w:val="12"/>
    </w:rPr>
  </w:style>
  <w:style w:type="table" w:styleId="Tabelamrea">
    <w:name w:val="Table Grid"/>
    <w:basedOn w:val="Navadnatabela"/>
    <w:rsid w:val="0001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71116F"/>
    <w:rPr>
      <w:b/>
      <w:bCs/>
    </w:rPr>
  </w:style>
  <w:style w:type="character" w:customStyle="1" w:styleId="ovfl-xlt-more1">
    <w:name w:val="ovfl-xlt-more1"/>
    <w:basedOn w:val="Privzetapisavaodstavka"/>
    <w:rsid w:val="00730B60"/>
    <w:rPr>
      <w:rFonts w:ascii="Arial" w:hAnsi="Arial" w:cs="Arial" w:hint="default"/>
      <w:color w:val="4285F4"/>
      <w:sz w:val="24"/>
      <w:szCs w:val="24"/>
    </w:rPr>
  </w:style>
  <w:style w:type="paragraph" w:styleId="Revizija">
    <w:name w:val="Revision"/>
    <w:hidden/>
    <w:uiPriority w:val="99"/>
    <w:semiHidden/>
    <w:rsid w:val="00896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9609">
      <w:bodyDiv w:val="1"/>
      <w:marLeft w:val="0"/>
      <w:marRight w:val="0"/>
      <w:marTop w:val="0"/>
      <w:marBottom w:val="0"/>
      <w:divBdr>
        <w:top w:val="none" w:sz="0" w:space="0" w:color="auto"/>
        <w:left w:val="none" w:sz="0" w:space="0" w:color="auto"/>
        <w:bottom w:val="none" w:sz="0" w:space="0" w:color="auto"/>
        <w:right w:val="none" w:sz="0" w:space="0" w:color="auto"/>
      </w:divBdr>
      <w:divsChild>
        <w:div w:id="1515454604">
          <w:marLeft w:val="0"/>
          <w:marRight w:val="0"/>
          <w:marTop w:val="0"/>
          <w:marBottom w:val="0"/>
          <w:divBdr>
            <w:top w:val="none" w:sz="0" w:space="0" w:color="auto"/>
            <w:left w:val="none" w:sz="0" w:space="0" w:color="auto"/>
            <w:bottom w:val="none" w:sz="0" w:space="0" w:color="auto"/>
            <w:right w:val="none" w:sz="0" w:space="0" w:color="auto"/>
          </w:divBdr>
          <w:divsChild>
            <w:div w:id="976304945">
              <w:marLeft w:val="0"/>
              <w:marRight w:val="0"/>
              <w:marTop w:val="0"/>
              <w:marBottom w:val="0"/>
              <w:divBdr>
                <w:top w:val="none" w:sz="0" w:space="0" w:color="auto"/>
                <w:left w:val="none" w:sz="0" w:space="0" w:color="auto"/>
                <w:bottom w:val="none" w:sz="0" w:space="0" w:color="auto"/>
                <w:right w:val="none" w:sz="0" w:space="0" w:color="auto"/>
              </w:divBdr>
              <w:divsChild>
                <w:div w:id="1744374983">
                  <w:marLeft w:val="0"/>
                  <w:marRight w:val="0"/>
                  <w:marTop w:val="0"/>
                  <w:marBottom w:val="0"/>
                  <w:divBdr>
                    <w:top w:val="none" w:sz="0" w:space="0" w:color="auto"/>
                    <w:left w:val="none" w:sz="0" w:space="0" w:color="auto"/>
                    <w:bottom w:val="none" w:sz="0" w:space="0" w:color="auto"/>
                    <w:right w:val="none" w:sz="0" w:space="0" w:color="auto"/>
                  </w:divBdr>
                  <w:divsChild>
                    <w:div w:id="1206211686">
                      <w:marLeft w:val="0"/>
                      <w:marRight w:val="0"/>
                      <w:marTop w:val="0"/>
                      <w:marBottom w:val="0"/>
                      <w:divBdr>
                        <w:top w:val="none" w:sz="0" w:space="0" w:color="auto"/>
                        <w:left w:val="none" w:sz="0" w:space="0" w:color="auto"/>
                        <w:bottom w:val="none" w:sz="0" w:space="0" w:color="auto"/>
                        <w:right w:val="none" w:sz="0" w:space="0" w:color="auto"/>
                      </w:divBdr>
                      <w:divsChild>
                        <w:div w:id="254367295">
                          <w:marLeft w:val="0"/>
                          <w:marRight w:val="0"/>
                          <w:marTop w:val="0"/>
                          <w:marBottom w:val="0"/>
                          <w:divBdr>
                            <w:top w:val="none" w:sz="0" w:space="0" w:color="auto"/>
                            <w:left w:val="none" w:sz="0" w:space="0" w:color="auto"/>
                            <w:bottom w:val="none" w:sz="0" w:space="0" w:color="auto"/>
                            <w:right w:val="none" w:sz="0" w:space="0" w:color="auto"/>
                          </w:divBdr>
                          <w:divsChild>
                            <w:div w:id="1477379072">
                              <w:marLeft w:val="0"/>
                              <w:marRight w:val="0"/>
                              <w:marTop w:val="0"/>
                              <w:marBottom w:val="0"/>
                              <w:divBdr>
                                <w:top w:val="none" w:sz="0" w:space="0" w:color="auto"/>
                                <w:left w:val="none" w:sz="0" w:space="0" w:color="auto"/>
                                <w:bottom w:val="none" w:sz="0" w:space="0" w:color="auto"/>
                                <w:right w:val="none" w:sz="0" w:space="0" w:color="auto"/>
                              </w:divBdr>
                              <w:divsChild>
                                <w:div w:id="259335349">
                                  <w:marLeft w:val="0"/>
                                  <w:marRight w:val="0"/>
                                  <w:marTop w:val="0"/>
                                  <w:marBottom w:val="0"/>
                                  <w:divBdr>
                                    <w:top w:val="none" w:sz="0" w:space="0" w:color="auto"/>
                                    <w:left w:val="none" w:sz="0" w:space="0" w:color="auto"/>
                                    <w:bottom w:val="none" w:sz="0" w:space="0" w:color="auto"/>
                                    <w:right w:val="none" w:sz="0" w:space="0" w:color="auto"/>
                                  </w:divBdr>
                                  <w:divsChild>
                                    <w:div w:id="1887909946">
                                      <w:marLeft w:val="60"/>
                                      <w:marRight w:val="0"/>
                                      <w:marTop w:val="0"/>
                                      <w:marBottom w:val="0"/>
                                      <w:divBdr>
                                        <w:top w:val="none" w:sz="0" w:space="0" w:color="auto"/>
                                        <w:left w:val="none" w:sz="0" w:space="0" w:color="auto"/>
                                        <w:bottom w:val="none" w:sz="0" w:space="0" w:color="auto"/>
                                        <w:right w:val="none" w:sz="0" w:space="0" w:color="auto"/>
                                      </w:divBdr>
                                      <w:divsChild>
                                        <w:div w:id="1611470082">
                                          <w:marLeft w:val="0"/>
                                          <w:marRight w:val="0"/>
                                          <w:marTop w:val="0"/>
                                          <w:marBottom w:val="0"/>
                                          <w:divBdr>
                                            <w:top w:val="none" w:sz="0" w:space="0" w:color="auto"/>
                                            <w:left w:val="none" w:sz="0" w:space="0" w:color="auto"/>
                                            <w:bottom w:val="none" w:sz="0" w:space="0" w:color="auto"/>
                                            <w:right w:val="none" w:sz="0" w:space="0" w:color="auto"/>
                                          </w:divBdr>
                                          <w:divsChild>
                                            <w:div w:id="495653888">
                                              <w:marLeft w:val="0"/>
                                              <w:marRight w:val="0"/>
                                              <w:marTop w:val="0"/>
                                              <w:marBottom w:val="120"/>
                                              <w:divBdr>
                                                <w:top w:val="single" w:sz="6" w:space="0" w:color="F5F5F5"/>
                                                <w:left w:val="single" w:sz="6" w:space="0" w:color="F5F5F5"/>
                                                <w:bottom w:val="single" w:sz="6" w:space="0" w:color="F5F5F5"/>
                                                <w:right w:val="single" w:sz="6" w:space="0" w:color="F5F5F5"/>
                                              </w:divBdr>
                                              <w:divsChild>
                                                <w:div w:id="1266890339">
                                                  <w:marLeft w:val="0"/>
                                                  <w:marRight w:val="0"/>
                                                  <w:marTop w:val="0"/>
                                                  <w:marBottom w:val="0"/>
                                                  <w:divBdr>
                                                    <w:top w:val="none" w:sz="0" w:space="0" w:color="auto"/>
                                                    <w:left w:val="none" w:sz="0" w:space="0" w:color="auto"/>
                                                    <w:bottom w:val="none" w:sz="0" w:space="0" w:color="auto"/>
                                                    <w:right w:val="none" w:sz="0" w:space="0" w:color="auto"/>
                                                  </w:divBdr>
                                                  <w:divsChild>
                                                    <w:div w:id="3252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61299">
      <w:bodyDiv w:val="1"/>
      <w:marLeft w:val="0"/>
      <w:marRight w:val="0"/>
      <w:marTop w:val="0"/>
      <w:marBottom w:val="0"/>
      <w:divBdr>
        <w:top w:val="none" w:sz="0" w:space="0" w:color="auto"/>
        <w:left w:val="none" w:sz="0" w:space="0" w:color="auto"/>
        <w:bottom w:val="none" w:sz="0" w:space="0" w:color="auto"/>
        <w:right w:val="none" w:sz="0" w:space="0" w:color="auto"/>
      </w:divBdr>
    </w:div>
    <w:div w:id="1163010374">
      <w:bodyDiv w:val="1"/>
      <w:marLeft w:val="0"/>
      <w:marRight w:val="0"/>
      <w:marTop w:val="0"/>
      <w:marBottom w:val="0"/>
      <w:divBdr>
        <w:top w:val="none" w:sz="0" w:space="0" w:color="auto"/>
        <w:left w:val="none" w:sz="0" w:space="0" w:color="auto"/>
        <w:bottom w:val="none" w:sz="0" w:space="0" w:color="auto"/>
        <w:right w:val="none" w:sz="0" w:space="0" w:color="auto"/>
      </w:divBdr>
      <w:divsChild>
        <w:div w:id="661203609">
          <w:marLeft w:val="0"/>
          <w:marRight w:val="0"/>
          <w:marTop w:val="0"/>
          <w:marBottom w:val="0"/>
          <w:divBdr>
            <w:top w:val="none" w:sz="0" w:space="0" w:color="auto"/>
            <w:left w:val="none" w:sz="0" w:space="0" w:color="auto"/>
            <w:bottom w:val="none" w:sz="0" w:space="0" w:color="auto"/>
            <w:right w:val="none" w:sz="0" w:space="0" w:color="auto"/>
          </w:divBdr>
          <w:divsChild>
            <w:div w:id="917904066">
              <w:marLeft w:val="0"/>
              <w:marRight w:val="0"/>
              <w:marTop w:val="0"/>
              <w:marBottom w:val="0"/>
              <w:divBdr>
                <w:top w:val="none" w:sz="0" w:space="0" w:color="auto"/>
                <w:left w:val="none" w:sz="0" w:space="0" w:color="auto"/>
                <w:bottom w:val="none" w:sz="0" w:space="0" w:color="auto"/>
                <w:right w:val="none" w:sz="0" w:space="0" w:color="auto"/>
              </w:divBdr>
              <w:divsChild>
                <w:div w:id="428743997">
                  <w:marLeft w:val="0"/>
                  <w:marRight w:val="0"/>
                  <w:marTop w:val="0"/>
                  <w:marBottom w:val="0"/>
                  <w:divBdr>
                    <w:top w:val="none" w:sz="0" w:space="0" w:color="auto"/>
                    <w:left w:val="none" w:sz="0" w:space="0" w:color="auto"/>
                    <w:bottom w:val="none" w:sz="0" w:space="0" w:color="auto"/>
                    <w:right w:val="none" w:sz="0" w:space="0" w:color="auto"/>
                  </w:divBdr>
                  <w:divsChild>
                    <w:div w:id="107621937">
                      <w:marLeft w:val="0"/>
                      <w:marRight w:val="0"/>
                      <w:marTop w:val="0"/>
                      <w:marBottom w:val="0"/>
                      <w:divBdr>
                        <w:top w:val="none" w:sz="0" w:space="0" w:color="auto"/>
                        <w:left w:val="none" w:sz="0" w:space="0" w:color="auto"/>
                        <w:bottom w:val="none" w:sz="0" w:space="0" w:color="auto"/>
                        <w:right w:val="none" w:sz="0" w:space="0" w:color="auto"/>
                      </w:divBdr>
                      <w:divsChild>
                        <w:div w:id="1424716838">
                          <w:marLeft w:val="0"/>
                          <w:marRight w:val="0"/>
                          <w:marTop w:val="0"/>
                          <w:marBottom w:val="0"/>
                          <w:divBdr>
                            <w:top w:val="none" w:sz="0" w:space="0" w:color="auto"/>
                            <w:left w:val="none" w:sz="0" w:space="0" w:color="auto"/>
                            <w:bottom w:val="none" w:sz="0" w:space="0" w:color="auto"/>
                            <w:right w:val="none" w:sz="0" w:space="0" w:color="auto"/>
                          </w:divBdr>
                          <w:divsChild>
                            <w:div w:id="859704316">
                              <w:marLeft w:val="0"/>
                              <w:marRight w:val="0"/>
                              <w:marTop w:val="0"/>
                              <w:marBottom w:val="0"/>
                              <w:divBdr>
                                <w:top w:val="none" w:sz="0" w:space="0" w:color="auto"/>
                                <w:left w:val="none" w:sz="0" w:space="0" w:color="auto"/>
                                <w:bottom w:val="none" w:sz="0" w:space="0" w:color="auto"/>
                                <w:right w:val="none" w:sz="0" w:space="0" w:color="auto"/>
                              </w:divBdr>
                              <w:divsChild>
                                <w:div w:id="678122940">
                                  <w:marLeft w:val="0"/>
                                  <w:marRight w:val="0"/>
                                  <w:marTop w:val="0"/>
                                  <w:marBottom w:val="0"/>
                                  <w:divBdr>
                                    <w:top w:val="none" w:sz="0" w:space="0" w:color="auto"/>
                                    <w:left w:val="none" w:sz="0" w:space="0" w:color="auto"/>
                                    <w:bottom w:val="none" w:sz="0" w:space="0" w:color="auto"/>
                                    <w:right w:val="none" w:sz="0" w:space="0" w:color="auto"/>
                                  </w:divBdr>
                                  <w:divsChild>
                                    <w:div w:id="810830354">
                                      <w:marLeft w:val="60"/>
                                      <w:marRight w:val="0"/>
                                      <w:marTop w:val="0"/>
                                      <w:marBottom w:val="0"/>
                                      <w:divBdr>
                                        <w:top w:val="none" w:sz="0" w:space="0" w:color="auto"/>
                                        <w:left w:val="none" w:sz="0" w:space="0" w:color="auto"/>
                                        <w:bottom w:val="none" w:sz="0" w:space="0" w:color="auto"/>
                                        <w:right w:val="none" w:sz="0" w:space="0" w:color="auto"/>
                                      </w:divBdr>
                                      <w:divsChild>
                                        <w:div w:id="429353953">
                                          <w:marLeft w:val="0"/>
                                          <w:marRight w:val="0"/>
                                          <w:marTop w:val="0"/>
                                          <w:marBottom w:val="0"/>
                                          <w:divBdr>
                                            <w:top w:val="none" w:sz="0" w:space="0" w:color="auto"/>
                                            <w:left w:val="none" w:sz="0" w:space="0" w:color="auto"/>
                                            <w:bottom w:val="none" w:sz="0" w:space="0" w:color="auto"/>
                                            <w:right w:val="none" w:sz="0" w:space="0" w:color="auto"/>
                                          </w:divBdr>
                                          <w:divsChild>
                                            <w:div w:id="1850363303">
                                              <w:marLeft w:val="0"/>
                                              <w:marRight w:val="0"/>
                                              <w:marTop w:val="0"/>
                                              <w:marBottom w:val="120"/>
                                              <w:divBdr>
                                                <w:top w:val="single" w:sz="6" w:space="0" w:color="F5F5F5"/>
                                                <w:left w:val="single" w:sz="6" w:space="0" w:color="F5F5F5"/>
                                                <w:bottom w:val="single" w:sz="6" w:space="0" w:color="F5F5F5"/>
                                                <w:right w:val="single" w:sz="6" w:space="0" w:color="F5F5F5"/>
                                              </w:divBdr>
                                              <w:divsChild>
                                                <w:div w:id="761681278">
                                                  <w:marLeft w:val="0"/>
                                                  <w:marRight w:val="0"/>
                                                  <w:marTop w:val="0"/>
                                                  <w:marBottom w:val="0"/>
                                                  <w:divBdr>
                                                    <w:top w:val="none" w:sz="0" w:space="0" w:color="auto"/>
                                                    <w:left w:val="none" w:sz="0" w:space="0" w:color="auto"/>
                                                    <w:bottom w:val="none" w:sz="0" w:space="0" w:color="auto"/>
                                                    <w:right w:val="none" w:sz="0" w:space="0" w:color="auto"/>
                                                  </w:divBdr>
                                                  <w:divsChild>
                                                    <w:div w:id="13517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059879">
      <w:bodyDiv w:val="1"/>
      <w:marLeft w:val="0"/>
      <w:marRight w:val="0"/>
      <w:marTop w:val="0"/>
      <w:marBottom w:val="0"/>
      <w:divBdr>
        <w:top w:val="none" w:sz="0" w:space="0" w:color="auto"/>
        <w:left w:val="none" w:sz="0" w:space="0" w:color="auto"/>
        <w:bottom w:val="none" w:sz="0" w:space="0" w:color="auto"/>
        <w:right w:val="none" w:sz="0" w:space="0" w:color="auto"/>
      </w:divBdr>
    </w:div>
    <w:div w:id="1187598563">
      <w:bodyDiv w:val="1"/>
      <w:marLeft w:val="0"/>
      <w:marRight w:val="0"/>
      <w:marTop w:val="0"/>
      <w:marBottom w:val="0"/>
      <w:divBdr>
        <w:top w:val="none" w:sz="0" w:space="0" w:color="auto"/>
        <w:left w:val="none" w:sz="0" w:space="0" w:color="auto"/>
        <w:bottom w:val="none" w:sz="0" w:space="0" w:color="auto"/>
        <w:right w:val="none" w:sz="0" w:space="0" w:color="auto"/>
      </w:divBdr>
      <w:divsChild>
        <w:div w:id="1746223544">
          <w:marLeft w:val="0"/>
          <w:marRight w:val="0"/>
          <w:marTop w:val="0"/>
          <w:marBottom w:val="0"/>
          <w:divBdr>
            <w:top w:val="none" w:sz="0" w:space="0" w:color="auto"/>
            <w:left w:val="none" w:sz="0" w:space="0" w:color="auto"/>
            <w:bottom w:val="none" w:sz="0" w:space="0" w:color="auto"/>
            <w:right w:val="none" w:sz="0" w:space="0" w:color="auto"/>
          </w:divBdr>
          <w:divsChild>
            <w:div w:id="806438509">
              <w:marLeft w:val="0"/>
              <w:marRight w:val="0"/>
              <w:marTop w:val="0"/>
              <w:marBottom w:val="0"/>
              <w:divBdr>
                <w:top w:val="none" w:sz="0" w:space="0" w:color="auto"/>
                <w:left w:val="none" w:sz="0" w:space="0" w:color="auto"/>
                <w:bottom w:val="none" w:sz="0" w:space="0" w:color="auto"/>
                <w:right w:val="none" w:sz="0" w:space="0" w:color="auto"/>
              </w:divBdr>
              <w:divsChild>
                <w:div w:id="1958637433">
                  <w:marLeft w:val="0"/>
                  <w:marRight w:val="0"/>
                  <w:marTop w:val="0"/>
                  <w:marBottom w:val="0"/>
                  <w:divBdr>
                    <w:top w:val="none" w:sz="0" w:space="0" w:color="auto"/>
                    <w:left w:val="none" w:sz="0" w:space="0" w:color="auto"/>
                    <w:bottom w:val="none" w:sz="0" w:space="0" w:color="auto"/>
                    <w:right w:val="none" w:sz="0" w:space="0" w:color="auto"/>
                  </w:divBdr>
                  <w:divsChild>
                    <w:div w:id="1753238700">
                      <w:marLeft w:val="0"/>
                      <w:marRight w:val="0"/>
                      <w:marTop w:val="0"/>
                      <w:marBottom w:val="0"/>
                      <w:divBdr>
                        <w:top w:val="none" w:sz="0" w:space="0" w:color="auto"/>
                        <w:left w:val="none" w:sz="0" w:space="0" w:color="auto"/>
                        <w:bottom w:val="none" w:sz="0" w:space="0" w:color="auto"/>
                        <w:right w:val="none" w:sz="0" w:space="0" w:color="auto"/>
                      </w:divBdr>
                      <w:divsChild>
                        <w:div w:id="1353652108">
                          <w:marLeft w:val="0"/>
                          <w:marRight w:val="0"/>
                          <w:marTop w:val="0"/>
                          <w:marBottom w:val="0"/>
                          <w:divBdr>
                            <w:top w:val="none" w:sz="0" w:space="0" w:color="auto"/>
                            <w:left w:val="none" w:sz="0" w:space="0" w:color="auto"/>
                            <w:bottom w:val="none" w:sz="0" w:space="0" w:color="auto"/>
                            <w:right w:val="none" w:sz="0" w:space="0" w:color="auto"/>
                          </w:divBdr>
                          <w:divsChild>
                            <w:div w:id="1953508033">
                              <w:marLeft w:val="0"/>
                              <w:marRight w:val="0"/>
                              <w:marTop w:val="0"/>
                              <w:marBottom w:val="0"/>
                              <w:divBdr>
                                <w:top w:val="none" w:sz="0" w:space="0" w:color="auto"/>
                                <w:left w:val="none" w:sz="0" w:space="0" w:color="auto"/>
                                <w:bottom w:val="none" w:sz="0" w:space="0" w:color="auto"/>
                                <w:right w:val="none" w:sz="0" w:space="0" w:color="auto"/>
                              </w:divBdr>
                              <w:divsChild>
                                <w:div w:id="390617527">
                                  <w:marLeft w:val="0"/>
                                  <w:marRight w:val="0"/>
                                  <w:marTop w:val="0"/>
                                  <w:marBottom w:val="0"/>
                                  <w:divBdr>
                                    <w:top w:val="none" w:sz="0" w:space="0" w:color="auto"/>
                                    <w:left w:val="none" w:sz="0" w:space="0" w:color="auto"/>
                                    <w:bottom w:val="none" w:sz="0" w:space="0" w:color="auto"/>
                                    <w:right w:val="none" w:sz="0" w:space="0" w:color="auto"/>
                                  </w:divBdr>
                                  <w:divsChild>
                                    <w:div w:id="1162429112">
                                      <w:marLeft w:val="60"/>
                                      <w:marRight w:val="0"/>
                                      <w:marTop w:val="0"/>
                                      <w:marBottom w:val="0"/>
                                      <w:divBdr>
                                        <w:top w:val="none" w:sz="0" w:space="0" w:color="auto"/>
                                        <w:left w:val="none" w:sz="0" w:space="0" w:color="auto"/>
                                        <w:bottom w:val="none" w:sz="0" w:space="0" w:color="auto"/>
                                        <w:right w:val="none" w:sz="0" w:space="0" w:color="auto"/>
                                      </w:divBdr>
                                      <w:divsChild>
                                        <w:div w:id="1924221482">
                                          <w:marLeft w:val="0"/>
                                          <w:marRight w:val="0"/>
                                          <w:marTop w:val="0"/>
                                          <w:marBottom w:val="0"/>
                                          <w:divBdr>
                                            <w:top w:val="none" w:sz="0" w:space="0" w:color="auto"/>
                                            <w:left w:val="none" w:sz="0" w:space="0" w:color="auto"/>
                                            <w:bottom w:val="none" w:sz="0" w:space="0" w:color="auto"/>
                                            <w:right w:val="none" w:sz="0" w:space="0" w:color="auto"/>
                                          </w:divBdr>
                                          <w:divsChild>
                                            <w:div w:id="2100784559">
                                              <w:marLeft w:val="0"/>
                                              <w:marRight w:val="0"/>
                                              <w:marTop w:val="0"/>
                                              <w:marBottom w:val="120"/>
                                              <w:divBdr>
                                                <w:top w:val="single" w:sz="6" w:space="0" w:color="F5F5F5"/>
                                                <w:left w:val="single" w:sz="6" w:space="0" w:color="F5F5F5"/>
                                                <w:bottom w:val="single" w:sz="6" w:space="0" w:color="F5F5F5"/>
                                                <w:right w:val="single" w:sz="6" w:space="0" w:color="F5F5F5"/>
                                              </w:divBdr>
                                              <w:divsChild>
                                                <w:div w:id="665061073">
                                                  <w:marLeft w:val="0"/>
                                                  <w:marRight w:val="0"/>
                                                  <w:marTop w:val="0"/>
                                                  <w:marBottom w:val="0"/>
                                                  <w:divBdr>
                                                    <w:top w:val="none" w:sz="0" w:space="0" w:color="auto"/>
                                                    <w:left w:val="none" w:sz="0" w:space="0" w:color="auto"/>
                                                    <w:bottom w:val="none" w:sz="0" w:space="0" w:color="auto"/>
                                                    <w:right w:val="none" w:sz="0" w:space="0" w:color="auto"/>
                                                  </w:divBdr>
                                                  <w:divsChild>
                                                    <w:div w:id="9014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122626">
      <w:bodyDiv w:val="1"/>
      <w:marLeft w:val="0"/>
      <w:marRight w:val="0"/>
      <w:marTop w:val="0"/>
      <w:marBottom w:val="0"/>
      <w:divBdr>
        <w:top w:val="none" w:sz="0" w:space="0" w:color="auto"/>
        <w:left w:val="none" w:sz="0" w:space="0" w:color="auto"/>
        <w:bottom w:val="none" w:sz="0" w:space="0" w:color="auto"/>
        <w:right w:val="none" w:sz="0" w:space="0" w:color="auto"/>
      </w:divBdr>
      <w:divsChild>
        <w:div w:id="715545686">
          <w:marLeft w:val="0"/>
          <w:marRight w:val="0"/>
          <w:marTop w:val="0"/>
          <w:marBottom w:val="0"/>
          <w:divBdr>
            <w:top w:val="none" w:sz="0" w:space="0" w:color="auto"/>
            <w:left w:val="none" w:sz="0" w:space="0" w:color="auto"/>
            <w:bottom w:val="none" w:sz="0" w:space="0" w:color="auto"/>
            <w:right w:val="none" w:sz="0" w:space="0" w:color="auto"/>
          </w:divBdr>
          <w:divsChild>
            <w:div w:id="1402024337">
              <w:marLeft w:val="0"/>
              <w:marRight w:val="0"/>
              <w:marTop w:val="0"/>
              <w:marBottom w:val="0"/>
              <w:divBdr>
                <w:top w:val="none" w:sz="0" w:space="0" w:color="auto"/>
                <w:left w:val="none" w:sz="0" w:space="0" w:color="auto"/>
                <w:bottom w:val="none" w:sz="0" w:space="0" w:color="auto"/>
                <w:right w:val="none" w:sz="0" w:space="0" w:color="auto"/>
              </w:divBdr>
              <w:divsChild>
                <w:div w:id="1613365710">
                  <w:marLeft w:val="0"/>
                  <w:marRight w:val="0"/>
                  <w:marTop w:val="0"/>
                  <w:marBottom w:val="0"/>
                  <w:divBdr>
                    <w:top w:val="none" w:sz="0" w:space="0" w:color="auto"/>
                    <w:left w:val="none" w:sz="0" w:space="0" w:color="auto"/>
                    <w:bottom w:val="none" w:sz="0" w:space="0" w:color="auto"/>
                    <w:right w:val="none" w:sz="0" w:space="0" w:color="auto"/>
                  </w:divBdr>
                  <w:divsChild>
                    <w:div w:id="1867020025">
                      <w:marLeft w:val="0"/>
                      <w:marRight w:val="0"/>
                      <w:marTop w:val="0"/>
                      <w:marBottom w:val="0"/>
                      <w:divBdr>
                        <w:top w:val="none" w:sz="0" w:space="0" w:color="auto"/>
                        <w:left w:val="none" w:sz="0" w:space="0" w:color="auto"/>
                        <w:bottom w:val="none" w:sz="0" w:space="0" w:color="auto"/>
                        <w:right w:val="none" w:sz="0" w:space="0" w:color="auto"/>
                      </w:divBdr>
                      <w:divsChild>
                        <w:div w:id="1106000402">
                          <w:marLeft w:val="0"/>
                          <w:marRight w:val="0"/>
                          <w:marTop w:val="0"/>
                          <w:marBottom w:val="0"/>
                          <w:divBdr>
                            <w:top w:val="none" w:sz="0" w:space="0" w:color="auto"/>
                            <w:left w:val="none" w:sz="0" w:space="0" w:color="auto"/>
                            <w:bottom w:val="none" w:sz="0" w:space="0" w:color="auto"/>
                            <w:right w:val="none" w:sz="0" w:space="0" w:color="auto"/>
                          </w:divBdr>
                          <w:divsChild>
                            <w:div w:id="694385808">
                              <w:marLeft w:val="0"/>
                              <w:marRight w:val="0"/>
                              <w:marTop w:val="0"/>
                              <w:marBottom w:val="0"/>
                              <w:divBdr>
                                <w:top w:val="none" w:sz="0" w:space="0" w:color="auto"/>
                                <w:left w:val="none" w:sz="0" w:space="0" w:color="auto"/>
                                <w:bottom w:val="none" w:sz="0" w:space="0" w:color="auto"/>
                                <w:right w:val="none" w:sz="0" w:space="0" w:color="auto"/>
                              </w:divBdr>
                              <w:divsChild>
                                <w:div w:id="1642880982">
                                  <w:marLeft w:val="0"/>
                                  <w:marRight w:val="0"/>
                                  <w:marTop w:val="0"/>
                                  <w:marBottom w:val="0"/>
                                  <w:divBdr>
                                    <w:top w:val="none" w:sz="0" w:space="0" w:color="auto"/>
                                    <w:left w:val="none" w:sz="0" w:space="0" w:color="auto"/>
                                    <w:bottom w:val="none" w:sz="0" w:space="0" w:color="auto"/>
                                    <w:right w:val="none" w:sz="0" w:space="0" w:color="auto"/>
                                  </w:divBdr>
                                  <w:divsChild>
                                    <w:div w:id="557978433">
                                      <w:marLeft w:val="0"/>
                                      <w:marRight w:val="60"/>
                                      <w:marTop w:val="0"/>
                                      <w:marBottom w:val="0"/>
                                      <w:divBdr>
                                        <w:top w:val="none" w:sz="0" w:space="0" w:color="auto"/>
                                        <w:left w:val="none" w:sz="0" w:space="0" w:color="auto"/>
                                        <w:bottom w:val="none" w:sz="0" w:space="0" w:color="auto"/>
                                        <w:right w:val="none" w:sz="0" w:space="0" w:color="auto"/>
                                      </w:divBdr>
                                      <w:divsChild>
                                        <w:div w:id="826360075">
                                          <w:marLeft w:val="0"/>
                                          <w:marRight w:val="0"/>
                                          <w:marTop w:val="0"/>
                                          <w:marBottom w:val="120"/>
                                          <w:divBdr>
                                            <w:top w:val="none" w:sz="0" w:space="0" w:color="auto"/>
                                            <w:left w:val="none" w:sz="0" w:space="0" w:color="auto"/>
                                            <w:bottom w:val="none" w:sz="0" w:space="0" w:color="auto"/>
                                            <w:right w:val="none" w:sz="0" w:space="0" w:color="auto"/>
                                          </w:divBdr>
                                          <w:divsChild>
                                            <w:div w:id="329217628">
                                              <w:marLeft w:val="0"/>
                                              <w:marRight w:val="0"/>
                                              <w:marTop w:val="0"/>
                                              <w:marBottom w:val="0"/>
                                              <w:divBdr>
                                                <w:top w:val="none" w:sz="0" w:space="0" w:color="auto"/>
                                                <w:left w:val="none" w:sz="0" w:space="0" w:color="auto"/>
                                                <w:bottom w:val="none" w:sz="0" w:space="0" w:color="auto"/>
                                                <w:right w:val="none" w:sz="0" w:space="0" w:color="auto"/>
                                              </w:divBdr>
                                            </w:div>
                                            <w:div w:id="416026638">
                                              <w:marLeft w:val="0"/>
                                              <w:marRight w:val="0"/>
                                              <w:marTop w:val="0"/>
                                              <w:marBottom w:val="0"/>
                                              <w:divBdr>
                                                <w:top w:val="none" w:sz="0" w:space="0" w:color="auto"/>
                                                <w:left w:val="none" w:sz="0" w:space="0" w:color="auto"/>
                                                <w:bottom w:val="none" w:sz="0" w:space="0" w:color="auto"/>
                                                <w:right w:val="none" w:sz="0" w:space="0" w:color="auto"/>
                                              </w:divBdr>
                                            </w:div>
                                            <w:div w:id="1989507826">
                                              <w:marLeft w:val="0"/>
                                              <w:marRight w:val="0"/>
                                              <w:marTop w:val="0"/>
                                              <w:marBottom w:val="0"/>
                                              <w:divBdr>
                                                <w:top w:val="none" w:sz="0" w:space="0" w:color="auto"/>
                                                <w:left w:val="none" w:sz="0" w:space="0" w:color="auto"/>
                                                <w:bottom w:val="none" w:sz="0" w:space="0" w:color="auto"/>
                                                <w:right w:val="none" w:sz="0" w:space="0" w:color="auto"/>
                                              </w:divBdr>
                                            </w:div>
                                          </w:divsChild>
                                        </w:div>
                                        <w:div w:id="1357539887">
                                          <w:marLeft w:val="0"/>
                                          <w:marRight w:val="0"/>
                                          <w:marTop w:val="0"/>
                                          <w:marBottom w:val="0"/>
                                          <w:divBdr>
                                            <w:top w:val="none" w:sz="0" w:space="0" w:color="auto"/>
                                            <w:left w:val="none" w:sz="0" w:space="0" w:color="auto"/>
                                            <w:bottom w:val="none" w:sz="0" w:space="0" w:color="auto"/>
                                            <w:right w:val="none" w:sz="0" w:space="0" w:color="auto"/>
                                          </w:divBdr>
                                        </w:div>
                                        <w:div w:id="712535746">
                                          <w:marLeft w:val="0"/>
                                          <w:marRight w:val="0"/>
                                          <w:marTop w:val="0"/>
                                          <w:marBottom w:val="0"/>
                                          <w:divBdr>
                                            <w:top w:val="single" w:sz="6" w:space="12" w:color="999999"/>
                                            <w:left w:val="single" w:sz="6" w:space="12" w:color="999999"/>
                                            <w:bottom w:val="single" w:sz="6" w:space="12" w:color="999999"/>
                                            <w:right w:val="single" w:sz="6" w:space="12" w:color="999999"/>
                                          </w:divBdr>
                                          <w:divsChild>
                                            <w:div w:id="968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9998">
                                      <w:marLeft w:val="0"/>
                                      <w:marRight w:val="60"/>
                                      <w:marTop w:val="0"/>
                                      <w:marBottom w:val="0"/>
                                      <w:divBdr>
                                        <w:top w:val="single" w:sz="6" w:space="0" w:color="D9D9D9"/>
                                        <w:left w:val="single" w:sz="6" w:space="0" w:color="D9D9D9"/>
                                        <w:bottom w:val="single" w:sz="6" w:space="0" w:color="D9D9D9"/>
                                        <w:right w:val="single" w:sz="6" w:space="0" w:color="D9D9D9"/>
                                      </w:divBdr>
                                      <w:divsChild>
                                        <w:div w:id="715468593">
                                          <w:marLeft w:val="0"/>
                                          <w:marRight w:val="0"/>
                                          <w:marTop w:val="0"/>
                                          <w:marBottom w:val="0"/>
                                          <w:divBdr>
                                            <w:top w:val="none" w:sz="0" w:space="0" w:color="auto"/>
                                            <w:left w:val="none" w:sz="0" w:space="0" w:color="auto"/>
                                            <w:bottom w:val="none" w:sz="0" w:space="0" w:color="auto"/>
                                            <w:right w:val="none" w:sz="0" w:space="0" w:color="auto"/>
                                          </w:divBdr>
                                          <w:divsChild>
                                            <w:div w:id="904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143">
                                  <w:marLeft w:val="0"/>
                                  <w:marRight w:val="0"/>
                                  <w:marTop w:val="0"/>
                                  <w:marBottom w:val="0"/>
                                  <w:divBdr>
                                    <w:top w:val="none" w:sz="0" w:space="0" w:color="auto"/>
                                    <w:left w:val="none" w:sz="0" w:space="0" w:color="auto"/>
                                    <w:bottom w:val="none" w:sz="0" w:space="0" w:color="auto"/>
                                    <w:right w:val="none" w:sz="0" w:space="0" w:color="auto"/>
                                  </w:divBdr>
                                  <w:divsChild>
                                    <w:div w:id="968583019">
                                      <w:marLeft w:val="60"/>
                                      <w:marRight w:val="0"/>
                                      <w:marTop w:val="0"/>
                                      <w:marBottom w:val="0"/>
                                      <w:divBdr>
                                        <w:top w:val="none" w:sz="0" w:space="0" w:color="auto"/>
                                        <w:left w:val="none" w:sz="0" w:space="0" w:color="auto"/>
                                        <w:bottom w:val="none" w:sz="0" w:space="0" w:color="auto"/>
                                        <w:right w:val="none" w:sz="0" w:space="0" w:color="auto"/>
                                      </w:divBdr>
                                      <w:divsChild>
                                        <w:div w:id="1060396127">
                                          <w:marLeft w:val="0"/>
                                          <w:marRight w:val="0"/>
                                          <w:marTop w:val="0"/>
                                          <w:marBottom w:val="0"/>
                                          <w:divBdr>
                                            <w:top w:val="none" w:sz="0" w:space="0" w:color="auto"/>
                                            <w:left w:val="none" w:sz="0" w:space="0" w:color="auto"/>
                                            <w:bottom w:val="none" w:sz="0" w:space="0" w:color="auto"/>
                                            <w:right w:val="none" w:sz="0" w:space="0" w:color="auto"/>
                                          </w:divBdr>
                                          <w:divsChild>
                                            <w:div w:id="975725173">
                                              <w:marLeft w:val="0"/>
                                              <w:marRight w:val="0"/>
                                              <w:marTop w:val="0"/>
                                              <w:marBottom w:val="120"/>
                                              <w:divBdr>
                                                <w:top w:val="single" w:sz="6" w:space="0" w:color="F5F5F5"/>
                                                <w:left w:val="single" w:sz="6" w:space="0" w:color="F5F5F5"/>
                                                <w:bottom w:val="single" w:sz="6" w:space="0" w:color="F5F5F5"/>
                                                <w:right w:val="single" w:sz="6" w:space="0" w:color="F5F5F5"/>
                                              </w:divBdr>
                                              <w:divsChild>
                                                <w:div w:id="1690764236">
                                                  <w:marLeft w:val="0"/>
                                                  <w:marRight w:val="0"/>
                                                  <w:marTop w:val="0"/>
                                                  <w:marBottom w:val="0"/>
                                                  <w:divBdr>
                                                    <w:top w:val="none" w:sz="0" w:space="0" w:color="auto"/>
                                                    <w:left w:val="none" w:sz="0" w:space="0" w:color="auto"/>
                                                    <w:bottom w:val="none" w:sz="0" w:space="0" w:color="auto"/>
                                                    <w:right w:val="none" w:sz="0" w:space="0" w:color="auto"/>
                                                  </w:divBdr>
                                                  <w:divsChild>
                                                    <w:div w:id="1045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26CE-D32C-4835-ADA2-75982B3CD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AD803-C766-4087-8EA8-959660271D5D}">
  <ds:schemaRefs>
    <ds:schemaRef ds:uri="http://schemas.microsoft.com/sharepoint/v3/contenttype/forms"/>
  </ds:schemaRefs>
</ds:datastoreItem>
</file>

<file path=customXml/itemProps3.xml><?xml version="1.0" encoding="utf-8"?>
<ds:datastoreItem xmlns:ds="http://schemas.openxmlformats.org/officeDocument/2006/customXml" ds:itemID="{B6494FD4-3717-48A7-87D8-39798AF5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4F938A-857A-4615-9C4E-B6B66D77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6447</Words>
  <Characters>36752</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Na podlagi 111</vt:lpstr>
    </vt:vector>
  </TitlesOfParts>
  <Company>Ernst &amp; Young</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111</dc:title>
  <dc:creator>Marjetka Bohnec</dc:creator>
  <cp:lastModifiedBy>sandra ban</cp:lastModifiedBy>
  <cp:revision>1</cp:revision>
  <cp:lastPrinted>2017-09-06T09:38:00Z</cp:lastPrinted>
  <dcterms:created xsi:type="dcterms:W3CDTF">2017-12-08T13:17:00Z</dcterms:created>
  <dcterms:modified xsi:type="dcterms:W3CDTF">2017-12-08T13:17:00Z</dcterms:modified>
</cp:coreProperties>
</file>