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6D" w:rsidRPr="00BE720B" w:rsidRDefault="0011316D" w:rsidP="0011316D">
      <w:pPr>
        <w:pStyle w:val="Glava"/>
        <w:numPr>
          <w:ilvl w:val="0"/>
          <w:numId w:val="19"/>
        </w:numPr>
        <w:rPr>
          <w:noProof/>
          <w:szCs w:val="22"/>
          <w:lang w:val="en-GB"/>
        </w:rPr>
      </w:pPr>
      <w:r w:rsidRPr="00BE720B">
        <w:rPr>
          <w:noProof/>
          <w:szCs w:val="22"/>
          <w:lang w:val="en-GB"/>
        </w:rPr>
        <w:t>Official Gazette of the Republic of Slovenia, No. 50/15 of 10 July 2015 - basic text (in force since 11 July 2015)</w:t>
      </w:r>
    </w:p>
    <w:p w:rsidR="0011316D" w:rsidRPr="00BE720B" w:rsidRDefault="0011316D" w:rsidP="0011316D">
      <w:pPr>
        <w:pStyle w:val="Glava"/>
        <w:numPr>
          <w:ilvl w:val="0"/>
          <w:numId w:val="19"/>
        </w:numPr>
        <w:pBdr>
          <w:bottom w:val="single" w:sz="12" w:space="1" w:color="auto"/>
        </w:pBdr>
        <w:rPr>
          <w:noProof/>
          <w:szCs w:val="22"/>
          <w:lang w:val="en-GB"/>
        </w:rPr>
      </w:pPr>
      <w:r w:rsidRPr="00BE720B">
        <w:rPr>
          <w:noProof/>
          <w:szCs w:val="22"/>
          <w:lang w:val="en-GB"/>
        </w:rPr>
        <w:t xml:space="preserve">Official Gazette of the Republic of Slovenia, No. 96/15 of 11 December 2015 - </w:t>
      </w:r>
      <w:r w:rsidRPr="00BE720B">
        <w:rPr>
          <w:szCs w:val="22"/>
          <w:lang w:val="en-GB"/>
        </w:rPr>
        <w:t>amendments and additions</w:t>
      </w:r>
      <w:r w:rsidRPr="00BE720B">
        <w:rPr>
          <w:noProof/>
          <w:szCs w:val="22"/>
          <w:lang w:val="en-GB"/>
        </w:rPr>
        <w:t xml:space="preserve"> (in force since 12 December 2015)</w:t>
      </w:r>
    </w:p>
    <w:p w:rsidR="0011316D" w:rsidRPr="00BE720B" w:rsidRDefault="0011316D" w:rsidP="0011316D">
      <w:pPr>
        <w:pStyle w:val="Glava"/>
        <w:numPr>
          <w:ilvl w:val="0"/>
          <w:numId w:val="19"/>
        </w:numPr>
        <w:pBdr>
          <w:bottom w:val="single" w:sz="12" w:space="1" w:color="auto"/>
        </w:pBdr>
        <w:rPr>
          <w:noProof/>
          <w:szCs w:val="22"/>
          <w:highlight w:val="yellow"/>
          <w:lang w:val="en-GB"/>
        </w:rPr>
      </w:pPr>
      <w:r w:rsidRPr="00BE720B">
        <w:rPr>
          <w:noProof/>
          <w:szCs w:val="22"/>
          <w:highlight w:val="yellow"/>
          <w:lang w:val="en-GB"/>
        </w:rPr>
        <w:t xml:space="preserve">Official Gazette of the Republic of Slovenia, No. 72/17 of 15 December 2017 - </w:t>
      </w:r>
      <w:r w:rsidRPr="00BE720B">
        <w:rPr>
          <w:szCs w:val="22"/>
          <w:highlight w:val="yellow"/>
          <w:lang w:val="en-GB"/>
        </w:rPr>
        <w:t>amendments and additions</w:t>
      </w:r>
      <w:r w:rsidRPr="00BE720B">
        <w:rPr>
          <w:noProof/>
          <w:szCs w:val="22"/>
          <w:highlight w:val="yellow"/>
          <w:lang w:val="en-GB"/>
        </w:rPr>
        <w:t xml:space="preserve"> (in force since 16 December 2017)</w:t>
      </w:r>
    </w:p>
    <w:p w:rsidR="0011316D" w:rsidRDefault="0011316D" w:rsidP="008575FE">
      <w:pPr>
        <w:rPr>
          <w:lang w:val="en-GB"/>
        </w:rPr>
      </w:pPr>
    </w:p>
    <w:p w:rsidR="008575FE" w:rsidRDefault="008575FE" w:rsidP="008575FE">
      <w:r>
        <w:rPr>
          <w:lang w:val="en-GB"/>
        </w:rPr>
        <w:t xml:space="preserve">Pursuant to the seventh paragraph of Article 117 and the second paragraph of Article 386 of the Banking Act (Official Gazette of the Republic of Slovenia, No. 25/15, </w:t>
      </w:r>
      <w:r w:rsidRPr="008575FE">
        <w:rPr>
          <w:highlight w:val="yellow"/>
          <w:lang w:val="en-GB"/>
        </w:rPr>
        <w:t>44/16 [ZRPPB], 77/16 [ZCKR] and 41/17; hereinafter: the ZBan-2</w:t>
      </w:r>
      <w:r>
        <w:rPr>
          <w:lang w:val="en-GB"/>
        </w:rPr>
        <w:t xml:space="preserve">) and the first paragraph of Article 31 and the third paragraph of Article 13 of the Bank of Slovenia Act (Official Gazette of the Republic of Slovenia, Nos. 72/06 [official consolidated version], 59/11 </w:t>
      </w:r>
      <w:r w:rsidRPr="008575FE">
        <w:rPr>
          <w:highlight w:val="yellow"/>
          <w:lang w:val="en-GB"/>
        </w:rPr>
        <w:t>and 55/17</w:t>
      </w:r>
      <w:r>
        <w:rPr>
          <w:lang w:val="en-GB"/>
        </w:rPr>
        <w:t>), the Governing Board of the Bank of Slovenia hereby issues the following</w:t>
      </w:r>
    </w:p>
    <w:p w:rsidR="008B6E44" w:rsidRPr="008B6E44" w:rsidRDefault="008B6E44" w:rsidP="008B6E44">
      <w:pPr>
        <w:jc w:val="left"/>
        <w:rPr>
          <w:noProof/>
        </w:rPr>
      </w:pPr>
    </w:p>
    <w:p w:rsidR="008B6E44" w:rsidRPr="008B6E44" w:rsidRDefault="008B6E44" w:rsidP="008B6E44">
      <w:pPr>
        <w:jc w:val="left"/>
        <w:rPr>
          <w:noProof/>
        </w:rPr>
      </w:pPr>
    </w:p>
    <w:p w:rsidR="008B6E44" w:rsidRPr="008B6E44" w:rsidRDefault="008B6E44" w:rsidP="008B6E44">
      <w:pPr>
        <w:pStyle w:val="H3"/>
        <w:jc w:val="center"/>
        <w:rPr>
          <w:noProof/>
          <w:sz w:val="22"/>
          <w:szCs w:val="22"/>
        </w:rPr>
      </w:pPr>
      <w:r w:rsidRPr="000819AE">
        <w:rPr>
          <w:bCs/>
          <w:noProof/>
          <w:sz w:val="22"/>
          <w:szCs w:val="22"/>
          <w:lang w:val="en-GB"/>
        </w:rPr>
        <w:t>R E G U L A T I O N</w:t>
      </w:r>
      <w:r w:rsidRPr="000819AE">
        <w:rPr>
          <w:b w:val="0"/>
          <w:noProof/>
          <w:sz w:val="22"/>
          <w:szCs w:val="22"/>
          <w:lang w:val="en-GB"/>
        </w:rPr>
        <w:br/>
      </w:r>
      <w:r w:rsidRPr="000819AE">
        <w:rPr>
          <w:bCs/>
          <w:noProof/>
          <w:sz w:val="22"/>
          <w:szCs w:val="22"/>
          <w:lang w:val="en-GB"/>
        </w:rPr>
        <w:t>ON REPORTING BY BRANCHES OF MEMBER STATE BANKS</w:t>
      </w:r>
      <w:r>
        <w:rPr>
          <w:bCs/>
          <w:noProof/>
          <w:sz w:val="22"/>
          <w:szCs w:val="22"/>
          <w:lang w:val="en-GB"/>
        </w:rPr>
        <w:t xml:space="preserve"> </w:t>
      </w:r>
    </w:p>
    <w:p w:rsidR="0019245E" w:rsidRPr="008B6E44" w:rsidRDefault="0019245E" w:rsidP="008B6E44">
      <w:pPr>
        <w:jc w:val="center"/>
        <w:rPr>
          <w:noProof/>
        </w:rPr>
      </w:pPr>
    </w:p>
    <w:p w:rsidR="008B6E44" w:rsidRPr="008B6E44" w:rsidRDefault="008B6E44" w:rsidP="008B6E44">
      <w:pPr>
        <w:jc w:val="center"/>
        <w:rPr>
          <w:noProof/>
        </w:rPr>
      </w:pPr>
    </w:p>
    <w:p w:rsidR="008B6E44" w:rsidRPr="008B6E44" w:rsidRDefault="008B6E44" w:rsidP="008B6E44">
      <w:pPr>
        <w:jc w:val="center"/>
        <w:rPr>
          <w:noProof/>
        </w:rPr>
      </w:pPr>
      <w:r>
        <w:rPr>
          <w:noProof/>
          <w:lang w:val="en-GB"/>
        </w:rPr>
        <w:t>Article 1</w:t>
      </w:r>
    </w:p>
    <w:p w:rsidR="008B6E44" w:rsidRPr="008B6E44" w:rsidRDefault="008B6E44" w:rsidP="008B6E44">
      <w:pPr>
        <w:jc w:val="center"/>
        <w:rPr>
          <w:noProof/>
        </w:rPr>
      </w:pPr>
      <w:r>
        <w:rPr>
          <w:noProof/>
          <w:lang w:val="en-GB"/>
        </w:rPr>
        <w:t>(general provisions)</w:t>
      </w:r>
    </w:p>
    <w:p w:rsidR="008B6E44" w:rsidRPr="008B6E44" w:rsidRDefault="008B6E44" w:rsidP="008B6E44">
      <w:pPr>
        <w:jc w:val="left"/>
        <w:rPr>
          <w:noProof/>
        </w:rPr>
      </w:pPr>
    </w:p>
    <w:p w:rsidR="008B6E44" w:rsidRPr="008B6E44" w:rsidRDefault="008B6E44" w:rsidP="008B6E44">
      <w:pPr>
        <w:numPr>
          <w:ilvl w:val="0"/>
          <w:numId w:val="10"/>
        </w:numPr>
        <w:rPr>
          <w:noProof/>
        </w:rPr>
      </w:pPr>
      <w:r>
        <w:rPr>
          <w:noProof/>
          <w:lang w:val="en-GB"/>
        </w:rPr>
        <w:t xml:space="preserve">This regulation sets out the detailed scope of data and information to be reported by branches of Member State banks (hereinafter: branches) in connection with their operations in the territory of the Republic of Slovenia. </w:t>
      </w:r>
    </w:p>
    <w:p w:rsidR="008B6E44" w:rsidRPr="008B6E44" w:rsidRDefault="008B6E44" w:rsidP="008B6E44">
      <w:pPr>
        <w:pStyle w:val="Odstavekseznama"/>
        <w:ind w:left="0"/>
        <w:rPr>
          <w:noProof/>
        </w:rPr>
      </w:pPr>
    </w:p>
    <w:p w:rsidR="008B6E44" w:rsidRPr="008B6E44" w:rsidRDefault="008B6E44" w:rsidP="008B6E44">
      <w:pPr>
        <w:numPr>
          <w:ilvl w:val="0"/>
          <w:numId w:val="10"/>
        </w:numPr>
        <w:rPr>
          <w:noProof/>
        </w:rPr>
      </w:pPr>
      <w:r>
        <w:rPr>
          <w:noProof/>
          <w:lang w:val="en-GB"/>
        </w:rPr>
        <w:t>Wherever this regulation refers to the provisions of other regulations, such provisions shall apply in their wording applicable at the time in question.</w:t>
      </w:r>
    </w:p>
    <w:p w:rsidR="008B6E44" w:rsidRPr="008B6E44" w:rsidRDefault="008B6E44" w:rsidP="008B6E44">
      <w:pPr>
        <w:rPr>
          <w:noProof/>
        </w:rPr>
      </w:pPr>
    </w:p>
    <w:p w:rsidR="008B6E44" w:rsidRPr="008B6E44" w:rsidRDefault="008B6E44" w:rsidP="008B6E44">
      <w:pPr>
        <w:jc w:val="center"/>
        <w:rPr>
          <w:noProof/>
        </w:rPr>
      </w:pPr>
      <w:r>
        <w:rPr>
          <w:noProof/>
          <w:lang w:val="en-GB"/>
        </w:rPr>
        <w:t>Article 2</w:t>
      </w:r>
    </w:p>
    <w:p w:rsidR="008B6E44" w:rsidRPr="008B6E44" w:rsidRDefault="008B6E44" w:rsidP="008B6E44">
      <w:pPr>
        <w:jc w:val="center"/>
        <w:rPr>
          <w:noProof/>
        </w:rPr>
      </w:pPr>
      <w:r>
        <w:rPr>
          <w:noProof/>
          <w:lang w:val="en-GB"/>
        </w:rPr>
        <w:t>(reporting for liquidity risk monitoring purposes)</w:t>
      </w:r>
    </w:p>
    <w:p w:rsidR="008B6E44" w:rsidRPr="008B6E44" w:rsidRDefault="008B6E44" w:rsidP="008B6E44">
      <w:pPr>
        <w:jc w:val="left"/>
        <w:rPr>
          <w:noProof/>
        </w:rPr>
      </w:pPr>
    </w:p>
    <w:p w:rsidR="008B6E44" w:rsidRPr="008B6E44" w:rsidRDefault="008575FE" w:rsidP="008B6E44">
      <w:pPr>
        <w:pStyle w:val="Telobesedila"/>
        <w:jc w:val="both"/>
        <w:rPr>
          <w:noProof/>
        </w:rPr>
      </w:pPr>
      <w:r>
        <w:rPr>
          <w:szCs w:val="22"/>
          <w:lang w:val="en-GB"/>
        </w:rPr>
        <w:t xml:space="preserve">A branch shall report on liquidity ratios in accordance </w:t>
      </w:r>
      <w:r w:rsidRPr="008575FE">
        <w:rPr>
          <w:szCs w:val="22"/>
          <w:highlight w:val="yellow"/>
          <w:lang w:val="en-GB"/>
        </w:rPr>
        <w:t>with the Regulation on the macroprudential monitoring of liquidity and funding structure (Official Gazette of the Republic of Slovenia, No. 72/17</w:t>
      </w:r>
      <w:r w:rsidRPr="008575FE">
        <w:rPr>
          <w:color w:val="626060"/>
          <w:szCs w:val="22"/>
          <w:highlight w:val="yellow"/>
          <w:lang w:val="en-GB"/>
        </w:rPr>
        <w:t>).</w:t>
      </w:r>
    </w:p>
    <w:p w:rsidR="008B6E44" w:rsidRPr="008B6E44" w:rsidRDefault="008B6E44" w:rsidP="008B6E44">
      <w:pPr>
        <w:pStyle w:val="Telobesedila"/>
        <w:jc w:val="both"/>
        <w:rPr>
          <w:noProof/>
        </w:rPr>
      </w:pPr>
    </w:p>
    <w:p w:rsidR="008B6E44" w:rsidRPr="008B6E44" w:rsidRDefault="008B6E44" w:rsidP="008B6E44">
      <w:pPr>
        <w:jc w:val="center"/>
        <w:rPr>
          <w:noProof/>
        </w:rPr>
      </w:pPr>
      <w:r>
        <w:rPr>
          <w:noProof/>
          <w:lang w:val="en-GB"/>
        </w:rPr>
        <w:t>Article 3</w:t>
      </w:r>
    </w:p>
    <w:p w:rsidR="008B6E44" w:rsidRPr="008B6E44" w:rsidRDefault="008B6E44" w:rsidP="008B6E44">
      <w:pPr>
        <w:jc w:val="center"/>
        <w:rPr>
          <w:noProof/>
        </w:rPr>
      </w:pPr>
      <w:r>
        <w:rPr>
          <w:noProof/>
          <w:lang w:val="en-GB"/>
        </w:rPr>
        <w:t>(reporting for information and statistical purposes)</w:t>
      </w:r>
    </w:p>
    <w:p w:rsidR="00621C57" w:rsidRPr="00621C57" w:rsidRDefault="00621C57" w:rsidP="00621C57">
      <w:pPr>
        <w:spacing w:before="240"/>
        <w:rPr>
          <w:szCs w:val="22"/>
          <w:highlight w:val="yellow"/>
        </w:rPr>
      </w:pPr>
      <w:r w:rsidRPr="00621C57">
        <w:rPr>
          <w:szCs w:val="22"/>
          <w:highlight w:val="yellow"/>
          <w:lang w:val="en-GB"/>
        </w:rPr>
        <w:t>(1) A branch shall report in accordance with the Regulation on reporting by monetary financial institutions (Official Gazette of the Republic of Slovenia, No. 21/16) and the Guidelines for implementing the Regulation on reporting by monetary financial institutions of 5 December 2017 published on the Bank of Slovenia website. The first sentence notwithstanding, the branch shall not be required to:</w:t>
      </w:r>
    </w:p>
    <w:p w:rsidR="00621C57" w:rsidRPr="00621C57" w:rsidRDefault="00621C57" w:rsidP="00621C57">
      <w:pPr>
        <w:pStyle w:val="Odstavekseznama"/>
        <w:numPr>
          <w:ilvl w:val="0"/>
          <w:numId w:val="20"/>
        </w:numPr>
        <w:ind w:left="426"/>
        <w:contextualSpacing/>
        <w:rPr>
          <w:highlight w:val="yellow"/>
        </w:rPr>
      </w:pPr>
      <w:r w:rsidRPr="00621C57">
        <w:rPr>
          <w:highlight w:val="yellow"/>
          <w:lang w:val="en-GB"/>
        </w:rPr>
        <w:t>submit the quarterly report on parameters in connection with credit risk (BS1K);</w:t>
      </w:r>
    </w:p>
    <w:p w:rsidR="00621C57" w:rsidRPr="003C2119" w:rsidRDefault="00621C57" w:rsidP="00621C57">
      <w:pPr>
        <w:pStyle w:val="Odstavekseznama"/>
        <w:numPr>
          <w:ilvl w:val="0"/>
          <w:numId w:val="20"/>
        </w:numPr>
        <w:ind w:left="426"/>
        <w:contextualSpacing/>
      </w:pPr>
      <w:r w:rsidRPr="00621C57">
        <w:rPr>
          <w:highlight w:val="yellow"/>
          <w:lang w:val="en-GB"/>
        </w:rPr>
        <w:t xml:space="preserve">assign designations of a), b), c), d) or e) to items in accordance to code list 106. </w:t>
      </w:r>
      <w:r w:rsidRPr="00621C57">
        <w:rPr>
          <w:i/>
          <w:iCs/>
          <w:highlight w:val="yellow"/>
          <w:lang w:val="en-GB"/>
        </w:rPr>
        <w:t>Designation of customer credit assessment</w:t>
      </w:r>
      <w:r w:rsidRPr="00621C57">
        <w:rPr>
          <w:highlight w:val="yellow"/>
          <w:lang w:val="en-GB"/>
        </w:rPr>
        <w:t xml:space="preserve"> and, with regard to the type of forbearance, in accordance to code list 100. </w:t>
      </w:r>
      <w:r w:rsidRPr="00621C57">
        <w:rPr>
          <w:i/>
          <w:iCs/>
          <w:highlight w:val="yellow"/>
          <w:lang w:val="en-GB"/>
        </w:rPr>
        <w:t xml:space="preserve">Types of forbearance </w:t>
      </w:r>
      <w:r w:rsidRPr="00621C57">
        <w:rPr>
          <w:highlight w:val="yellow"/>
          <w:lang w:val="en-GB"/>
        </w:rPr>
        <w:t>in the monthly report on accounting items with interest rates (BS1S). The</w:t>
      </w:r>
      <w:r>
        <w:rPr>
          <w:lang w:val="en-GB"/>
        </w:rPr>
        <w:t xml:space="preserve"> </w:t>
      </w:r>
      <w:r w:rsidRPr="00621C57">
        <w:rPr>
          <w:highlight w:val="yellow"/>
          <w:lang w:val="en-GB"/>
        </w:rPr>
        <w:t>branch may assign a designation of f) to all forborne exposures, and shall be obliged to assign a designation of N to items with exposures that have not yet been subject to forbearance measures.</w:t>
      </w:r>
    </w:p>
    <w:p w:rsidR="0019245E" w:rsidRPr="008B6E44" w:rsidRDefault="0019245E" w:rsidP="0019245E">
      <w:pPr>
        <w:pStyle w:val="Odstavekseznama"/>
        <w:ind w:left="720"/>
        <w:rPr>
          <w:noProof/>
        </w:rPr>
      </w:pPr>
    </w:p>
    <w:p w:rsidR="00694799" w:rsidRPr="00694799" w:rsidRDefault="00694799" w:rsidP="00621C57">
      <w:pPr>
        <w:numPr>
          <w:ilvl w:val="0"/>
          <w:numId w:val="21"/>
        </w:numPr>
        <w:rPr>
          <w:noProof/>
          <w:lang w:val="en-GB"/>
        </w:rPr>
      </w:pPr>
      <w:r>
        <w:rPr>
          <w:noProof/>
          <w:lang w:val="en-GB"/>
        </w:rPr>
        <w:t xml:space="preserve">The branch shall report in accordance with the Regulation on the reporting of transactions with the rest of the world (Official Gazette of the Republic of Slovenia, Nos. 107/08 and 24/13), the Guidelines for implementing the Regulation on the reporting of transactions with the rest of the world (Official Gazette of the Republic of Slovenia, Nos. </w:t>
      </w:r>
      <w:r w:rsidRPr="00694799">
        <w:rPr>
          <w:noProof/>
          <w:lang w:val="en-GB"/>
        </w:rPr>
        <w:t>107/08, 36/09, 81/09, 81/10, 103/11, 99/12 and 27/13</w:t>
      </w:r>
      <w:r>
        <w:rPr>
          <w:noProof/>
          <w:lang w:val="en-GB"/>
        </w:rPr>
        <w:t>), and the Guidelines for the reporting of transactions in securities (Official Gazette of the Republic of Slovenia, No. 109/13).</w:t>
      </w:r>
    </w:p>
    <w:p w:rsidR="008B6E44" w:rsidRDefault="008B6E44" w:rsidP="008B6E44">
      <w:pPr>
        <w:rPr>
          <w:noProof/>
        </w:rPr>
      </w:pPr>
    </w:p>
    <w:p w:rsidR="00C94A3D" w:rsidRPr="000819AE" w:rsidRDefault="00C94A3D" w:rsidP="00621C57">
      <w:pPr>
        <w:pStyle w:val="Odstavekseznama"/>
        <w:numPr>
          <w:ilvl w:val="0"/>
          <w:numId w:val="21"/>
        </w:numPr>
        <w:rPr>
          <w:b/>
          <w:noProof/>
        </w:rPr>
      </w:pPr>
      <w:r w:rsidRPr="000819AE">
        <w:rPr>
          <w:b/>
          <w:noProof/>
        </w:rPr>
        <w:t>Del</w:t>
      </w:r>
      <w:r w:rsidR="00CB6DA9">
        <w:rPr>
          <w:b/>
          <w:noProof/>
        </w:rPr>
        <w:t>e</w:t>
      </w:r>
      <w:r w:rsidRPr="000819AE">
        <w:rPr>
          <w:b/>
          <w:noProof/>
        </w:rPr>
        <w:t>ted</w:t>
      </w:r>
    </w:p>
    <w:p w:rsidR="00C94A3D" w:rsidRPr="008B6E44" w:rsidRDefault="00C94A3D" w:rsidP="00C94A3D">
      <w:pPr>
        <w:pStyle w:val="Odstavekseznama"/>
        <w:ind w:left="0"/>
        <w:rPr>
          <w:noProof/>
        </w:rPr>
      </w:pPr>
    </w:p>
    <w:p w:rsidR="00601A22" w:rsidRPr="004654EC" w:rsidRDefault="00601A22" w:rsidP="00601A22">
      <w:pPr>
        <w:rPr>
          <w:noProof/>
        </w:rPr>
      </w:pPr>
      <w:r>
        <w:rPr>
          <w:noProof/>
          <w:lang w:val="en-GB"/>
        </w:rPr>
        <w:t xml:space="preserve">(4) The branch that provide payment services as defined in the Payment Services and Systems Act (Official Gazette of the Republic of Slovenia, Nos. 58/09, 34/10, 9/11 and 32/12) shall report on the fees charged to users in connection with the provision of payment services in the territory of the Republic of Slovenia in accordance with the Regulation on information on fees for the provision of payment services (Official Gazette of the Republic of Slovenia No. </w:t>
      </w:r>
      <w:hyperlink r:id="rId11" w:tgtFrame="_blank" w:tooltip="Regulation on information on fees for the provision of payment services" w:history="1">
        <w:r>
          <w:rPr>
            <w:noProof/>
            <w:lang w:val="en-GB"/>
          </w:rPr>
          <w:t>71/09</w:t>
        </w:r>
      </w:hyperlink>
      <w:r>
        <w:rPr>
          <w:noProof/>
          <w:lang w:val="en-GB"/>
        </w:rPr>
        <w:t>).</w:t>
      </w:r>
    </w:p>
    <w:p w:rsidR="004654EC" w:rsidRDefault="004654EC" w:rsidP="0077107E">
      <w:pPr>
        <w:rPr>
          <w:noProof/>
        </w:rPr>
      </w:pPr>
    </w:p>
    <w:p w:rsidR="008B6E44" w:rsidRPr="008B6E44" w:rsidRDefault="00601A22" w:rsidP="00A254AF">
      <w:pPr>
        <w:rPr>
          <w:noProof/>
        </w:rPr>
      </w:pPr>
      <w:r>
        <w:rPr>
          <w:noProof/>
          <w:lang w:val="en-GB"/>
        </w:rPr>
        <w:t>(5</w:t>
      </w:r>
      <w:r w:rsidR="00A254AF">
        <w:rPr>
          <w:noProof/>
          <w:lang w:val="en-GB"/>
        </w:rPr>
        <w:t xml:space="preserve">) </w:t>
      </w:r>
      <w:r w:rsidR="003C3FF1">
        <w:rPr>
          <w:noProof/>
          <w:lang w:val="en-GB"/>
        </w:rPr>
        <w:t xml:space="preserve">A </w:t>
      </w:r>
      <w:r w:rsidR="002548CD">
        <w:rPr>
          <w:noProof/>
          <w:lang w:val="en-GB"/>
        </w:rPr>
        <w:t>b</w:t>
      </w:r>
      <w:r w:rsidR="008B6E44">
        <w:rPr>
          <w:noProof/>
          <w:lang w:val="en-GB"/>
        </w:rPr>
        <w:t>ranch that provide</w:t>
      </w:r>
      <w:r w:rsidR="003C3FF1">
        <w:rPr>
          <w:noProof/>
          <w:lang w:val="en-GB"/>
        </w:rPr>
        <w:t>s</w:t>
      </w:r>
      <w:r w:rsidR="008B6E44">
        <w:rPr>
          <w:noProof/>
          <w:lang w:val="en-GB"/>
        </w:rPr>
        <w:t xml:space="preserve"> currency exchange operations as defined in the Foreign Exchange Act (Official Gazette of the Republic of Slovenia, Nos. 16/08, 85/09 and 109/12) shall report on the purchase of foreign cash and cheques made out and redeemable in foreign currency, and on the sale of foreign cash, broken down by currency, in accordance with the Regulation on foreign exchange transactions (Official Gazette of the Republic of Slovenia, No. 30/13).</w:t>
      </w:r>
      <w:r w:rsidR="008B6E44">
        <w:rPr>
          <w:noProof/>
          <w:highlight w:val="cyan"/>
          <w:lang w:val="en-GB"/>
        </w:rPr>
        <w:t xml:space="preserve"> </w:t>
      </w:r>
    </w:p>
    <w:p w:rsidR="008B6E44" w:rsidRPr="008B6E44" w:rsidRDefault="008B6E44" w:rsidP="008B6E44">
      <w:pPr>
        <w:rPr>
          <w:b/>
          <w:noProof/>
        </w:rPr>
      </w:pPr>
    </w:p>
    <w:p w:rsidR="008B6E44" w:rsidRPr="008B6E44" w:rsidRDefault="00601A22" w:rsidP="00A254AF">
      <w:pPr>
        <w:rPr>
          <w:noProof/>
        </w:rPr>
      </w:pPr>
      <w:r>
        <w:rPr>
          <w:noProof/>
          <w:lang w:val="en-GB"/>
        </w:rPr>
        <w:t>(6</w:t>
      </w:r>
      <w:r w:rsidR="00A254AF">
        <w:rPr>
          <w:noProof/>
          <w:lang w:val="en-GB"/>
        </w:rPr>
        <w:t xml:space="preserve">) </w:t>
      </w:r>
      <w:r w:rsidR="003C3FF1">
        <w:rPr>
          <w:noProof/>
          <w:lang w:val="en-GB"/>
        </w:rPr>
        <w:t xml:space="preserve">A </w:t>
      </w:r>
      <w:r w:rsidR="00106471">
        <w:rPr>
          <w:noProof/>
          <w:lang w:val="en-GB"/>
        </w:rPr>
        <w:t>b</w:t>
      </w:r>
      <w:r w:rsidR="008B6E44">
        <w:rPr>
          <w:noProof/>
          <w:lang w:val="en-GB"/>
        </w:rPr>
        <w:t xml:space="preserve">ranch that </w:t>
      </w:r>
      <w:r w:rsidR="003C3FF1">
        <w:rPr>
          <w:noProof/>
          <w:lang w:val="en-GB"/>
        </w:rPr>
        <w:t xml:space="preserve">is </w:t>
      </w:r>
      <w:r w:rsidR="008B6E44">
        <w:rPr>
          <w:noProof/>
          <w:lang w:val="en-GB"/>
        </w:rPr>
        <w:t xml:space="preserve">obliged to report pursuant to the Regulation on the reporting of payments statistics (Official Gazette of the Republic of Slovenia, No. 38/14) shall report in accordance with the Guidelines for implementing the Regulation on the reporting of payments statistics (Official Gazette of the Republic of Slovenia, No. 69/14). </w:t>
      </w:r>
    </w:p>
    <w:p w:rsidR="008B6E44" w:rsidRPr="008B6E44" w:rsidRDefault="008B6E44" w:rsidP="008B6E44">
      <w:pPr>
        <w:rPr>
          <w:noProof/>
        </w:rPr>
      </w:pPr>
    </w:p>
    <w:p w:rsidR="008B6E44" w:rsidRPr="008B6E44" w:rsidRDefault="00601A22" w:rsidP="00A254AF">
      <w:pPr>
        <w:rPr>
          <w:noProof/>
        </w:rPr>
      </w:pPr>
      <w:r>
        <w:rPr>
          <w:noProof/>
          <w:lang w:val="en-GB"/>
        </w:rPr>
        <w:t>(7</w:t>
      </w:r>
      <w:r w:rsidR="00A254AF">
        <w:rPr>
          <w:noProof/>
          <w:lang w:val="en-GB"/>
        </w:rPr>
        <w:t xml:space="preserve">) </w:t>
      </w:r>
      <w:r w:rsidR="003C3FF1">
        <w:rPr>
          <w:noProof/>
          <w:lang w:val="en-GB"/>
        </w:rPr>
        <w:t xml:space="preserve">The </w:t>
      </w:r>
      <w:r w:rsidR="00106471">
        <w:rPr>
          <w:noProof/>
          <w:lang w:val="en-GB"/>
        </w:rPr>
        <w:t>b</w:t>
      </w:r>
      <w:r w:rsidR="008B6E44">
        <w:rPr>
          <w:noProof/>
          <w:lang w:val="en-GB"/>
        </w:rPr>
        <w:t xml:space="preserve">ranch shall report on interbank deposits in accordance with the Regulation on the reporting of interbank deposits (Official Gazette of the Republic of Slovenia, No. 103/06) and the Guidelines on the content and manner of the reporting of interbank deposits (Official Gazette of the Republic of Slovenia, Nos. 105/06, 27/07 and 4/14). </w:t>
      </w:r>
    </w:p>
    <w:p w:rsidR="008B6E44" w:rsidRPr="008B6E44" w:rsidRDefault="008B6E44" w:rsidP="008B6E44">
      <w:pPr>
        <w:rPr>
          <w:noProof/>
        </w:rPr>
      </w:pPr>
    </w:p>
    <w:p w:rsidR="008B6E44" w:rsidRPr="008B6E44" w:rsidRDefault="00601A22" w:rsidP="00A254AF">
      <w:pPr>
        <w:rPr>
          <w:noProof/>
        </w:rPr>
      </w:pPr>
      <w:r>
        <w:rPr>
          <w:noProof/>
          <w:lang w:val="en-GB"/>
        </w:rPr>
        <w:t>(8</w:t>
      </w:r>
      <w:r w:rsidR="00A254AF">
        <w:rPr>
          <w:noProof/>
          <w:lang w:val="en-GB"/>
        </w:rPr>
        <w:t>)</w:t>
      </w:r>
      <w:r w:rsidR="003C3FF1">
        <w:rPr>
          <w:noProof/>
          <w:lang w:val="en-GB"/>
        </w:rPr>
        <w:t xml:space="preserve">The </w:t>
      </w:r>
      <w:r w:rsidR="004654EC">
        <w:rPr>
          <w:noProof/>
          <w:lang w:val="en-GB"/>
        </w:rPr>
        <w:t>b</w:t>
      </w:r>
      <w:r w:rsidR="008B6E44">
        <w:rPr>
          <w:noProof/>
          <w:lang w:val="en-GB"/>
        </w:rPr>
        <w:t xml:space="preserve">ranch shall report in accordance with the Regulation on the reporting of effective interest rates of banks and savings banks in accordance with the Consumer Credit Act (Official Gazette of the Republic of Slovenia, No. 47/15). </w:t>
      </w:r>
    </w:p>
    <w:p w:rsidR="00621C57" w:rsidRDefault="00621C57" w:rsidP="00621C57">
      <w:pPr>
        <w:rPr>
          <w:noProof/>
        </w:rPr>
      </w:pPr>
    </w:p>
    <w:p w:rsidR="00621C57" w:rsidRPr="003C2119" w:rsidRDefault="00621C57" w:rsidP="00621C57">
      <w:pPr>
        <w:rPr>
          <w:rFonts w:eastAsiaTheme="minorHAnsi"/>
          <w:szCs w:val="22"/>
        </w:rPr>
      </w:pPr>
      <w:r w:rsidRPr="00621C57">
        <w:rPr>
          <w:rFonts w:eastAsiaTheme="minorHAnsi"/>
          <w:szCs w:val="22"/>
          <w:highlight w:val="yellow"/>
          <w:lang w:val="en-GB"/>
        </w:rPr>
        <w:t>(9) The branch shall report in accordance with the Regulation on the conditions for consumer credit intermediation applying to bank credit intermediaries (Official Gazette of the Republic of Slovenia, Nos. 9/17 and 26/17).</w:t>
      </w:r>
    </w:p>
    <w:p w:rsidR="0019245E" w:rsidRDefault="0019245E">
      <w:pPr>
        <w:jc w:val="left"/>
        <w:rPr>
          <w:noProof/>
          <w:lang w:val="en-GB"/>
        </w:rPr>
      </w:pPr>
    </w:p>
    <w:p w:rsidR="008B6E44" w:rsidRPr="008B6E44" w:rsidRDefault="008B6E44" w:rsidP="008B6E44">
      <w:pPr>
        <w:jc w:val="center"/>
        <w:rPr>
          <w:noProof/>
        </w:rPr>
      </w:pPr>
      <w:r>
        <w:rPr>
          <w:noProof/>
          <w:lang w:val="en-GB"/>
        </w:rPr>
        <w:t xml:space="preserve">Article 4 </w:t>
      </w:r>
    </w:p>
    <w:p w:rsidR="008B6E44" w:rsidRPr="008B6E44" w:rsidRDefault="008B6E44" w:rsidP="008B6E44">
      <w:pPr>
        <w:jc w:val="center"/>
        <w:rPr>
          <w:noProof/>
        </w:rPr>
      </w:pPr>
      <w:r>
        <w:rPr>
          <w:noProof/>
          <w:lang w:val="en-GB"/>
        </w:rPr>
        <w:t>(reporting for realisation of deposit guarantee)</w:t>
      </w:r>
    </w:p>
    <w:p w:rsidR="008B6E44" w:rsidRPr="008B6E44" w:rsidRDefault="008B6E44" w:rsidP="008B6E44">
      <w:pPr>
        <w:jc w:val="center"/>
        <w:rPr>
          <w:noProof/>
        </w:rPr>
      </w:pPr>
    </w:p>
    <w:p w:rsidR="00313115" w:rsidRPr="00313115" w:rsidRDefault="003C3FF1" w:rsidP="007C418F">
      <w:pPr>
        <w:numPr>
          <w:ilvl w:val="0"/>
          <w:numId w:val="16"/>
        </w:numPr>
        <w:rPr>
          <w:noProof/>
        </w:rPr>
      </w:pPr>
      <w:r w:rsidRPr="00313115">
        <w:rPr>
          <w:noProof/>
          <w:lang w:val="en-GB"/>
        </w:rPr>
        <w:t xml:space="preserve">A </w:t>
      </w:r>
      <w:r w:rsidR="00106471" w:rsidRPr="00313115">
        <w:rPr>
          <w:noProof/>
          <w:lang w:val="en-GB"/>
        </w:rPr>
        <w:t>b</w:t>
      </w:r>
      <w:r w:rsidR="008B6E44" w:rsidRPr="00313115">
        <w:rPr>
          <w:noProof/>
          <w:lang w:val="en-GB"/>
        </w:rPr>
        <w:t xml:space="preserve">ranch shall report half-yearly on the number of depositors at the branch whose deposits are guaranteed under the deposit guarantee scheme in the bank’s home country, and on the total amount of their guaranteed deposits, separately for </w:t>
      </w:r>
      <w:r w:rsidR="006A0569" w:rsidRPr="00313115">
        <w:rPr>
          <w:noProof/>
          <w:lang w:val="en-GB"/>
        </w:rPr>
        <w:t xml:space="preserve">natural </w:t>
      </w:r>
      <w:r w:rsidR="008B6E44" w:rsidRPr="00313115">
        <w:rPr>
          <w:noProof/>
          <w:lang w:val="en-GB"/>
        </w:rPr>
        <w:t xml:space="preserve">and for legal </w:t>
      </w:r>
      <w:r w:rsidR="006A0569" w:rsidRPr="00313115">
        <w:rPr>
          <w:noProof/>
          <w:lang w:val="en-GB"/>
        </w:rPr>
        <w:t>persons</w:t>
      </w:r>
      <w:r w:rsidR="008B6E44" w:rsidRPr="00313115">
        <w:rPr>
          <w:noProof/>
          <w:lang w:val="en-GB"/>
        </w:rPr>
        <w:t xml:space="preserve">. </w:t>
      </w:r>
    </w:p>
    <w:p w:rsidR="008B6E44" w:rsidRPr="008B6E44" w:rsidRDefault="008B6E44" w:rsidP="007C418F">
      <w:pPr>
        <w:numPr>
          <w:ilvl w:val="0"/>
          <w:numId w:val="16"/>
        </w:numPr>
        <w:rPr>
          <w:noProof/>
        </w:rPr>
      </w:pPr>
      <w:r w:rsidRPr="00313115">
        <w:rPr>
          <w:noProof/>
          <w:lang w:val="en-GB"/>
        </w:rPr>
        <w:t>The deadlines for submitting the report referred to in the first paragraph of this article are the end of July in the current year for the situation as at the end of June, and the end of January of the next year for the situation as at the end of December.</w:t>
      </w:r>
    </w:p>
    <w:p w:rsidR="000819AE" w:rsidRDefault="000819AE" w:rsidP="008B6E44">
      <w:pPr>
        <w:jc w:val="center"/>
        <w:rPr>
          <w:noProof/>
          <w:lang w:val="en-GB"/>
        </w:rPr>
      </w:pPr>
    </w:p>
    <w:p w:rsidR="008B6E44" w:rsidRPr="008B6E44" w:rsidRDefault="008B6E44" w:rsidP="008B6E44">
      <w:pPr>
        <w:jc w:val="center"/>
        <w:rPr>
          <w:noProof/>
        </w:rPr>
      </w:pPr>
      <w:r>
        <w:rPr>
          <w:noProof/>
          <w:lang w:val="en-GB"/>
        </w:rPr>
        <w:t>Article 5</w:t>
      </w:r>
    </w:p>
    <w:p w:rsidR="008B6E44" w:rsidRPr="008B6E44" w:rsidRDefault="008B6E44" w:rsidP="008B6E44">
      <w:pPr>
        <w:jc w:val="center"/>
        <w:rPr>
          <w:noProof/>
        </w:rPr>
      </w:pPr>
      <w:r>
        <w:rPr>
          <w:noProof/>
          <w:lang w:val="en-GB"/>
        </w:rPr>
        <w:t>(cessation of application of regulation)</w:t>
      </w:r>
    </w:p>
    <w:p w:rsidR="008B6E44" w:rsidRPr="008B6E44" w:rsidRDefault="008B6E44" w:rsidP="008B6E44">
      <w:pPr>
        <w:jc w:val="center"/>
        <w:rPr>
          <w:b/>
          <w:noProof/>
        </w:rPr>
      </w:pPr>
    </w:p>
    <w:p w:rsidR="008B6E44" w:rsidRPr="008B6E44" w:rsidRDefault="008B6E44" w:rsidP="008B6E44">
      <w:pPr>
        <w:jc w:val="left"/>
        <w:rPr>
          <w:noProof/>
        </w:rPr>
      </w:pPr>
      <w:r>
        <w:rPr>
          <w:noProof/>
          <w:lang w:val="en-GB"/>
        </w:rPr>
        <w:t>On the day that this regulation enters into force, the Regulation on reporting by branches of Member State banks (Official Gazette of the Republic of Slovenia, No. 32/12) shall cease to be applied.</w:t>
      </w:r>
    </w:p>
    <w:p w:rsidR="0019245E" w:rsidRPr="008B6E44" w:rsidRDefault="0019245E" w:rsidP="008B6E44">
      <w:pPr>
        <w:jc w:val="left"/>
        <w:rPr>
          <w:noProof/>
        </w:rPr>
      </w:pPr>
    </w:p>
    <w:p w:rsidR="000819AE" w:rsidRDefault="000819AE" w:rsidP="008B6E44">
      <w:pPr>
        <w:jc w:val="center"/>
        <w:rPr>
          <w:noProof/>
          <w:lang w:val="en-GB"/>
        </w:rPr>
      </w:pPr>
    </w:p>
    <w:p w:rsidR="000819AE" w:rsidRDefault="000819AE" w:rsidP="008B6E44">
      <w:pPr>
        <w:jc w:val="center"/>
        <w:rPr>
          <w:noProof/>
          <w:lang w:val="en-GB"/>
        </w:rPr>
      </w:pPr>
    </w:p>
    <w:p w:rsidR="000819AE" w:rsidRDefault="000819AE" w:rsidP="008B6E44">
      <w:pPr>
        <w:jc w:val="center"/>
        <w:rPr>
          <w:noProof/>
          <w:lang w:val="en-GB"/>
        </w:rPr>
      </w:pPr>
    </w:p>
    <w:p w:rsidR="008B6E44" w:rsidRPr="008B6E44" w:rsidRDefault="008B6E44" w:rsidP="008B6E44">
      <w:pPr>
        <w:jc w:val="center"/>
        <w:rPr>
          <w:noProof/>
        </w:rPr>
      </w:pPr>
      <w:r>
        <w:rPr>
          <w:noProof/>
          <w:lang w:val="en-GB"/>
        </w:rPr>
        <w:t>Article 6</w:t>
      </w:r>
    </w:p>
    <w:p w:rsidR="008B6E44" w:rsidRPr="008B6E44" w:rsidRDefault="008B6E44" w:rsidP="008B6E44">
      <w:pPr>
        <w:jc w:val="center"/>
        <w:rPr>
          <w:noProof/>
        </w:rPr>
      </w:pPr>
      <w:r>
        <w:rPr>
          <w:noProof/>
          <w:lang w:val="en-GB"/>
        </w:rPr>
        <w:t>(entry into force)</w:t>
      </w:r>
    </w:p>
    <w:p w:rsidR="008B6E44" w:rsidRPr="008B6E44" w:rsidRDefault="008B6E44" w:rsidP="008B6E44">
      <w:pPr>
        <w:jc w:val="center"/>
        <w:rPr>
          <w:noProof/>
        </w:rPr>
      </w:pPr>
    </w:p>
    <w:p w:rsidR="008B6E44" w:rsidRPr="008B6E44" w:rsidRDefault="008B6E44" w:rsidP="004B729E">
      <w:pPr>
        <w:rPr>
          <w:noProof/>
        </w:rPr>
      </w:pPr>
      <w:r>
        <w:rPr>
          <w:noProof/>
          <w:lang w:val="en-GB"/>
        </w:rPr>
        <w:t xml:space="preserve">This regulation shall enter into force on the day after its publication in the Official Gazette of the Republic of Slovenia. </w:t>
      </w:r>
    </w:p>
    <w:p w:rsidR="008B6E44" w:rsidRDefault="008B6E44" w:rsidP="008B6E44">
      <w:pPr>
        <w:jc w:val="left"/>
        <w:rPr>
          <w:noProof/>
        </w:rPr>
      </w:pPr>
    </w:p>
    <w:p w:rsidR="00313115" w:rsidRDefault="00313115" w:rsidP="008B6E44">
      <w:pPr>
        <w:jc w:val="left"/>
        <w:rPr>
          <w:noProof/>
        </w:rPr>
      </w:pPr>
    </w:p>
    <w:p w:rsidR="00313115" w:rsidRPr="008B6E44" w:rsidRDefault="00313115" w:rsidP="008B6E44">
      <w:pPr>
        <w:jc w:val="left"/>
        <w:rPr>
          <w:noProof/>
        </w:rPr>
      </w:pPr>
    </w:p>
    <w:p w:rsidR="008B6E44" w:rsidRPr="008B6E44" w:rsidRDefault="008B6E44" w:rsidP="008B6E44">
      <w:pPr>
        <w:jc w:val="left"/>
        <w:rPr>
          <w:noProof/>
        </w:rPr>
      </w:pPr>
    </w:p>
    <w:p w:rsidR="008B6E44" w:rsidRPr="008B6E44" w:rsidRDefault="008B6E44" w:rsidP="008B6E44">
      <w:pPr>
        <w:jc w:val="left"/>
        <w:rPr>
          <w:noProof/>
        </w:rPr>
      </w:pPr>
      <w:r>
        <w:rPr>
          <w:noProof/>
          <w:lang w:val="en-GB"/>
        </w:rPr>
        <w:t>Ljubljana, 7 July 2015</w:t>
      </w:r>
    </w:p>
    <w:p w:rsidR="008B6E44" w:rsidRPr="008B6E44" w:rsidRDefault="008B6E44" w:rsidP="008B6E44">
      <w:pPr>
        <w:jc w:val="left"/>
        <w:rPr>
          <w:noProof/>
        </w:rPr>
      </w:pPr>
    </w:p>
    <w:p w:rsidR="008B6E44" w:rsidRPr="008B6E44" w:rsidRDefault="008B6E44" w:rsidP="008B6E44">
      <w:pPr>
        <w:pStyle w:val="Telobesedila2"/>
        <w:jc w:val="both"/>
        <w:rPr>
          <w:noProof/>
        </w:rPr>
      </w:pPr>
      <w:r>
        <w:rPr>
          <w:noProof/>
          <w:lang w:val="en-GB"/>
        </w:rPr>
        <w:t xml:space="preserve"> </w:t>
      </w:r>
      <w:r>
        <w:rPr>
          <w:noProof/>
          <w:lang w:val="en-GB"/>
        </w:rPr>
        <w:tab/>
      </w:r>
      <w:r>
        <w:rPr>
          <w:noProof/>
          <w:lang w:val="en-GB"/>
        </w:rPr>
        <w:tab/>
      </w:r>
      <w:r>
        <w:rPr>
          <w:noProof/>
          <w:lang w:val="en-GB"/>
        </w:rPr>
        <w:tab/>
      </w:r>
      <w:r>
        <w:rPr>
          <w:noProof/>
          <w:lang w:val="en-GB"/>
        </w:rPr>
        <w:tab/>
      </w:r>
      <w:r>
        <w:rPr>
          <w:noProof/>
          <w:lang w:val="en-GB"/>
        </w:rPr>
        <w:tab/>
      </w:r>
      <w:r>
        <w:rPr>
          <w:noProof/>
          <w:lang w:val="en-GB"/>
        </w:rPr>
        <w:tab/>
      </w:r>
      <w:r>
        <w:rPr>
          <w:noProof/>
          <w:lang w:val="en-GB"/>
        </w:rPr>
        <w:tab/>
      </w:r>
      <w:r>
        <w:rPr>
          <w:noProof/>
          <w:lang w:val="en-GB"/>
        </w:rPr>
        <w:tab/>
      </w:r>
      <w:r>
        <w:rPr>
          <w:noProof/>
          <w:lang w:val="en-GB"/>
        </w:rPr>
        <w:tab/>
        <w:t>Boštjan Jazbec</w:t>
      </w:r>
    </w:p>
    <w:p w:rsidR="005240A6" w:rsidRDefault="008B6E44" w:rsidP="008B6E44">
      <w:pPr>
        <w:pStyle w:val="Telobesedila2"/>
        <w:ind w:left="4678"/>
        <w:rPr>
          <w:noProof/>
        </w:rPr>
      </w:pPr>
      <w:r>
        <w:rPr>
          <w:noProof/>
          <w:lang w:val="en-GB"/>
        </w:rPr>
        <w:t>President,</w:t>
      </w:r>
      <w:r>
        <w:rPr>
          <w:noProof/>
          <w:lang w:val="en-GB"/>
        </w:rPr>
        <w:br/>
        <w:t>Governing Board of the Bank of Slovenia</w:t>
      </w:r>
      <w:r>
        <w:rPr>
          <w:noProof/>
          <w:lang w:val="en-GB"/>
        </w:rPr>
        <w:br/>
      </w:r>
    </w:p>
    <w:p w:rsidR="005240A6" w:rsidRPr="00F9025D" w:rsidRDefault="005240A6" w:rsidP="005240A6">
      <w:pPr>
        <w:jc w:val="left"/>
      </w:pPr>
      <w:r w:rsidRPr="00F9025D">
        <w:t>__________________________________________________________________________________</w:t>
      </w:r>
    </w:p>
    <w:p w:rsidR="005240A6" w:rsidRPr="009F03A9" w:rsidRDefault="005240A6" w:rsidP="00313115">
      <w:pPr>
        <w:pStyle w:val="Naslovpredpisa"/>
        <w:jc w:val="both"/>
        <w:rPr>
          <w:rFonts w:ascii="Times New Roman" w:hAnsi="Times New Roman"/>
          <w:color w:val="000000"/>
        </w:rPr>
      </w:pPr>
      <w:r w:rsidRPr="005240A6">
        <w:rPr>
          <w:rFonts w:ascii="Times New Roman" w:hAnsi="Times New Roman"/>
          <w:bCs/>
          <w:color w:val="000000"/>
        </w:rPr>
        <w:t xml:space="preserve">The Regulation amending the Regulation </w:t>
      </w:r>
      <w:r w:rsidR="009F03A9">
        <w:rPr>
          <w:rFonts w:ascii="Times New Roman" w:hAnsi="Times New Roman"/>
          <w:bCs/>
          <w:lang w:val="en-GB"/>
        </w:rPr>
        <w:t>on reporting by branches of Member State banks</w:t>
      </w:r>
      <w:r w:rsidR="009F03A9" w:rsidRPr="005240A6">
        <w:rPr>
          <w:rFonts w:ascii="Times New Roman" w:hAnsi="Times New Roman"/>
          <w:bCs/>
          <w:lang w:val="en-GB"/>
        </w:rPr>
        <w:t xml:space="preserve"> </w:t>
      </w:r>
      <w:r w:rsidRPr="00313115">
        <w:rPr>
          <w:rFonts w:ascii="Times New Roman" w:hAnsi="Times New Roman"/>
          <w:color w:val="000000"/>
        </w:rPr>
        <w:t xml:space="preserve">(Official Gazette of the Republic of Slovenia, No. 96/15 of </w:t>
      </w:r>
      <w:r w:rsidR="009F03A9" w:rsidRPr="00313115">
        <w:rPr>
          <w:rFonts w:ascii="Times New Roman" w:hAnsi="Times New Roman"/>
          <w:color w:val="000000"/>
        </w:rPr>
        <w:t>11</w:t>
      </w:r>
      <w:r w:rsidRPr="00313115">
        <w:rPr>
          <w:rFonts w:ascii="Times New Roman" w:hAnsi="Times New Roman"/>
          <w:color w:val="000000"/>
        </w:rPr>
        <w:t xml:space="preserve"> </w:t>
      </w:r>
      <w:r w:rsidR="009F03A9" w:rsidRPr="00313115">
        <w:rPr>
          <w:rFonts w:ascii="Times New Roman" w:hAnsi="Times New Roman"/>
          <w:color w:val="000000"/>
        </w:rPr>
        <w:t>December</w:t>
      </w:r>
      <w:r w:rsidRPr="00313115">
        <w:rPr>
          <w:rFonts w:ascii="Times New Roman" w:hAnsi="Times New Roman"/>
          <w:color w:val="000000"/>
        </w:rPr>
        <w:t xml:space="preserve"> 201</w:t>
      </w:r>
      <w:r w:rsidR="009F03A9" w:rsidRPr="00313115">
        <w:rPr>
          <w:rFonts w:ascii="Times New Roman" w:hAnsi="Times New Roman"/>
          <w:color w:val="000000"/>
        </w:rPr>
        <w:t>5</w:t>
      </w:r>
      <w:r w:rsidRPr="009F03A9">
        <w:rPr>
          <w:rFonts w:ascii="Times New Roman" w:hAnsi="Times New Roman"/>
          <w:color w:val="000000"/>
        </w:rPr>
        <w:t xml:space="preserve">) </w:t>
      </w:r>
      <w:r w:rsidRPr="009F03A9">
        <w:rPr>
          <w:rFonts w:ascii="Times New Roman" w:hAnsi="Times New Roman"/>
          <w:b w:val="0"/>
          <w:color w:val="000000"/>
        </w:rPr>
        <w:t>also includes the following provision</w:t>
      </w:r>
      <w:r w:rsidRPr="009F03A9">
        <w:rPr>
          <w:rFonts w:ascii="Times New Roman" w:hAnsi="Times New Roman"/>
          <w:color w:val="000000"/>
        </w:rPr>
        <w:t xml:space="preserve">: </w:t>
      </w:r>
    </w:p>
    <w:p w:rsidR="005240A6" w:rsidRPr="005240A6" w:rsidRDefault="005240A6" w:rsidP="005240A6">
      <w:pPr>
        <w:rPr>
          <w:color w:val="000000"/>
        </w:rPr>
      </w:pPr>
    </w:p>
    <w:p w:rsidR="005240A6" w:rsidRPr="005240A6" w:rsidRDefault="005240A6" w:rsidP="005240A6">
      <w:pPr>
        <w:jc w:val="center"/>
        <w:rPr>
          <w:color w:val="000000"/>
        </w:rPr>
      </w:pPr>
      <w:r w:rsidRPr="005240A6">
        <w:rPr>
          <w:color w:val="000000"/>
        </w:rPr>
        <w:t>"Article 2</w:t>
      </w:r>
    </w:p>
    <w:p w:rsidR="005240A6" w:rsidRPr="005240A6" w:rsidRDefault="005240A6" w:rsidP="00313115">
      <w:pPr>
        <w:rPr>
          <w:color w:val="000000"/>
          <w:sz w:val="24"/>
          <w:szCs w:val="24"/>
        </w:rPr>
      </w:pPr>
    </w:p>
    <w:p w:rsidR="005240A6" w:rsidRPr="005240A6" w:rsidRDefault="005240A6" w:rsidP="00313115">
      <w:pPr>
        <w:pStyle w:val="Naslovpredpisa"/>
        <w:tabs>
          <w:tab w:val="center" w:pos="426"/>
        </w:tabs>
        <w:jc w:val="both"/>
        <w:rPr>
          <w:rFonts w:ascii="Times New Roman" w:hAnsi="Times New Roman"/>
          <w:b w:val="0"/>
          <w:lang w:val="en-GB"/>
        </w:rPr>
      </w:pPr>
      <w:r w:rsidRPr="005240A6">
        <w:rPr>
          <w:rFonts w:ascii="Times New Roman" w:hAnsi="Times New Roman"/>
          <w:b w:val="0"/>
          <w:lang w:val="en-GB"/>
        </w:rPr>
        <w:t>This regulation shall enter into force on the day after its publication in the Official Gazette of the Republic of Slovenia.".</w:t>
      </w:r>
    </w:p>
    <w:p w:rsidR="009F03A9" w:rsidRDefault="009F03A9" w:rsidP="00313115">
      <w:pPr>
        <w:ind w:left="360"/>
      </w:pPr>
    </w:p>
    <w:p w:rsidR="005240A6" w:rsidRPr="00F9025D" w:rsidRDefault="005240A6" w:rsidP="00313115">
      <w:r w:rsidRPr="00F9025D">
        <w:t>__________________________________________________________________________________</w:t>
      </w:r>
    </w:p>
    <w:p w:rsidR="005240A6" w:rsidRPr="005240A6" w:rsidRDefault="009F03A9" w:rsidP="00313115">
      <w:pPr>
        <w:pStyle w:val="Naslovpredpisa"/>
        <w:jc w:val="both"/>
        <w:rPr>
          <w:rFonts w:ascii="Times New Roman" w:hAnsi="Times New Roman"/>
          <w:color w:val="000000"/>
          <w:highlight w:val="green"/>
        </w:rPr>
      </w:pPr>
      <w:r w:rsidRPr="009F03A9">
        <w:rPr>
          <w:rFonts w:ascii="Times New Roman" w:hAnsi="Times New Roman"/>
          <w:bCs/>
          <w:color w:val="000000"/>
          <w:highlight w:val="yellow"/>
        </w:rPr>
        <w:t xml:space="preserve">The Regulation amending the Regulation </w:t>
      </w:r>
      <w:r w:rsidRPr="009F03A9">
        <w:rPr>
          <w:rFonts w:ascii="Times New Roman" w:hAnsi="Times New Roman"/>
          <w:bCs/>
          <w:highlight w:val="yellow"/>
          <w:lang w:val="en-GB"/>
        </w:rPr>
        <w:t>on reporting by branches of Member State</w:t>
      </w:r>
      <w:r w:rsidR="005240A6" w:rsidRPr="009F03A9">
        <w:rPr>
          <w:rFonts w:ascii="Times New Roman" w:hAnsi="Times New Roman"/>
          <w:b w:val="0"/>
          <w:bCs/>
          <w:highlight w:val="yellow"/>
          <w:lang w:val="en-GB"/>
        </w:rPr>
        <w:t xml:space="preserve"> </w:t>
      </w:r>
      <w:r w:rsidR="005240A6" w:rsidRPr="009F03A9">
        <w:rPr>
          <w:rFonts w:ascii="Times New Roman" w:hAnsi="Times New Roman"/>
          <w:b w:val="0"/>
          <w:color w:val="000000"/>
          <w:highlight w:val="yellow"/>
        </w:rPr>
        <w:t xml:space="preserve">(Official </w:t>
      </w:r>
      <w:r w:rsidR="005240A6" w:rsidRPr="00313115">
        <w:rPr>
          <w:rFonts w:ascii="Times New Roman" w:hAnsi="Times New Roman"/>
          <w:color w:val="000000"/>
          <w:highlight w:val="yellow"/>
        </w:rPr>
        <w:t xml:space="preserve">Gazette of the Republic of Slovenia, No. 72/17 of </w:t>
      </w:r>
      <w:r w:rsidRPr="00313115">
        <w:rPr>
          <w:rFonts w:ascii="Times New Roman" w:hAnsi="Times New Roman"/>
          <w:color w:val="000000"/>
          <w:highlight w:val="yellow"/>
        </w:rPr>
        <w:t>12</w:t>
      </w:r>
      <w:r w:rsidR="005240A6" w:rsidRPr="00313115">
        <w:rPr>
          <w:rFonts w:ascii="Times New Roman" w:hAnsi="Times New Roman"/>
          <w:color w:val="000000"/>
          <w:highlight w:val="yellow"/>
        </w:rPr>
        <w:t xml:space="preserve"> </w:t>
      </w:r>
      <w:r w:rsidRPr="00313115">
        <w:rPr>
          <w:rFonts w:ascii="Times New Roman" w:hAnsi="Times New Roman"/>
          <w:color w:val="000000"/>
          <w:highlight w:val="yellow"/>
        </w:rPr>
        <w:t xml:space="preserve">December </w:t>
      </w:r>
      <w:r w:rsidR="005240A6" w:rsidRPr="00313115">
        <w:rPr>
          <w:rFonts w:ascii="Times New Roman" w:hAnsi="Times New Roman"/>
          <w:color w:val="000000"/>
          <w:highlight w:val="yellow"/>
        </w:rPr>
        <w:t>201</w:t>
      </w:r>
      <w:r w:rsidRPr="00313115">
        <w:rPr>
          <w:rFonts w:ascii="Times New Roman" w:hAnsi="Times New Roman"/>
          <w:color w:val="000000"/>
          <w:highlight w:val="yellow"/>
        </w:rPr>
        <w:t>7</w:t>
      </w:r>
      <w:r w:rsidR="005240A6" w:rsidRPr="00313115">
        <w:rPr>
          <w:rFonts w:ascii="Times New Roman" w:hAnsi="Times New Roman"/>
          <w:color w:val="000000"/>
          <w:highlight w:val="yellow"/>
        </w:rPr>
        <w:t>)</w:t>
      </w:r>
      <w:r w:rsidR="005240A6" w:rsidRPr="009F03A9">
        <w:rPr>
          <w:rFonts w:ascii="Times New Roman" w:hAnsi="Times New Roman"/>
          <w:color w:val="000000"/>
          <w:highlight w:val="yellow"/>
        </w:rPr>
        <w:t xml:space="preserve"> </w:t>
      </w:r>
      <w:r w:rsidR="005240A6" w:rsidRPr="009F03A9">
        <w:rPr>
          <w:rFonts w:ascii="Times New Roman" w:hAnsi="Times New Roman"/>
          <w:b w:val="0"/>
          <w:color w:val="000000"/>
          <w:highlight w:val="yellow"/>
        </w:rPr>
        <w:t>also includes the following provision</w:t>
      </w:r>
      <w:r w:rsidR="005240A6" w:rsidRPr="009F03A9">
        <w:rPr>
          <w:rFonts w:ascii="Times New Roman" w:hAnsi="Times New Roman"/>
          <w:color w:val="000000"/>
          <w:highlight w:val="yellow"/>
        </w:rPr>
        <w:t xml:space="preserve">: </w:t>
      </w:r>
    </w:p>
    <w:p w:rsidR="005240A6" w:rsidRPr="00465CB8" w:rsidRDefault="005240A6" w:rsidP="00313115">
      <w:pPr>
        <w:rPr>
          <w:color w:val="000000"/>
          <w:highlight w:val="yellow"/>
        </w:rPr>
      </w:pPr>
    </w:p>
    <w:p w:rsidR="005240A6" w:rsidRPr="00A078FD" w:rsidRDefault="005240A6" w:rsidP="00313115">
      <w:pPr>
        <w:jc w:val="center"/>
        <w:rPr>
          <w:color w:val="000000"/>
          <w:highlight w:val="yellow"/>
        </w:rPr>
      </w:pPr>
      <w:r w:rsidRPr="00A078FD">
        <w:rPr>
          <w:color w:val="000000"/>
          <w:highlight w:val="yellow"/>
        </w:rPr>
        <w:t xml:space="preserve">"Article </w:t>
      </w:r>
      <w:r>
        <w:rPr>
          <w:color w:val="000000"/>
          <w:highlight w:val="yellow"/>
        </w:rPr>
        <w:t>4</w:t>
      </w:r>
    </w:p>
    <w:p w:rsidR="005240A6" w:rsidRPr="00465CB8" w:rsidRDefault="005240A6" w:rsidP="00313115">
      <w:pPr>
        <w:rPr>
          <w:color w:val="000000"/>
          <w:sz w:val="24"/>
          <w:szCs w:val="24"/>
          <w:highlight w:val="yellow"/>
        </w:rPr>
      </w:pPr>
    </w:p>
    <w:p w:rsidR="005240A6" w:rsidRPr="006C216C" w:rsidRDefault="005240A6" w:rsidP="00313115">
      <w:pPr>
        <w:pStyle w:val="Naslovpredpisa"/>
        <w:tabs>
          <w:tab w:val="center" w:pos="426"/>
        </w:tabs>
        <w:jc w:val="both"/>
        <w:rPr>
          <w:rFonts w:ascii="Times New Roman" w:hAnsi="Times New Roman"/>
          <w:b w:val="0"/>
          <w:highlight w:val="yellow"/>
          <w:lang w:val="en-GB"/>
        </w:rPr>
      </w:pPr>
      <w:r w:rsidRPr="006C216C">
        <w:rPr>
          <w:rFonts w:ascii="Times New Roman" w:hAnsi="Times New Roman"/>
          <w:b w:val="0"/>
          <w:highlight w:val="yellow"/>
          <w:lang w:val="en-GB"/>
        </w:rPr>
        <w:t>This regulation shall enter into force on the day after its publication in the Official Gazette of the Republic of Slovenia</w:t>
      </w:r>
      <w:r>
        <w:rPr>
          <w:rFonts w:ascii="Times New Roman" w:hAnsi="Times New Roman"/>
          <w:b w:val="0"/>
          <w:highlight w:val="yellow"/>
          <w:lang w:val="en-GB"/>
        </w:rPr>
        <w:t xml:space="preserve"> and </w:t>
      </w:r>
      <w:r w:rsidR="009F03A9">
        <w:rPr>
          <w:rFonts w:ascii="Times New Roman" w:hAnsi="Times New Roman"/>
          <w:b w:val="0"/>
          <w:highlight w:val="yellow"/>
          <w:lang w:val="en-GB"/>
        </w:rPr>
        <w:t>shall begin to be applied on</w:t>
      </w:r>
      <w:r>
        <w:rPr>
          <w:rFonts w:ascii="Times New Roman" w:hAnsi="Times New Roman"/>
          <w:b w:val="0"/>
          <w:highlight w:val="yellow"/>
          <w:lang w:val="en-GB"/>
        </w:rPr>
        <w:t xml:space="preserve"> 1. January 2018</w:t>
      </w:r>
      <w:r w:rsidRPr="006C216C">
        <w:rPr>
          <w:rFonts w:ascii="Times New Roman" w:hAnsi="Times New Roman"/>
          <w:b w:val="0"/>
          <w:highlight w:val="yellow"/>
          <w:lang w:val="en-GB"/>
        </w:rPr>
        <w:t>.</w:t>
      </w:r>
      <w:r>
        <w:rPr>
          <w:rFonts w:ascii="Times New Roman" w:hAnsi="Times New Roman"/>
          <w:b w:val="0"/>
          <w:highlight w:val="yellow"/>
          <w:lang w:val="en-GB"/>
        </w:rPr>
        <w:t>".</w:t>
      </w:r>
    </w:p>
    <w:p w:rsidR="005240A6" w:rsidRDefault="005240A6" w:rsidP="008B6E44">
      <w:pPr>
        <w:pStyle w:val="Telobesedila2"/>
        <w:ind w:left="4678"/>
        <w:rPr>
          <w:noProof/>
        </w:rPr>
      </w:pPr>
    </w:p>
    <w:sectPr w:rsidR="005240A6" w:rsidSect="000819AE">
      <w:footerReference w:type="even" r:id="rId12"/>
      <w:footerReference w:type="default" r:id="rId13"/>
      <w:headerReference w:type="first" r:id="rId14"/>
      <w:pgSz w:w="11906" w:h="16838"/>
      <w:pgMar w:top="1418" w:right="1276" w:bottom="1134" w:left="1276" w:header="1440" w:footer="1440"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C94" w:rsidRPr="008B6E44" w:rsidRDefault="00FD5C94">
      <w:pPr>
        <w:rPr>
          <w:noProof/>
        </w:rPr>
      </w:pPr>
      <w:r>
        <w:rPr>
          <w:noProof/>
        </w:rPr>
        <w:separator/>
      </w:r>
    </w:p>
  </w:endnote>
  <w:endnote w:type="continuationSeparator" w:id="0">
    <w:p w:rsidR="00FD5C94" w:rsidRPr="008B6E44" w:rsidRDefault="00FD5C94">
      <w:pPr>
        <w:rPr>
          <w:noProof/>
        </w:rPr>
      </w:pPr>
      <w:r>
        <w:rPr>
          <w:noProof/>
        </w:rPr>
        <w:continuationSeparator/>
      </w:r>
    </w:p>
  </w:endnote>
  <w:endnote w:type="continuationNotice" w:id="1">
    <w:p w:rsidR="00FD5C94" w:rsidRDefault="00FD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99" w:rsidRPr="008B6E44" w:rsidRDefault="00F128C4">
    <w:pPr>
      <w:pStyle w:val="Noga"/>
      <w:framePr w:wrap="around" w:vAnchor="text" w:hAnchor="margin" w:xAlign="center" w:y="1"/>
      <w:rPr>
        <w:rStyle w:val="tevilkastrani"/>
        <w:noProof/>
      </w:rPr>
    </w:pPr>
    <w:r>
      <w:rPr>
        <w:rStyle w:val="tevilkastrani"/>
        <w:noProof/>
        <w:lang w:val="en-GB"/>
      </w:rPr>
      <w:fldChar w:fldCharType="begin"/>
    </w:r>
    <w:r w:rsidR="00694799">
      <w:rPr>
        <w:rStyle w:val="tevilkastrani"/>
        <w:noProof/>
        <w:lang w:val="en-GB"/>
      </w:rPr>
      <w:instrText xml:space="preserve">PAGE  </w:instrText>
    </w:r>
    <w:r>
      <w:rPr>
        <w:rStyle w:val="tevilkastrani"/>
        <w:noProof/>
        <w:lang w:val="en-GB"/>
      </w:rPr>
      <w:fldChar w:fldCharType="separate"/>
    </w:r>
    <w:r w:rsidR="00694799">
      <w:rPr>
        <w:rStyle w:val="tevilkastrani"/>
        <w:noProof/>
        <w:lang w:val="en-GB"/>
      </w:rPr>
      <w:t>1</w:t>
    </w:r>
    <w:r>
      <w:rPr>
        <w:rStyle w:val="tevilkastrani"/>
        <w:noProof/>
        <w:lang w:val="en-GB"/>
      </w:rPr>
      <w:fldChar w:fldCharType="end"/>
    </w:r>
  </w:p>
  <w:p w:rsidR="00694799" w:rsidRPr="008B6E44" w:rsidRDefault="00694799">
    <w:pPr>
      <w:pStyle w:val="Noga"/>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99" w:rsidRPr="008B6E44" w:rsidRDefault="00F128C4">
    <w:pPr>
      <w:pStyle w:val="Noga"/>
      <w:framePr w:wrap="around" w:vAnchor="text" w:hAnchor="margin" w:xAlign="center" w:y="1"/>
      <w:rPr>
        <w:rStyle w:val="tevilkastrani"/>
        <w:noProof/>
      </w:rPr>
    </w:pPr>
    <w:r>
      <w:rPr>
        <w:rStyle w:val="tevilkastrani"/>
        <w:noProof/>
        <w:lang w:val="en-GB"/>
      </w:rPr>
      <w:fldChar w:fldCharType="begin"/>
    </w:r>
    <w:r w:rsidR="00694799">
      <w:rPr>
        <w:rStyle w:val="tevilkastrani"/>
        <w:noProof/>
        <w:lang w:val="en-GB"/>
      </w:rPr>
      <w:instrText xml:space="preserve">PAGE  </w:instrText>
    </w:r>
    <w:r>
      <w:rPr>
        <w:rStyle w:val="tevilkastrani"/>
        <w:noProof/>
        <w:lang w:val="en-GB"/>
      </w:rPr>
      <w:fldChar w:fldCharType="separate"/>
    </w:r>
    <w:r w:rsidR="003D205E">
      <w:rPr>
        <w:rStyle w:val="tevilkastrani"/>
        <w:noProof/>
        <w:lang w:val="en-GB"/>
      </w:rPr>
      <w:t>2</w:t>
    </w:r>
    <w:r>
      <w:rPr>
        <w:rStyle w:val="tevilkastrani"/>
        <w:noProof/>
        <w:lang w:val="en-GB"/>
      </w:rPr>
      <w:fldChar w:fldCharType="end"/>
    </w:r>
  </w:p>
  <w:p w:rsidR="00694799" w:rsidRPr="008B6E44" w:rsidRDefault="00694799">
    <w:pPr>
      <w:pStyle w:val="Nog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C94" w:rsidRPr="008B6E44" w:rsidRDefault="00FD5C94">
      <w:pPr>
        <w:rPr>
          <w:noProof/>
        </w:rPr>
      </w:pPr>
      <w:r>
        <w:rPr>
          <w:noProof/>
        </w:rPr>
        <w:separator/>
      </w:r>
    </w:p>
  </w:footnote>
  <w:footnote w:type="continuationSeparator" w:id="0">
    <w:p w:rsidR="00FD5C94" w:rsidRPr="008B6E44" w:rsidRDefault="00FD5C94">
      <w:pPr>
        <w:rPr>
          <w:noProof/>
        </w:rPr>
      </w:pPr>
      <w:r>
        <w:rPr>
          <w:noProof/>
        </w:rPr>
        <w:continuationSeparator/>
      </w:r>
    </w:p>
  </w:footnote>
  <w:footnote w:type="continuationNotice" w:id="1">
    <w:p w:rsidR="00FD5C94" w:rsidRDefault="00FD5C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99" w:rsidRPr="00846335" w:rsidRDefault="00694799" w:rsidP="00A254AF">
    <w:pPr>
      <w:pStyle w:val="Glava"/>
      <w:jc w:val="center"/>
      <w:rPr>
        <w:color w:val="00B050"/>
      </w:rPr>
    </w:pPr>
    <w:r>
      <w:t>THIS TEXT IS UNOFFICIAL TRANSLATION AND MAY NOT BE USED AS A BASIS FOR SOLVING ANY DISPUTE</w:t>
    </w:r>
    <w:r w:rsidR="00846335">
      <w:t xml:space="preserve"> </w:t>
    </w:r>
  </w:p>
  <w:p w:rsidR="0019245E" w:rsidRDefault="0019245E">
    <w:pPr>
      <w:pStyle w:val="Glava"/>
      <w:rPr>
        <w:b/>
        <w:noProof/>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D0716A"/>
    <w:lvl w:ilvl="0">
      <w:numFmt w:val="bullet"/>
      <w:lvlText w:val="*"/>
      <w:lvlJc w:val="left"/>
    </w:lvl>
  </w:abstractNum>
  <w:abstractNum w:abstractNumId="1" w15:restartNumberingAfterBreak="0">
    <w:nsid w:val="0A103CD2"/>
    <w:multiLevelType w:val="hybridMultilevel"/>
    <w:tmpl w:val="BB620E4A"/>
    <w:lvl w:ilvl="0" w:tplc="EA9CFD2A">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5118B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15145B"/>
    <w:multiLevelType w:val="multilevel"/>
    <w:tmpl w:val="76A2B0D2"/>
    <w:lvl w:ilvl="0">
      <w:start w:val="15"/>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1E44FE"/>
    <w:multiLevelType w:val="hybridMultilevel"/>
    <w:tmpl w:val="08AAA4CE"/>
    <w:lvl w:ilvl="0" w:tplc="C0BC65CC">
      <w:start w:val="1"/>
      <w:numFmt w:val="decimal"/>
      <w:lvlText w:val="(%1)"/>
      <w:lvlJc w:val="left"/>
      <w:pPr>
        <w:tabs>
          <w:tab w:val="num" w:pos="454"/>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C7A7D37"/>
    <w:multiLevelType w:val="hybridMultilevel"/>
    <w:tmpl w:val="C1BA84C0"/>
    <w:lvl w:ilvl="0" w:tplc="C0BC65CC">
      <w:start w:val="1"/>
      <w:numFmt w:val="decimal"/>
      <w:lvlText w:val="(%1)"/>
      <w:lvlJc w:val="left"/>
      <w:pPr>
        <w:tabs>
          <w:tab w:val="num" w:pos="454"/>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9BE0005"/>
    <w:multiLevelType w:val="hybridMultilevel"/>
    <w:tmpl w:val="C5560D0E"/>
    <w:lvl w:ilvl="0" w:tplc="1EC2403C">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D84B35"/>
    <w:multiLevelType w:val="hybridMultilevel"/>
    <w:tmpl w:val="84BCBB96"/>
    <w:lvl w:ilvl="0" w:tplc="17BE2DE8">
      <w:start w:val="5"/>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B270C7"/>
    <w:multiLevelType w:val="hybridMultilevel"/>
    <w:tmpl w:val="C6042234"/>
    <w:lvl w:ilvl="0" w:tplc="C0BC65CC">
      <w:start w:val="1"/>
      <w:numFmt w:val="decimal"/>
      <w:lvlText w:val="(%1)"/>
      <w:lvlJc w:val="left"/>
      <w:pPr>
        <w:tabs>
          <w:tab w:val="num" w:pos="454"/>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5080DB1"/>
    <w:multiLevelType w:val="hybridMultilevel"/>
    <w:tmpl w:val="A8CE765C"/>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6D3FE9"/>
    <w:multiLevelType w:val="hybridMultilevel"/>
    <w:tmpl w:val="0180EB96"/>
    <w:lvl w:ilvl="0" w:tplc="8B560640">
      <w:start w:val="9"/>
      <w:numFmt w:val="decimal"/>
      <w:lvlText w:val="%1."/>
      <w:lvlJc w:val="left"/>
      <w:pPr>
        <w:tabs>
          <w:tab w:val="num" w:pos="735"/>
        </w:tabs>
        <w:ind w:left="735" w:hanging="375"/>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9C5563E"/>
    <w:multiLevelType w:val="hybridMultilevel"/>
    <w:tmpl w:val="84D2E842"/>
    <w:lvl w:ilvl="0" w:tplc="3F52982E">
      <w:start w:val="2"/>
      <w:numFmt w:val="decimal"/>
      <w:lvlText w:val="(%1)"/>
      <w:lvlJc w:val="left"/>
      <w:pPr>
        <w:tabs>
          <w:tab w:val="num" w:pos="454"/>
        </w:tabs>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394CFD"/>
    <w:multiLevelType w:val="hybridMultilevel"/>
    <w:tmpl w:val="0D5E3202"/>
    <w:lvl w:ilvl="0" w:tplc="7870E6C8">
      <w:start w:val="20"/>
      <w:numFmt w:val="decimal"/>
      <w:lvlText w:val="%1."/>
      <w:lvlJc w:val="left"/>
      <w:pPr>
        <w:tabs>
          <w:tab w:val="num" w:pos="795"/>
        </w:tabs>
        <w:ind w:left="795" w:hanging="435"/>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72443AB"/>
    <w:multiLevelType w:val="hybridMultilevel"/>
    <w:tmpl w:val="921A765E"/>
    <w:lvl w:ilvl="0" w:tplc="5260A910">
      <w:start w:val="15"/>
      <w:numFmt w:val="lowerLetter"/>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385362"/>
    <w:multiLevelType w:val="hybridMultilevel"/>
    <w:tmpl w:val="2B803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900766"/>
    <w:multiLevelType w:val="hybridMultilevel"/>
    <w:tmpl w:val="206C43C0"/>
    <w:lvl w:ilvl="0" w:tplc="47061DD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2C866A0"/>
    <w:multiLevelType w:val="hybridMultilevel"/>
    <w:tmpl w:val="EEC0F4C4"/>
    <w:lvl w:ilvl="0" w:tplc="C0BC65CC">
      <w:start w:val="1"/>
      <w:numFmt w:val="decimal"/>
      <w:lvlText w:val="(%1)"/>
      <w:lvlJc w:val="left"/>
      <w:pPr>
        <w:tabs>
          <w:tab w:val="num" w:pos="454"/>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BB01F31"/>
    <w:multiLevelType w:val="multilevel"/>
    <w:tmpl w:val="C1BA84C0"/>
    <w:lvl w:ilvl="0">
      <w:start w:val="1"/>
      <w:numFmt w:val="decimal"/>
      <w:lvlText w:val="(%1)"/>
      <w:lvlJc w:val="left"/>
      <w:pPr>
        <w:tabs>
          <w:tab w:val="num" w:pos="45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FB56E0"/>
    <w:multiLevelType w:val="hybridMultilevel"/>
    <w:tmpl w:val="0CAEBF24"/>
    <w:lvl w:ilvl="0" w:tplc="69DE04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1D461B"/>
    <w:multiLevelType w:val="hybridMultilevel"/>
    <w:tmpl w:val="5D18BA18"/>
    <w:lvl w:ilvl="0" w:tplc="04BE6F08">
      <w:start w:val="25"/>
      <w:numFmt w:val="bullet"/>
      <w:lvlText w:val=""/>
      <w:lvlJc w:val="left"/>
      <w:pPr>
        <w:ind w:left="720" w:hanging="360"/>
      </w:pPr>
      <w:rPr>
        <w:rFonts w:ascii="Symbol" w:eastAsia="Times New Roman" w:hAnsi="Symbol" w:cs="Arial Unicode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CE1095F"/>
    <w:multiLevelType w:val="hybridMultilevel"/>
    <w:tmpl w:val="2304A45A"/>
    <w:lvl w:ilvl="0" w:tplc="076AF082">
      <w:start w:val="1"/>
      <w:numFmt w:val="lowerLetter"/>
      <w:lvlText w:val="(%1)"/>
      <w:lvlJc w:val="left"/>
      <w:pPr>
        <w:tabs>
          <w:tab w:val="num" w:pos="530"/>
        </w:tabs>
        <w:ind w:left="36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EC04E76"/>
    <w:multiLevelType w:val="hybridMultilevel"/>
    <w:tmpl w:val="9648C700"/>
    <w:lvl w:ilvl="0" w:tplc="B2A4B6F6">
      <w:start w:val="5"/>
      <w:numFmt w:val="decimal"/>
      <w:lvlText w:val="%1."/>
      <w:lvlJc w:val="left"/>
      <w:pPr>
        <w:tabs>
          <w:tab w:val="num" w:pos="840"/>
        </w:tabs>
        <w:ind w:left="840" w:hanging="4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2"/>
  </w:num>
  <w:num w:numId="4">
    <w:abstractNumId w:val="13"/>
  </w:num>
  <w:num w:numId="5">
    <w:abstractNumId w:val="7"/>
  </w:num>
  <w:num w:numId="6">
    <w:abstractNumId w:val="21"/>
  </w:num>
  <w:num w:numId="7">
    <w:abstractNumId w:val="0"/>
    <w:lvlOverride w:ilvl="0">
      <w:lvl w:ilvl="0">
        <w:numFmt w:val="bullet"/>
        <w:lvlText w:val=""/>
        <w:legacy w:legacy="1" w:legacySpace="0" w:legacyIndent="371"/>
        <w:lvlJc w:val="left"/>
        <w:rPr>
          <w:rFonts w:ascii="Symbol" w:hAnsi="Symbol" w:hint="default"/>
        </w:rPr>
      </w:lvl>
    </w:lvlOverride>
  </w:num>
  <w:num w:numId="8">
    <w:abstractNumId w:val="20"/>
  </w:num>
  <w:num w:numId="9">
    <w:abstractNumId w:val="3"/>
  </w:num>
  <w:num w:numId="10">
    <w:abstractNumId w:val="5"/>
  </w:num>
  <w:num w:numId="11">
    <w:abstractNumId w:val="1"/>
  </w:num>
  <w:num w:numId="12">
    <w:abstractNumId w:val="17"/>
  </w:num>
  <w:num w:numId="13">
    <w:abstractNumId w:val="16"/>
  </w:num>
  <w:num w:numId="14">
    <w:abstractNumId w:val="4"/>
  </w:num>
  <w:num w:numId="15">
    <w:abstractNumId w:val="15"/>
  </w:num>
  <w:num w:numId="16">
    <w:abstractNumId w:val="8"/>
  </w:num>
  <w:num w:numId="17">
    <w:abstractNumId w:val="14"/>
  </w:num>
  <w:num w:numId="18">
    <w:abstractNumId w:val="19"/>
  </w:num>
  <w:num w:numId="19">
    <w:abstractNumId w:val="9"/>
  </w:num>
  <w:num w:numId="20">
    <w:abstractNumId w:val="6"/>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642FCB"/>
    <w:rsid w:val="00002DF8"/>
    <w:rsid w:val="000057CF"/>
    <w:rsid w:val="0000684D"/>
    <w:rsid w:val="000117A3"/>
    <w:rsid w:val="00012A93"/>
    <w:rsid w:val="00017E3D"/>
    <w:rsid w:val="00022EA1"/>
    <w:rsid w:val="00025306"/>
    <w:rsid w:val="00032D16"/>
    <w:rsid w:val="0004192B"/>
    <w:rsid w:val="000435CF"/>
    <w:rsid w:val="000452D4"/>
    <w:rsid w:val="00046989"/>
    <w:rsid w:val="00052CDD"/>
    <w:rsid w:val="00063D75"/>
    <w:rsid w:val="00066361"/>
    <w:rsid w:val="00072A18"/>
    <w:rsid w:val="0007562D"/>
    <w:rsid w:val="000773FF"/>
    <w:rsid w:val="000819AE"/>
    <w:rsid w:val="00082080"/>
    <w:rsid w:val="00082CC2"/>
    <w:rsid w:val="00084430"/>
    <w:rsid w:val="000858AB"/>
    <w:rsid w:val="0009013D"/>
    <w:rsid w:val="000943FA"/>
    <w:rsid w:val="000A02E8"/>
    <w:rsid w:val="000A2C70"/>
    <w:rsid w:val="000B3FF8"/>
    <w:rsid w:val="000C12DB"/>
    <w:rsid w:val="000C55F0"/>
    <w:rsid w:val="000D7981"/>
    <w:rsid w:val="000E24B0"/>
    <w:rsid w:val="000E7212"/>
    <w:rsid w:val="000F00FF"/>
    <w:rsid w:val="000F0BD8"/>
    <w:rsid w:val="000F2168"/>
    <w:rsid w:val="000F4FC3"/>
    <w:rsid w:val="000F6B69"/>
    <w:rsid w:val="00102BA9"/>
    <w:rsid w:val="00106471"/>
    <w:rsid w:val="0011316D"/>
    <w:rsid w:val="00114EDD"/>
    <w:rsid w:val="00115B0F"/>
    <w:rsid w:val="00116DFD"/>
    <w:rsid w:val="00117099"/>
    <w:rsid w:val="00117460"/>
    <w:rsid w:val="00122531"/>
    <w:rsid w:val="0013705F"/>
    <w:rsid w:val="00144611"/>
    <w:rsid w:val="00152519"/>
    <w:rsid w:val="00167754"/>
    <w:rsid w:val="0017031A"/>
    <w:rsid w:val="00172472"/>
    <w:rsid w:val="001738B7"/>
    <w:rsid w:val="00175412"/>
    <w:rsid w:val="001774A2"/>
    <w:rsid w:val="001865FE"/>
    <w:rsid w:val="0018786D"/>
    <w:rsid w:val="00192255"/>
    <w:rsid w:val="0019245E"/>
    <w:rsid w:val="001939A4"/>
    <w:rsid w:val="00193F5B"/>
    <w:rsid w:val="001A6310"/>
    <w:rsid w:val="001A688E"/>
    <w:rsid w:val="001B0127"/>
    <w:rsid w:val="001B25BC"/>
    <w:rsid w:val="001B3113"/>
    <w:rsid w:val="001B31C7"/>
    <w:rsid w:val="001B3DBD"/>
    <w:rsid w:val="001B5C65"/>
    <w:rsid w:val="001B78C3"/>
    <w:rsid w:val="001C0B9A"/>
    <w:rsid w:val="001C146C"/>
    <w:rsid w:val="001D1687"/>
    <w:rsid w:val="001D32E9"/>
    <w:rsid w:val="001E2C5A"/>
    <w:rsid w:val="001E533A"/>
    <w:rsid w:val="001E53F1"/>
    <w:rsid w:val="001F3025"/>
    <w:rsid w:val="001F4DBB"/>
    <w:rsid w:val="0020060A"/>
    <w:rsid w:val="002030C6"/>
    <w:rsid w:val="002169EB"/>
    <w:rsid w:val="0022006B"/>
    <w:rsid w:val="00225DC5"/>
    <w:rsid w:val="00227F92"/>
    <w:rsid w:val="002344A9"/>
    <w:rsid w:val="0023563A"/>
    <w:rsid w:val="00236700"/>
    <w:rsid w:val="00243297"/>
    <w:rsid w:val="002433A4"/>
    <w:rsid w:val="0024729E"/>
    <w:rsid w:val="00254058"/>
    <w:rsid w:val="002548CD"/>
    <w:rsid w:val="00260828"/>
    <w:rsid w:val="00263511"/>
    <w:rsid w:val="00263ED9"/>
    <w:rsid w:val="00286B48"/>
    <w:rsid w:val="00297239"/>
    <w:rsid w:val="002A03D7"/>
    <w:rsid w:val="002A1777"/>
    <w:rsid w:val="002A58F8"/>
    <w:rsid w:val="002B181B"/>
    <w:rsid w:val="002B28B7"/>
    <w:rsid w:val="002B3289"/>
    <w:rsid w:val="002C2A95"/>
    <w:rsid w:val="002C5763"/>
    <w:rsid w:val="002D084D"/>
    <w:rsid w:val="002D0CF1"/>
    <w:rsid w:val="002D0F60"/>
    <w:rsid w:val="002D14F1"/>
    <w:rsid w:val="002E719E"/>
    <w:rsid w:val="002F073E"/>
    <w:rsid w:val="002F0C37"/>
    <w:rsid w:val="002F1DE7"/>
    <w:rsid w:val="00301751"/>
    <w:rsid w:val="00303D89"/>
    <w:rsid w:val="003049CF"/>
    <w:rsid w:val="00310DDE"/>
    <w:rsid w:val="00312F05"/>
    <w:rsid w:val="00313115"/>
    <w:rsid w:val="0031695A"/>
    <w:rsid w:val="00321F05"/>
    <w:rsid w:val="00326F36"/>
    <w:rsid w:val="00326FA4"/>
    <w:rsid w:val="00346333"/>
    <w:rsid w:val="0035037E"/>
    <w:rsid w:val="003545FD"/>
    <w:rsid w:val="00354CB3"/>
    <w:rsid w:val="00357848"/>
    <w:rsid w:val="003608BE"/>
    <w:rsid w:val="003617EF"/>
    <w:rsid w:val="00362E07"/>
    <w:rsid w:val="0036367D"/>
    <w:rsid w:val="003739CC"/>
    <w:rsid w:val="00383DAF"/>
    <w:rsid w:val="00395F17"/>
    <w:rsid w:val="003A4576"/>
    <w:rsid w:val="003A4CA7"/>
    <w:rsid w:val="003B134B"/>
    <w:rsid w:val="003B53AA"/>
    <w:rsid w:val="003C3FF1"/>
    <w:rsid w:val="003D205E"/>
    <w:rsid w:val="003D6980"/>
    <w:rsid w:val="003E3FAF"/>
    <w:rsid w:val="003E5DC6"/>
    <w:rsid w:val="003F5105"/>
    <w:rsid w:val="00406EC4"/>
    <w:rsid w:val="004140EF"/>
    <w:rsid w:val="00414A70"/>
    <w:rsid w:val="0041624F"/>
    <w:rsid w:val="0041754C"/>
    <w:rsid w:val="00422EA1"/>
    <w:rsid w:val="00431D14"/>
    <w:rsid w:val="00435F52"/>
    <w:rsid w:val="00437D16"/>
    <w:rsid w:val="00440264"/>
    <w:rsid w:val="0044650D"/>
    <w:rsid w:val="0045072A"/>
    <w:rsid w:val="004530F4"/>
    <w:rsid w:val="00453811"/>
    <w:rsid w:val="00456D96"/>
    <w:rsid w:val="00457AEA"/>
    <w:rsid w:val="004621B8"/>
    <w:rsid w:val="00464477"/>
    <w:rsid w:val="00464955"/>
    <w:rsid w:val="004654EC"/>
    <w:rsid w:val="00466DC8"/>
    <w:rsid w:val="0047577D"/>
    <w:rsid w:val="00475E1A"/>
    <w:rsid w:val="00477BA9"/>
    <w:rsid w:val="00477DC1"/>
    <w:rsid w:val="0048394F"/>
    <w:rsid w:val="00491465"/>
    <w:rsid w:val="004A045E"/>
    <w:rsid w:val="004A2EC9"/>
    <w:rsid w:val="004A3973"/>
    <w:rsid w:val="004A526B"/>
    <w:rsid w:val="004B0143"/>
    <w:rsid w:val="004B199A"/>
    <w:rsid w:val="004B729E"/>
    <w:rsid w:val="004C1CA0"/>
    <w:rsid w:val="004C6D03"/>
    <w:rsid w:val="004C783F"/>
    <w:rsid w:val="004C7C8B"/>
    <w:rsid w:val="004D0562"/>
    <w:rsid w:val="004D14A8"/>
    <w:rsid w:val="004D3474"/>
    <w:rsid w:val="004D5A81"/>
    <w:rsid w:val="004D644E"/>
    <w:rsid w:val="004E31BF"/>
    <w:rsid w:val="004E37A9"/>
    <w:rsid w:val="004E46D8"/>
    <w:rsid w:val="004F24E2"/>
    <w:rsid w:val="004F7318"/>
    <w:rsid w:val="00504EB2"/>
    <w:rsid w:val="00505068"/>
    <w:rsid w:val="0050664C"/>
    <w:rsid w:val="00506C47"/>
    <w:rsid w:val="005157C8"/>
    <w:rsid w:val="00522BF8"/>
    <w:rsid w:val="005240A6"/>
    <w:rsid w:val="00525CA6"/>
    <w:rsid w:val="0053074E"/>
    <w:rsid w:val="00534099"/>
    <w:rsid w:val="00534D1F"/>
    <w:rsid w:val="00542878"/>
    <w:rsid w:val="0054633A"/>
    <w:rsid w:val="005521C4"/>
    <w:rsid w:val="00552BDD"/>
    <w:rsid w:val="00555664"/>
    <w:rsid w:val="00557ECC"/>
    <w:rsid w:val="00563844"/>
    <w:rsid w:val="005741B4"/>
    <w:rsid w:val="005809F0"/>
    <w:rsid w:val="00597203"/>
    <w:rsid w:val="005A001C"/>
    <w:rsid w:val="005A3F1F"/>
    <w:rsid w:val="005A7FA0"/>
    <w:rsid w:val="005B7304"/>
    <w:rsid w:val="005C5E96"/>
    <w:rsid w:val="005D08D7"/>
    <w:rsid w:val="005D32F3"/>
    <w:rsid w:val="005D43B4"/>
    <w:rsid w:val="005D69A0"/>
    <w:rsid w:val="005E0CCC"/>
    <w:rsid w:val="005E1FC8"/>
    <w:rsid w:val="005E42CF"/>
    <w:rsid w:val="005E6735"/>
    <w:rsid w:val="005F0A89"/>
    <w:rsid w:val="005F1B14"/>
    <w:rsid w:val="005F6485"/>
    <w:rsid w:val="00601A22"/>
    <w:rsid w:val="00606D42"/>
    <w:rsid w:val="00607F2E"/>
    <w:rsid w:val="006108F7"/>
    <w:rsid w:val="0061396A"/>
    <w:rsid w:val="006141B8"/>
    <w:rsid w:val="00620265"/>
    <w:rsid w:val="0062051D"/>
    <w:rsid w:val="00621917"/>
    <w:rsid w:val="00621C57"/>
    <w:rsid w:val="00635190"/>
    <w:rsid w:val="00635BA1"/>
    <w:rsid w:val="00642FCB"/>
    <w:rsid w:val="006440F6"/>
    <w:rsid w:val="006469A7"/>
    <w:rsid w:val="006679CA"/>
    <w:rsid w:val="006818C4"/>
    <w:rsid w:val="0068338F"/>
    <w:rsid w:val="00690C10"/>
    <w:rsid w:val="00694799"/>
    <w:rsid w:val="006A0569"/>
    <w:rsid w:val="006A3668"/>
    <w:rsid w:val="006A4896"/>
    <w:rsid w:val="006A7A1B"/>
    <w:rsid w:val="006B3CDD"/>
    <w:rsid w:val="006C66C6"/>
    <w:rsid w:val="006C7530"/>
    <w:rsid w:val="006C7AB7"/>
    <w:rsid w:val="006D11DD"/>
    <w:rsid w:val="006D4546"/>
    <w:rsid w:val="006D4CC8"/>
    <w:rsid w:val="006D7062"/>
    <w:rsid w:val="006D74DD"/>
    <w:rsid w:val="006D7E0E"/>
    <w:rsid w:val="006F6211"/>
    <w:rsid w:val="006F70DE"/>
    <w:rsid w:val="00702FB7"/>
    <w:rsid w:val="00705B5E"/>
    <w:rsid w:val="00707F75"/>
    <w:rsid w:val="0071606F"/>
    <w:rsid w:val="0073014A"/>
    <w:rsid w:val="0073173C"/>
    <w:rsid w:val="00732E99"/>
    <w:rsid w:val="00733574"/>
    <w:rsid w:val="00734D76"/>
    <w:rsid w:val="00736BF9"/>
    <w:rsid w:val="00736CB7"/>
    <w:rsid w:val="007429E6"/>
    <w:rsid w:val="00742BC0"/>
    <w:rsid w:val="00750869"/>
    <w:rsid w:val="0075537B"/>
    <w:rsid w:val="00755FDC"/>
    <w:rsid w:val="00757990"/>
    <w:rsid w:val="007629C4"/>
    <w:rsid w:val="0077107E"/>
    <w:rsid w:val="00771A48"/>
    <w:rsid w:val="00772228"/>
    <w:rsid w:val="007725CB"/>
    <w:rsid w:val="00772909"/>
    <w:rsid w:val="00782010"/>
    <w:rsid w:val="00786CF9"/>
    <w:rsid w:val="00791554"/>
    <w:rsid w:val="00793265"/>
    <w:rsid w:val="00793BF3"/>
    <w:rsid w:val="007948A3"/>
    <w:rsid w:val="00794F29"/>
    <w:rsid w:val="007950A9"/>
    <w:rsid w:val="007A0332"/>
    <w:rsid w:val="007B34DC"/>
    <w:rsid w:val="007B46ED"/>
    <w:rsid w:val="007C136E"/>
    <w:rsid w:val="007C452E"/>
    <w:rsid w:val="007C66E1"/>
    <w:rsid w:val="007D067E"/>
    <w:rsid w:val="007D0D47"/>
    <w:rsid w:val="007D2BFB"/>
    <w:rsid w:val="007D307B"/>
    <w:rsid w:val="007D422C"/>
    <w:rsid w:val="007D500D"/>
    <w:rsid w:val="007D5CB7"/>
    <w:rsid w:val="007E2760"/>
    <w:rsid w:val="007E447D"/>
    <w:rsid w:val="007F668A"/>
    <w:rsid w:val="008004EC"/>
    <w:rsid w:val="0080393F"/>
    <w:rsid w:val="0081140E"/>
    <w:rsid w:val="0081521A"/>
    <w:rsid w:val="00823042"/>
    <w:rsid w:val="00823C21"/>
    <w:rsid w:val="008241CD"/>
    <w:rsid w:val="008263C3"/>
    <w:rsid w:val="00833550"/>
    <w:rsid w:val="00833F3F"/>
    <w:rsid w:val="008346FF"/>
    <w:rsid w:val="00834C8D"/>
    <w:rsid w:val="00840C04"/>
    <w:rsid w:val="0084360F"/>
    <w:rsid w:val="008438FB"/>
    <w:rsid w:val="00846335"/>
    <w:rsid w:val="00846D9F"/>
    <w:rsid w:val="00847058"/>
    <w:rsid w:val="00851B66"/>
    <w:rsid w:val="00853B8C"/>
    <w:rsid w:val="008556D2"/>
    <w:rsid w:val="008575FE"/>
    <w:rsid w:val="008576C4"/>
    <w:rsid w:val="008644BD"/>
    <w:rsid w:val="00865C2A"/>
    <w:rsid w:val="008717FF"/>
    <w:rsid w:val="00876C8A"/>
    <w:rsid w:val="00881456"/>
    <w:rsid w:val="00886189"/>
    <w:rsid w:val="0088757A"/>
    <w:rsid w:val="008A5EAC"/>
    <w:rsid w:val="008B3F88"/>
    <w:rsid w:val="008B6E44"/>
    <w:rsid w:val="008C15D1"/>
    <w:rsid w:val="008C18E7"/>
    <w:rsid w:val="008C2DD2"/>
    <w:rsid w:val="008C4B42"/>
    <w:rsid w:val="008D195B"/>
    <w:rsid w:val="008D21F1"/>
    <w:rsid w:val="008D348A"/>
    <w:rsid w:val="008D4E0E"/>
    <w:rsid w:val="008E48FF"/>
    <w:rsid w:val="008E758E"/>
    <w:rsid w:val="008F0EEF"/>
    <w:rsid w:val="00907489"/>
    <w:rsid w:val="00907632"/>
    <w:rsid w:val="00910770"/>
    <w:rsid w:val="00915DDA"/>
    <w:rsid w:val="00920082"/>
    <w:rsid w:val="009301F4"/>
    <w:rsid w:val="00930212"/>
    <w:rsid w:val="0093364C"/>
    <w:rsid w:val="00934273"/>
    <w:rsid w:val="00937B8D"/>
    <w:rsid w:val="00945DAC"/>
    <w:rsid w:val="0094697B"/>
    <w:rsid w:val="00953D04"/>
    <w:rsid w:val="00953EBC"/>
    <w:rsid w:val="00955A6B"/>
    <w:rsid w:val="00960BF8"/>
    <w:rsid w:val="00962311"/>
    <w:rsid w:val="009714BA"/>
    <w:rsid w:val="00974BEC"/>
    <w:rsid w:val="009806AE"/>
    <w:rsid w:val="009869BF"/>
    <w:rsid w:val="009872FD"/>
    <w:rsid w:val="00993D36"/>
    <w:rsid w:val="00995673"/>
    <w:rsid w:val="009963B8"/>
    <w:rsid w:val="009A23C0"/>
    <w:rsid w:val="009A2C50"/>
    <w:rsid w:val="009A3ABA"/>
    <w:rsid w:val="009A6F7F"/>
    <w:rsid w:val="009A7DE3"/>
    <w:rsid w:val="009B0D9B"/>
    <w:rsid w:val="009B43C4"/>
    <w:rsid w:val="009B4EE4"/>
    <w:rsid w:val="009B71C2"/>
    <w:rsid w:val="009C441D"/>
    <w:rsid w:val="009C7631"/>
    <w:rsid w:val="009D2773"/>
    <w:rsid w:val="009D4D56"/>
    <w:rsid w:val="009E043F"/>
    <w:rsid w:val="009E44AA"/>
    <w:rsid w:val="009E4624"/>
    <w:rsid w:val="009E5D28"/>
    <w:rsid w:val="009E778C"/>
    <w:rsid w:val="009F03A9"/>
    <w:rsid w:val="009F1CA9"/>
    <w:rsid w:val="009F35A6"/>
    <w:rsid w:val="009F4DE6"/>
    <w:rsid w:val="00A000DE"/>
    <w:rsid w:val="00A001FE"/>
    <w:rsid w:val="00A00387"/>
    <w:rsid w:val="00A06DD0"/>
    <w:rsid w:val="00A15565"/>
    <w:rsid w:val="00A254AF"/>
    <w:rsid w:val="00A30EAF"/>
    <w:rsid w:val="00A35A06"/>
    <w:rsid w:val="00A37C8C"/>
    <w:rsid w:val="00A40530"/>
    <w:rsid w:val="00A43454"/>
    <w:rsid w:val="00A55817"/>
    <w:rsid w:val="00A55E02"/>
    <w:rsid w:val="00A61F7F"/>
    <w:rsid w:val="00A7326B"/>
    <w:rsid w:val="00A742C8"/>
    <w:rsid w:val="00A75B92"/>
    <w:rsid w:val="00A81BDA"/>
    <w:rsid w:val="00A81F99"/>
    <w:rsid w:val="00A845FF"/>
    <w:rsid w:val="00A93D55"/>
    <w:rsid w:val="00A943E5"/>
    <w:rsid w:val="00A95FC0"/>
    <w:rsid w:val="00AA49C5"/>
    <w:rsid w:val="00AA4CCB"/>
    <w:rsid w:val="00AA75B5"/>
    <w:rsid w:val="00AB1C2A"/>
    <w:rsid w:val="00AB1CF9"/>
    <w:rsid w:val="00AB2508"/>
    <w:rsid w:val="00AB25F4"/>
    <w:rsid w:val="00AB2831"/>
    <w:rsid w:val="00AB6DB4"/>
    <w:rsid w:val="00AB702B"/>
    <w:rsid w:val="00AC4A22"/>
    <w:rsid w:val="00AC78FC"/>
    <w:rsid w:val="00AD2457"/>
    <w:rsid w:val="00AE7190"/>
    <w:rsid w:val="00AE7EBB"/>
    <w:rsid w:val="00AF13C8"/>
    <w:rsid w:val="00AF1579"/>
    <w:rsid w:val="00AF188A"/>
    <w:rsid w:val="00B0383E"/>
    <w:rsid w:val="00B075D2"/>
    <w:rsid w:val="00B10220"/>
    <w:rsid w:val="00B11C93"/>
    <w:rsid w:val="00B13B46"/>
    <w:rsid w:val="00B14BA4"/>
    <w:rsid w:val="00B308B6"/>
    <w:rsid w:val="00B30ABB"/>
    <w:rsid w:val="00B40D4B"/>
    <w:rsid w:val="00B44595"/>
    <w:rsid w:val="00B4564E"/>
    <w:rsid w:val="00B53EF0"/>
    <w:rsid w:val="00B61533"/>
    <w:rsid w:val="00B64C36"/>
    <w:rsid w:val="00B723FE"/>
    <w:rsid w:val="00B80DDF"/>
    <w:rsid w:val="00B8338F"/>
    <w:rsid w:val="00B87D17"/>
    <w:rsid w:val="00B92040"/>
    <w:rsid w:val="00B953F6"/>
    <w:rsid w:val="00BA41F6"/>
    <w:rsid w:val="00BA5784"/>
    <w:rsid w:val="00BA6D86"/>
    <w:rsid w:val="00BB081B"/>
    <w:rsid w:val="00BB1603"/>
    <w:rsid w:val="00BB3E9D"/>
    <w:rsid w:val="00BB4F0E"/>
    <w:rsid w:val="00BC6F53"/>
    <w:rsid w:val="00BD6085"/>
    <w:rsid w:val="00BE1168"/>
    <w:rsid w:val="00BE21BB"/>
    <w:rsid w:val="00BE4F97"/>
    <w:rsid w:val="00BE720B"/>
    <w:rsid w:val="00BF3080"/>
    <w:rsid w:val="00BF35C2"/>
    <w:rsid w:val="00BF68CF"/>
    <w:rsid w:val="00C02A7E"/>
    <w:rsid w:val="00C14A38"/>
    <w:rsid w:val="00C16512"/>
    <w:rsid w:val="00C34201"/>
    <w:rsid w:val="00C35477"/>
    <w:rsid w:val="00C3596D"/>
    <w:rsid w:val="00C40410"/>
    <w:rsid w:val="00C40EB8"/>
    <w:rsid w:val="00C44E20"/>
    <w:rsid w:val="00C54689"/>
    <w:rsid w:val="00C65152"/>
    <w:rsid w:val="00C6731B"/>
    <w:rsid w:val="00C702C3"/>
    <w:rsid w:val="00C73CA6"/>
    <w:rsid w:val="00C85300"/>
    <w:rsid w:val="00C90756"/>
    <w:rsid w:val="00C9470D"/>
    <w:rsid w:val="00C94A3D"/>
    <w:rsid w:val="00C96EBE"/>
    <w:rsid w:val="00CB0F8E"/>
    <w:rsid w:val="00CB6DA9"/>
    <w:rsid w:val="00CC5FDB"/>
    <w:rsid w:val="00CD2240"/>
    <w:rsid w:val="00CE3A6E"/>
    <w:rsid w:val="00CE5F91"/>
    <w:rsid w:val="00CE62E7"/>
    <w:rsid w:val="00CE6BE2"/>
    <w:rsid w:val="00CF047C"/>
    <w:rsid w:val="00CF6498"/>
    <w:rsid w:val="00D015D9"/>
    <w:rsid w:val="00D02505"/>
    <w:rsid w:val="00D0319B"/>
    <w:rsid w:val="00D0355D"/>
    <w:rsid w:val="00D044A8"/>
    <w:rsid w:val="00D04561"/>
    <w:rsid w:val="00D047B3"/>
    <w:rsid w:val="00D057EE"/>
    <w:rsid w:val="00D05DBD"/>
    <w:rsid w:val="00D12635"/>
    <w:rsid w:val="00D14D71"/>
    <w:rsid w:val="00D208CB"/>
    <w:rsid w:val="00D20FCD"/>
    <w:rsid w:val="00D243EE"/>
    <w:rsid w:val="00D26835"/>
    <w:rsid w:val="00D305DB"/>
    <w:rsid w:val="00D34142"/>
    <w:rsid w:val="00D343C6"/>
    <w:rsid w:val="00D35491"/>
    <w:rsid w:val="00D4324F"/>
    <w:rsid w:val="00D43350"/>
    <w:rsid w:val="00D44E47"/>
    <w:rsid w:val="00D47DF0"/>
    <w:rsid w:val="00D501AC"/>
    <w:rsid w:val="00D52629"/>
    <w:rsid w:val="00D5405C"/>
    <w:rsid w:val="00D54432"/>
    <w:rsid w:val="00D5463E"/>
    <w:rsid w:val="00D65059"/>
    <w:rsid w:val="00D7526F"/>
    <w:rsid w:val="00D9462A"/>
    <w:rsid w:val="00D95E1E"/>
    <w:rsid w:val="00D967D0"/>
    <w:rsid w:val="00DA0349"/>
    <w:rsid w:val="00DA3E47"/>
    <w:rsid w:val="00DA4A63"/>
    <w:rsid w:val="00DA4BC0"/>
    <w:rsid w:val="00DB0D6B"/>
    <w:rsid w:val="00DB6BE2"/>
    <w:rsid w:val="00DB6D8B"/>
    <w:rsid w:val="00DC16D8"/>
    <w:rsid w:val="00DC1A7C"/>
    <w:rsid w:val="00DD2FAF"/>
    <w:rsid w:val="00DE2441"/>
    <w:rsid w:val="00DE3842"/>
    <w:rsid w:val="00DE4B33"/>
    <w:rsid w:val="00DE5108"/>
    <w:rsid w:val="00DF0C14"/>
    <w:rsid w:val="00DF0F3E"/>
    <w:rsid w:val="00DF755A"/>
    <w:rsid w:val="00E01049"/>
    <w:rsid w:val="00E1266A"/>
    <w:rsid w:val="00E15FD2"/>
    <w:rsid w:val="00E225A7"/>
    <w:rsid w:val="00E25D35"/>
    <w:rsid w:val="00E30A96"/>
    <w:rsid w:val="00E317A2"/>
    <w:rsid w:val="00E36262"/>
    <w:rsid w:val="00E5466E"/>
    <w:rsid w:val="00E56B1F"/>
    <w:rsid w:val="00E60D93"/>
    <w:rsid w:val="00E65439"/>
    <w:rsid w:val="00E72671"/>
    <w:rsid w:val="00E819EC"/>
    <w:rsid w:val="00E836C5"/>
    <w:rsid w:val="00E86612"/>
    <w:rsid w:val="00E929E5"/>
    <w:rsid w:val="00E93E1B"/>
    <w:rsid w:val="00EA2241"/>
    <w:rsid w:val="00EA344A"/>
    <w:rsid w:val="00EA3480"/>
    <w:rsid w:val="00EA46B2"/>
    <w:rsid w:val="00EA5714"/>
    <w:rsid w:val="00EA5B96"/>
    <w:rsid w:val="00EB6E8D"/>
    <w:rsid w:val="00EC06B8"/>
    <w:rsid w:val="00EC0E26"/>
    <w:rsid w:val="00EC0ED6"/>
    <w:rsid w:val="00EC64B1"/>
    <w:rsid w:val="00EC6AE8"/>
    <w:rsid w:val="00ED679B"/>
    <w:rsid w:val="00EE7A43"/>
    <w:rsid w:val="00EF582B"/>
    <w:rsid w:val="00EF5C70"/>
    <w:rsid w:val="00EF7359"/>
    <w:rsid w:val="00F10F96"/>
    <w:rsid w:val="00F128C4"/>
    <w:rsid w:val="00F13BFE"/>
    <w:rsid w:val="00F14BF8"/>
    <w:rsid w:val="00F23C09"/>
    <w:rsid w:val="00F257D2"/>
    <w:rsid w:val="00F277B9"/>
    <w:rsid w:val="00F27800"/>
    <w:rsid w:val="00F31DFB"/>
    <w:rsid w:val="00F43D1D"/>
    <w:rsid w:val="00F47777"/>
    <w:rsid w:val="00F57535"/>
    <w:rsid w:val="00F60C8E"/>
    <w:rsid w:val="00F65C38"/>
    <w:rsid w:val="00F71091"/>
    <w:rsid w:val="00F76BBB"/>
    <w:rsid w:val="00F816D6"/>
    <w:rsid w:val="00F865A9"/>
    <w:rsid w:val="00F926E8"/>
    <w:rsid w:val="00F97EF9"/>
    <w:rsid w:val="00FB21A6"/>
    <w:rsid w:val="00FB2E7E"/>
    <w:rsid w:val="00FB5322"/>
    <w:rsid w:val="00FB7183"/>
    <w:rsid w:val="00FC1CB2"/>
    <w:rsid w:val="00FC67D4"/>
    <w:rsid w:val="00FD3C4F"/>
    <w:rsid w:val="00FD5C94"/>
    <w:rsid w:val="00FE23C0"/>
    <w:rsid w:val="00FE51B8"/>
    <w:rsid w:val="00FF3251"/>
    <w:rsid w:val="00FF3BAB"/>
    <w:rsid w:val="00FF7D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DC652-D532-4113-8E1F-0A394A78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0A89"/>
    <w:pPr>
      <w:jc w:val="both"/>
    </w:pPr>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3">
    <w:name w:val="H3"/>
    <w:basedOn w:val="Navaden"/>
    <w:next w:val="Navaden"/>
    <w:rsid w:val="005F0A89"/>
    <w:pPr>
      <w:keepNext/>
      <w:spacing w:before="100" w:after="100"/>
      <w:jc w:val="left"/>
      <w:outlineLvl w:val="3"/>
    </w:pPr>
    <w:rPr>
      <w:b/>
      <w:snapToGrid w:val="0"/>
      <w:sz w:val="28"/>
    </w:rPr>
  </w:style>
  <w:style w:type="paragraph" w:styleId="Telobesedila">
    <w:name w:val="Body Text"/>
    <w:basedOn w:val="Navaden"/>
    <w:rsid w:val="005F0A89"/>
    <w:pPr>
      <w:jc w:val="left"/>
    </w:pPr>
  </w:style>
  <w:style w:type="paragraph" w:styleId="Noga">
    <w:name w:val="footer"/>
    <w:basedOn w:val="Navaden"/>
    <w:rsid w:val="005F0A89"/>
    <w:pPr>
      <w:tabs>
        <w:tab w:val="center" w:pos="4536"/>
        <w:tab w:val="right" w:pos="9072"/>
      </w:tabs>
    </w:pPr>
  </w:style>
  <w:style w:type="character" w:styleId="tevilkastrani">
    <w:name w:val="page number"/>
    <w:basedOn w:val="Privzetapisavaodstavka"/>
    <w:rsid w:val="005F0A89"/>
  </w:style>
  <w:style w:type="paragraph" w:styleId="Telobesedila2">
    <w:name w:val="Body Text 2"/>
    <w:basedOn w:val="Navaden"/>
    <w:rsid w:val="005F0A89"/>
    <w:pPr>
      <w:jc w:val="center"/>
    </w:pPr>
  </w:style>
  <w:style w:type="paragraph" w:styleId="Glava">
    <w:name w:val="header"/>
    <w:basedOn w:val="Navaden"/>
    <w:link w:val="GlavaZnak"/>
    <w:uiPriority w:val="99"/>
    <w:rsid w:val="005F0A89"/>
    <w:pPr>
      <w:tabs>
        <w:tab w:val="center" w:pos="4536"/>
        <w:tab w:val="right" w:pos="9072"/>
      </w:tabs>
    </w:pPr>
  </w:style>
  <w:style w:type="paragraph" w:styleId="Sprotnaopomba-besedilo">
    <w:name w:val="footnote text"/>
    <w:basedOn w:val="Navaden"/>
    <w:semiHidden/>
    <w:rsid w:val="007A0332"/>
    <w:rPr>
      <w:sz w:val="20"/>
    </w:rPr>
  </w:style>
  <w:style w:type="character" w:styleId="Sprotnaopomba-sklic">
    <w:name w:val="footnote reference"/>
    <w:basedOn w:val="Privzetapisavaodstavka"/>
    <w:semiHidden/>
    <w:rsid w:val="007A0332"/>
    <w:rPr>
      <w:vertAlign w:val="superscript"/>
    </w:rPr>
  </w:style>
  <w:style w:type="paragraph" w:styleId="Besedilooblaka">
    <w:name w:val="Balloon Text"/>
    <w:basedOn w:val="Navaden"/>
    <w:link w:val="BesedilooblakaZnak"/>
    <w:rsid w:val="006D7062"/>
    <w:rPr>
      <w:rFonts w:ascii="Tahoma" w:hAnsi="Tahoma" w:cs="Tahoma"/>
      <w:sz w:val="16"/>
      <w:szCs w:val="16"/>
    </w:rPr>
  </w:style>
  <w:style w:type="character" w:customStyle="1" w:styleId="BesedilooblakaZnak">
    <w:name w:val="Besedilo oblačka Znak"/>
    <w:basedOn w:val="Privzetapisavaodstavka"/>
    <w:link w:val="Besedilooblaka"/>
    <w:rsid w:val="006D7062"/>
    <w:rPr>
      <w:rFonts w:ascii="Tahoma" w:hAnsi="Tahoma" w:cs="Tahoma"/>
      <w:sz w:val="16"/>
      <w:szCs w:val="16"/>
    </w:rPr>
  </w:style>
  <w:style w:type="character" w:styleId="Pripombasklic">
    <w:name w:val="annotation reference"/>
    <w:basedOn w:val="Privzetapisavaodstavka"/>
    <w:rsid w:val="003049CF"/>
    <w:rPr>
      <w:sz w:val="16"/>
      <w:szCs w:val="16"/>
    </w:rPr>
  </w:style>
  <w:style w:type="paragraph" w:styleId="Pripombabesedilo">
    <w:name w:val="annotation text"/>
    <w:basedOn w:val="Navaden"/>
    <w:link w:val="PripombabesediloZnak"/>
    <w:rsid w:val="003049CF"/>
    <w:rPr>
      <w:sz w:val="20"/>
    </w:rPr>
  </w:style>
  <w:style w:type="character" w:customStyle="1" w:styleId="PripombabesediloZnak">
    <w:name w:val="Pripomba – besedilo Znak"/>
    <w:basedOn w:val="Privzetapisavaodstavka"/>
    <w:link w:val="Pripombabesedilo"/>
    <w:rsid w:val="003049CF"/>
  </w:style>
  <w:style w:type="paragraph" w:styleId="Zadevapripombe">
    <w:name w:val="annotation subject"/>
    <w:basedOn w:val="Pripombabesedilo"/>
    <w:next w:val="Pripombabesedilo"/>
    <w:link w:val="ZadevapripombeZnak"/>
    <w:rsid w:val="003049CF"/>
    <w:rPr>
      <w:b/>
      <w:bCs/>
    </w:rPr>
  </w:style>
  <w:style w:type="character" w:customStyle="1" w:styleId="ZadevapripombeZnak">
    <w:name w:val="Zadeva pripombe Znak"/>
    <w:basedOn w:val="PripombabesediloZnak"/>
    <w:link w:val="Zadevapripombe"/>
    <w:rsid w:val="003049CF"/>
    <w:rPr>
      <w:b/>
      <w:bCs/>
    </w:rPr>
  </w:style>
  <w:style w:type="paragraph" w:styleId="Odstavekseznama">
    <w:name w:val="List Paragraph"/>
    <w:basedOn w:val="Navaden"/>
    <w:uiPriority w:val="34"/>
    <w:qFormat/>
    <w:rsid w:val="00EC06B8"/>
    <w:pPr>
      <w:ind w:left="708"/>
    </w:pPr>
  </w:style>
  <w:style w:type="character" w:customStyle="1" w:styleId="GlavaZnak">
    <w:name w:val="Glava Znak"/>
    <w:basedOn w:val="Privzetapisavaodstavka"/>
    <w:link w:val="Glava"/>
    <w:uiPriority w:val="99"/>
    <w:rsid w:val="007C136E"/>
    <w:rPr>
      <w:sz w:val="22"/>
    </w:rPr>
  </w:style>
  <w:style w:type="paragraph" w:styleId="Revizija">
    <w:name w:val="Revision"/>
    <w:hidden/>
    <w:uiPriority w:val="99"/>
    <w:semiHidden/>
    <w:rsid w:val="000D7981"/>
    <w:rPr>
      <w:sz w:val="22"/>
    </w:rPr>
  </w:style>
  <w:style w:type="paragraph" w:customStyle="1" w:styleId="Naslovpredpisa">
    <w:name w:val="Naslov_predpisa"/>
    <w:basedOn w:val="Navaden"/>
    <w:link w:val="NaslovpredpisaZnak"/>
    <w:qFormat/>
    <w:rsid w:val="005240A6"/>
    <w:pPr>
      <w:suppressAutoHyphens/>
      <w:overflowPunct w:val="0"/>
      <w:autoSpaceDE w:val="0"/>
      <w:autoSpaceDN w:val="0"/>
      <w:adjustRightInd w:val="0"/>
      <w:jc w:val="center"/>
      <w:textAlignment w:val="baseline"/>
    </w:pPr>
    <w:rPr>
      <w:rFonts w:ascii="Arial" w:hAnsi="Arial"/>
      <w:b/>
      <w:szCs w:val="22"/>
    </w:rPr>
  </w:style>
  <w:style w:type="character" w:customStyle="1" w:styleId="NaslovpredpisaZnak">
    <w:name w:val="Naslov_predpisa Znak"/>
    <w:link w:val="Naslovpredpisa"/>
    <w:rsid w:val="005240A6"/>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9-01-315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8B52-3169-4416-BA2B-5BAA88FF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1ECE4A-4CF7-4D20-BD25-7AF4433732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483F0-C54A-4715-8269-291310CDCD9D}">
  <ds:schemaRefs>
    <ds:schemaRef ds:uri="http://schemas.microsoft.com/sharepoint/v3/contenttype/forms"/>
  </ds:schemaRefs>
</ds:datastoreItem>
</file>

<file path=customXml/itemProps4.xml><?xml version="1.0" encoding="utf-8"?>
<ds:datastoreItem xmlns:ds="http://schemas.openxmlformats.org/officeDocument/2006/customXml" ds:itemID="{C60EDC0C-5D84-4D16-BBFE-72D8CE12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1116</Words>
  <Characters>6364</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prvega odstavka 31</vt:lpstr>
      <vt:lpstr>Na podlagi prvega odstavka 31</vt:lpstr>
    </vt:vector>
  </TitlesOfParts>
  <Company>Banka Slovenije</Company>
  <LinksUpToDate>false</LinksUpToDate>
  <CharactersWithSpaces>7466</CharactersWithSpaces>
  <SharedDoc>false</SharedDoc>
  <HLinks>
    <vt:vector size="6" baseType="variant">
      <vt:variant>
        <vt:i4>7405600</vt:i4>
      </vt:variant>
      <vt:variant>
        <vt:i4>0</vt:i4>
      </vt:variant>
      <vt:variant>
        <vt:i4>0</vt:i4>
      </vt:variant>
      <vt:variant>
        <vt:i4>5</vt:i4>
      </vt:variant>
      <vt:variant>
        <vt:lpwstr>http://www.uradni-list.si/1/objava.jsp?sop=2009-01-3158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31</dc:title>
  <dc:creator>Uporabnik BS</dc:creator>
  <cp:lastModifiedBy>sandra ban</cp:lastModifiedBy>
  <cp:revision>1</cp:revision>
  <cp:lastPrinted>2016-03-08T14:00:00Z</cp:lastPrinted>
  <dcterms:created xsi:type="dcterms:W3CDTF">2018-01-19T10:16:00Z</dcterms:created>
  <dcterms:modified xsi:type="dcterms:W3CDTF">2018-01-19T10:16:00Z</dcterms:modified>
</cp:coreProperties>
</file>