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D66" w:rsidRDefault="000A2D66" w:rsidP="000A2D66">
      <w:pPr>
        <w:pStyle w:val="Odstavekseznama"/>
        <w:numPr>
          <w:ilvl w:val="0"/>
          <w:numId w:val="20"/>
        </w:numPr>
        <w:pBdr>
          <w:bottom w:val="single" w:sz="4" w:space="1" w:color="auto"/>
        </w:pBdr>
        <w:ind w:left="284" w:hanging="284"/>
        <w:contextualSpacing w:val="0"/>
        <w:jc w:val="both"/>
      </w:pPr>
      <w:r>
        <w:t>Uradni list RS, št. 17/18 z dne 16. 3. 2018 (velja od 17. 3. 2018)</w:t>
      </w:r>
    </w:p>
    <w:p w:rsidR="000A2D66" w:rsidRDefault="000A2D66" w:rsidP="000A2D66">
      <w:pPr>
        <w:pBdr>
          <w:bottom w:val="single" w:sz="4" w:space="1" w:color="auto"/>
        </w:pBdr>
      </w:pPr>
    </w:p>
    <w:p w:rsidR="000A2D66" w:rsidRDefault="000A2D66" w:rsidP="000A2D66">
      <w:pPr>
        <w:pStyle w:val="Telobesedila2"/>
        <w:rPr>
          <w:sz w:val="22"/>
          <w:szCs w:val="22"/>
        </w:rPr>
      </w:pPr>
    </w:p>
    <w:p w:rsidR="007470B8" w:rsidRPr="00C95D7E" w:rsidRDefault="007470B8" w:rsidP="007470B8">
      <w:pPr>
        <w:pStyle w:val="Navadensplet"/>
        <w:jc w:val="both"/>
        <w:rPr>
          <w:color w:val="auto"/>
          <w:sz w:val="22"/>
          <w:szCs w:val="22"/>
        </w:rPr>
      </w:pPr>
      <w:r w:rsidRPr="00C95D7E">
        <w:rPr>
          <w:color w:val="auto"/>
          <w:sz w:val="22"/>
          <w:szCs w:val="22"/>
        </w:rPr>
        <w:t>Na podlagi tretjega odstavka 7. člena Zakona o bančništvu (Uradni list RS, št. 25/2015</w:t>
      </w:r>
      <w:r w:rsidR="00FA3810">
        <w:rPr>
          <w:color w:val="auto"/>
          <w:sz w:val="22"/>
          <w:szCs w:val="22"/>
        </w:rPr>
        <w:t xml:space="preserve">, 44/16 – ZRPPB, 77/16 – ZCKR in 41/17; </w:t>
      </w:r>
      <w:r w:rsidRPr="00C95D7E">
        <w:rPr>
          <w:color w:val="auto"/>
          <w:sz w:val="22"/>
          <w:szCs w:val="22"/>
        </w:rPr>
        <w:t>v nadaljevanju ZBan-2) in prvega odstavka 31. člena Zakona o Banki Slovenije (Uradni list RS, št. 72/06 – uradno prečiščeno besedilo</w:t>
      </w:r>
      <w:r w:rsidR="00FA3810">
        <w:rPr>
          <w:color w:val="auto"/>
          <w:sz w:val="22"/>
          <w:szCs w:val="22"/>
        </w:rPr>
        <w:t>,</w:t>
      </w:r>
      <w:r w:rsidRPr="00C95D7E">
        <w:rPr>
          <w:color w:val="auto"/>
          <w:sz w:val="22"/>
          <w:szCs w:val="22"/>
        </w:rPr>
        <w:t xml:space="preserve"> 59/11</w:t>
      </w:r>
      <w:r w:rsidR="00FA3810">
        <w:rPr>
          <w:color w:val="auto"/>
          <w:sz w:val="22"/>
          <w:szCs w:val="22"/>
        </w:rPr>
        <w:t xml:space="preserve"> in 55/17</w:t>
      </w:r>
      <w:r w:rsidRPr="00C95D7E">
        <w:rPr>
          <w:color w:val="auto"/>
          <w:sz w:val="22"/>
          <w:szCs w:val="22"/>
        </w:rPr>
        <w:t>) izdaja Svet Banke Slovenije</w:t>
      </w:r>
    </w:p>
    <w:p w:rsidR="00B979DE" w:rsidRPr="00C95D7E" w:rsidRDefault="00B979DE" w:rsidP="00B979DE">
      <w:pPr>
        <w:pStyle w:val="Navadensplet"/>
        <w:spacing w:after="0"/>
        <w:ind w:firstLine="155"/>
        <w:jc w:val="both"/>
        <w:rPr>
          <w:color w:val="auto"/>
          <w:sz w:val="22"/>
          <w:szCs w:val="22"/>
        </w:rPr>
      </w:pPr>
    </w:p>
    <w:p w:rsidR="002B43F2" w:rsidRPr="00C95D7E" w:rsidRDefault="002B43F2" w:rsidP="00B979DE">
      <w:pPr>
        <w:pStyle w:val="esegmentt"/>
        <w:spacing w:after="0" w:line="240" w:lineRule="auto"/>
        <w:rPr>
          <w:color w:val="auto"/>
          <w:sz w:val="22"/>
          <w:szCs w:val="22"/>
        </w:rPr>
      </w:pPr>
      <w:r w:rsidRPr="00C95D7E">
        <w:rPr>
          <w:color w:val="auto"/>
          <w:sz w:val="22"/>
          <w:szCs w:val="22"/>
        </w:rPr>
        <w:t>S K L E P</w:t>
      </w:r>
      <w:r w:rsidRPr="00C95D7E">
        <w:rPr>
          <w:color w:val="auto"/>
          <w:sz w:val="22"/>
          <w:szCs w:val="22"/>
        </w:rPr>
        <w:br/>
      </w:r>
      <w:r w:rsidR="008D5803" w:rsidRPr="00C95D7E">
        <w:rPr>
          <w:color w:val="auto"/>
          <w:sz w:val="22"/>
          <w:szCs w:val="22"/>
        </w:rPr>
        <w:t>o merilih za določitev pomembne banke</w:t>
      </w:r>
    </w:p>
    <w:p w:rsidR="000B1743" w:rsidRPr="00C95D7E" w:rsidRDefault="000B1743" w:rsidP="00B979DE">
      <w:pPr>
        <w:pStyle w:val="esegmentt"/>
        <w:spacing w:after="0" w:line="240" w:lineRule="auto"/>
        <w:rPr>
          <w:color w:val="auto"/>
          <w:sz w:val="22"/>
          <w:szCs w:val="22"/>
        </w:rPr>
      </w:pPr>
    </w:p>
    <w:p w:rsidR="002B43F2" w:rsidRPr="00C95D7E" w:rsidRDefault="002B43F2" w:rsidP="00B979DE">
      <w:pPr>
        <w:pStyle w:val="esegmenth4"/>
        <w:spacing w:after="0"/>
        <w:rPr>
          <w:color w:val="auto"/>
          <w:sz w:val="22"/>
          <w:szCs w:val="22"/>
        </w:rPr>
      </w:pPr>
      <w:r w:rsidRPr="00C95D7E">
        <w:rPr>
          <w:color w:val="auto"/>
          <w:sz w:val="22"/>
          <w:szCs w:val="22"/>
        </w:rPr>
        <w:t>1. člen</w:t>
      </w:r>
    </w:p>
    <w:p w:rsidR="002B43F2" w:rsidRPr="00C95D7E" w:rsidRDefault="002B43F2" w:rsidP="00B979DE">
      <w:pPr>
        <w:pStyle w:val="esegmenth4"/>
        <w:spacing w:after="0"/>
        <w:rPr>
          <w:color w:val="auto"/>
          <w:sz w:val="22"/>
          <w:szCs w:val="22"/>
        </w:rPr>
      </w:pPr>
      <w:r w:rsidRPr="00C95D7E">
        <w:rPr>
          <w:color w:val="auto"/>
          <w:sz w:val="22"/>
          <w:szCs w:val="22"/>
        </w:rPr>
        <w:t>(vsebina sklepa)</w:t>
      </w:r>
    </w:p>
    <w:p w:rsidR="00B979DE" w:rsidRPr="00C95D7E" w:rsidRDefault="00B979DE" w:rsidP="00B979DE">
      <w:pPr>
        <w:pStyle w:val="esegmenth4"/>
        <w:spacing w:after="0"/>
        <w:rPr>
          <w:color w:val="auto"/>
          <w:sz w:val="22"/>
          <w:szCs w:val="22"/>
        </w:rPr>
      </w:pPr>
    </w:p>
    <w:p w:rsidR="00966832" w:rsidRPr="00E24A59" w:rsidRDefault="007470B8" w:rsidP="00B124D6">
      <w:pPr>
        <w:pStyle w:val="esegmenth4"/>
        <w:numPr>
          <w:ilvl w:val="0"/>
          <w:numId w:val="16"/>
        </w:numPr>
        <w:tabs>
          <w:tab w:val="left" w:pos="426"/>
        </w:tabs>
        <w:spacing w:after="0"/>
        <w:ind w:left="0" w:firstLine="0"/>
        <w:jc w:val="both"/>
        <w:rPr>
          <w:b w:val="0"/>
          <w:color w:val="auto"/>
          <w:sz w:val="22"/>
          <w:szCs w:val="22"/>
        </w:rPr>
      </w:pPr>
      <w:r w:rsidRPr="00E24A59">
        <w:rPr>
          <w:b w:val="0"/>
          <w:color w:val="auto"/>
          <w:sz w:val="22"/>
          <w:szCs w:val="22"/>
        </w:rPr>
        <w:t xml:space="preserve">Ta sklep določa </w:t>
      </w:r>
      <w:r w:rsidR="001C38B7" w:rsidRPr="00E24A59">
        <w:rPr>
          <w:b w:val="0"/>
          <w:color w:val="auto"/>
          <w:sz w:val="22"/>
          <w:szCs w:val="22"/>
        </w:rPr>
        <w:t xml:space="preserve">podrobnejša </w:t>
      </w:r>
      <w:r w:rsidRPr="00E24A59">
        <w:rPr>
          <w:b w:val="0"/>
          <w:color w:val="auto"/>
          <w:sz w:val="22"/>
          <w:szCs w:val="22"/>
        </w:rPr>
        <w:t>merila za določitev pomembne banke</w:t>
      </w:r>
      <w:r w:rsidR="001C38B7" w:rsidRPr="00E24A59">
        <w:rPr>
          <w:b w:val="0"/>
          <w:color w:val="auto"/>
          <w:sz w:val="22"/>
          <w:szCs w:val="22"/>
        </w:rPr>
        <w:t xml:space="preserve"> in hranilnice (v nadaljevanju banke) </w:t>
      </w:r>
      <w:r w:rsidRPr="00E24A59">
        <w:rPr>
          <w:b w:val="0"/>
          <w:color w:val="auto"/>
          <w:sz w:val="22"/>
          <w:szCs w:val="22"/>
        </w:rPr>
        <w:t xml:space="preserve">v zvezi z uveljavljanjem </w:t>
      </w:r>
      <w:r w:rsidR="002974C9" w:rsidRPr="00E24A59">
        <w:rPr>
          <w:b w:val="0"/>
          <w:color w:val="auto"/>
          <w:sz w:val="22"/>
          <w:szCs w:val="22"/>
        </w:rPr>
        <w:t xml:space="preserve">naslednjih </w:t>
      </w:r>
      <w:r w:rsidRPr="00E24A59">
        <w:rPr>
          <w:b w:val="0"/>
          <w:color w:val="auto"/>
          <w:sz w:val="22"/>
          <w:szCs w:val="22"/>
        </w:rPr>
        <w:t>zahtev, ki jih za pomembne banke določa</w:t>
      </w:r>
      <w:r w:rsidR="002974C9" w:rsidRPr="00E24A59">
        <w:rPr>
          <w:b w:val="0"/>
          <w:color w:val="auto"/>
          <w:sz w:val="22"/>
          <w:szCs w:val="22"/>
        </w:rPr>
        <w:t xml:space="preserve"> ZBan-</w:t>
      </w:r>
      <w:r w:rsidR="001733DA" w:rsidRPr="00E24A59">
        <w:rPr>
          <w:b w:val="0"/>
          <w:color w:val="auto"/>
          <w:sz w:val="22"/>
          <w:szCs w:val="22"/>
        </w:rPr>
        <w:t>2</w:t>
      </w:r>
      <w:r w:rsidR="002974C9" w:rsidRPr="00E24A59">
        <w:rPr>
          <w:b w:val="0"/>
          <w:color w:val="auto"/>
          <w:sz w:val="22"/>
          <w:szCs w:val="22"/>
        </w:rPr>
        <w:t xml:space="preserve"> in Uredba (EU) št. 575/2013 Evropskega parlamenta in Sveta z dne 26. junija 2013 o bonitetnih zahtevah za kreditne institucije in investicijska podjetja ter o spremembi Uredbe (EU) št. 648/2012 (UL L št. 176 z dne 27. junija 2013, str. 1; v nadaljevanju</w:t>
      </w:r>
      <w:r w:rsidR="00A5577F" w:rsidRPr="00E24A59">
        <w:rPr>
          <w:b w:val="0"/>
          <w:color w:val="auto"/>
          <w:sz w:val="22"/>
          <w:szCs w:val="22"/>
        </w:rPr>
        <w:t xml:space="preserve"> </w:t>
      </w:r>
      <w:r w:rsidR="002974C9" w:rsidRPr="00E24A59">
        <w:rPr>
          <w:b w:val="0"/>
          <w:color w:val="auto"/>
          <w:sz w:val="22"/>
          <w:szCs w:val="22"/>
        </w:rPr>
        <w:t>Uredba (EU) št. 575/2013)</w:t>
      </w:r>
      <w:r w:rsidR="00B124D6" w:rsidRPr="00E24A59">
        <w:rPr>
          <w:b w:val="0"/>
          <w:color w:val="auto"/>
          <w:sz w:val="22"/>
          <w:szCs w:val="22"/>
        </w:rPr>
        <w:t>, in sicer</w:t>
      </w:r>
      <w:r w:rsidR="00311121">
        <w:rPr>
          <w:b w:val="0"/>
          <w:color w:val="auto"/>
          <w:sz w:val="22"/>
          <w:szCs w:val="22"/>
        </w:rPr>
        <w:t xml:space="preserve"> </w:t>
      </w:r>
      <w:r w:rsidR="00311121" w:rsidRPr="006D09EC">
        <w:rPr>
          <w:b w:val="0"/>
          <w:color w:val="auto"/>
          <w:sz w:val="22"/>
          <w:szCs w:val="22"/>
        </w:rPr>
        <w:t>zlasti</w:t>
      </w:r>
      <w:r w:rsidR="00966832" w:rsidRPr="006D09EC">
        <w:rPr>
          <w:b w:val="0"/>
          <w:color w:val="auto"/>
          <w:sz w:val="22"/>
          <w:szCs w:val="22"/>
        </w:rPr>
        <w:t>:</w:t>
      </w:r>
      <w:r w:rsidRPr="00E24A59">
        <w:rPr>
          <w:b w:val="0"/>
          <w:color w:val="auto"/>
          <w:sz w:val="22"/>
          <w:szCs w:val="22"/>
        </w:rPr>
        <w:t xml:space="preserve"> </w:t>
      </w:r>
    </w:p>
    <w:p w:rsidR="001331F6" w:rsidRDefault="001331F6" w:rsidP="00B124D6">
      <w:pPr>
        <w:pStyle w:val="esegmenth4"/>
        <w:numPr>
          <w:ilvl w:val="0"/>
          <w:numId w:val="13"/>
        </w:numPr>
        <w:tabs>
          <w:tab w:val="left" w:pos="851"/>
        </w:tabs>
        <w:spacing w:after="0"/>
        <w:ind w:left="426" w:firstLine="0"/>
        <w:jc w:val="both"/>
        <w:rPr>
          <w:b w:val="0"/>
          <w:color w:val="auto"/>
          <w:sz w:val="22"/>
          <w:szCs w:val="22"/>
        </w:rPr>
      </w:pPr>
      <w:r w:rsidRPr="00C95D7E">
        <w:rPr>
          <w:b w:val="0"/>
          <w:color w:val="auto"/>
          <w:sz w:val="22"/>
          <w:szCs w:val="22"/>
        </w:rPr>
        <w:t>v zvezi s pogoji za člane upravljalnega organa, ki istočasno opravljajo več direktorskih funkcij (tretji odstavek 36. člena ZBan-2),</w:t>
      </w:r>
    </w:p>
    <w:p w:rsidR="00CA3E8F" w:rsidRPr="00C95D7E" w:rsidRDefault="00CA3E8F" w:rsidP="00B124D6">
      <w:pPr>
        <w:pStyle w:val="esegmenth4"/>
        <w:numPr>
          <w:ilvl w:val="0"/>
          <w:numId w:val="13"/>
        </w:numPr>
        <w:tabs>
          <w:tab w:val="left" w:pos="851"/>
        </w:tabs>
        <w:spacing w:after="0"/>
        <w:ind w:left="426" w:firstLine="0"/>
        <w:jc w:val="both"/>
        <w:rPr>
          <w:b w:val="0"/>
          <w:color w:val="auto"/>
          <w:sz w:val="22"/>
          <w:szCs w:val="22"/>
        </w:rPr>
      </w:pPr>
      <w:r w:rsidRPr="00C95D7E">
        <w:rPr>
          <w:b w:val="0"/>
          <w:color w:val="auto"/>
          <w:sz w:val="22"/>
          <w:szCs w:val="22"/>
        </w:rPr>
        <w:t xml:space="preserve">v zvezi z imenovanjem komisije za prejemke in komisije za imenovanja </w:t>
      </w:r>
      <w:r w:rsidR="002974C9" w:rsidRPr="00C95D7E">
        <w:rPr>
          <w:b w:val="0"/>
          <w:color w:val="auto"/>
          <w:sz w:val="22"/>
          <w:szCs w:val="22"/>
        </w:rPr>
        <w:t>(četrti odstavek 49. člena ZBan-2)</w:t>
      </w:r>
      <w:r w:rsidR="00192B81" w:rsidRPr="00C95D7E">
        <w:rPr>
          <w:b w:val="0"/>
          <w:color w:val="auto"/>
          <w:sz w:val="22"/>
          <w:szCs w:val="22"/>
        </w:rPr>
        <w:t>,</w:t>
      </w:r>
    </w:p>
    <w:p w:rsidR="002974C9" w:rsidRPr="00C95D7E" w:rsidRDefault="002974C9" w:rsidP="00B124D6">
      <w:pPr>
        <w:pStyle w:val="esegmenth4"/>
        <w:numPr>
          <w:ilvl w:val="0"/>
          <w:numId w:val="13"/>
        </w:numPr>
        <w:tabs>
          <w:tab w:val="left" w:pos="851"/>
        </w:tabs>
        <w:spacing w:after="0"/>
        <w:ind w:left="426" w:firstLine="0"/>
        <w:jc w:val="both"/>
        <w:rPr>
          <w:b w:val="0"/>
          <w:color w:val="auto"/>
          <w:sz w:val="22"/>
          <w:szCs w:val="22"/>
        </w:rPr>
      </w:pPr>
      <w:r w:rsidRPr="00C95D7E">
        <w:rPr>
          <w:b w:val="0"/>
          <w:color w:val="auto"/>
          <w:sz w:val="22"/>
          <w:szCs w:val="22"/>
        </w:rPr>
        <w:t xml:space="preserve">glede vzpostavitve službe skladnosti poslovanja (prvi odstavek 146. člena ZBan-2), </w:t>
      </w:r>
      <w:r w:rsidR="009E6483" w:rsidRPr="00C95D7E">
        <w:rPr>
          <w:b w:val="0"/>
          <w:color w:val="auto"/>
          <w:sz w:val="22"/>
          <w:szCs w:val="22"/>
        </w:rPr>
        <w:t xml:space="preserve"> </w:t>
      </w:r>
    </w:p>
    <w:p w:rsidR="00966832" w:rsidRPr="00C95D7E" w:rsidRDefault="00192B81" w:rsidP="00B124D6">
      <w:pPr>
        <w:pStyle w:val="esegmenth4"/>
        <w:numPr>
          <w:ilvl w:val="0"/>
          <w:numId w:val="13"/>
        </w:numPr>
        <w:tabs>
          <w:tab w:val="left" w:pos="851"/>
        </w:tabs>
        <w:spacing w:after="0"/>
        <w:ind w:left="426" w:firstLine="0"/>
        <w:jc w:val="both"/>
        <w:rPr>
          <w:b w:val="0"/>
          <w:color w:val="auto"/>
          <w:sz w:val="22"/>
          <w:szCs w:val="22"/>
        </w:rPr>
      </w:pPr>
      <w:r w:rsidRPr="00C95D7E">
        <w:rPr>
          <w:b w:val="0"/>
          <w:color w:val="auto"/>
          <w:sz w:val="22"/>
          <w:szCs w:val="22"/>
        </w:rPr>
        <w:t>glede javne objave kvan</w:t>
      </w:r>
      <w:r w:rsidR="00157879" w:rsidRPr="00C95D7E">
        <w:rPr>
          <w:b w:val="0"/>
          <w:color w:val="auto"/>
          <w:sz w:val="22"/>
          <w:szCs w:val="22"/>
        </w:rPr>
        <w:t>t</w:t>
      </w:r>
      <w:r w:rsidRPr="00C95D7E">
        <w:rPr>
          <w:b w:val="0"/>
          <w:color w:val="auto"/>
          <w:sz w:val="22"/>
          <w:szCs w:val="22"/>
        </w:rPr>
        <w:t xml:space="preserve">itativnih informacij </w:t>
      </w:r>
      <w:r w:rsidR="005F5C15" w:rsidRPr="00C95D7E">
        <w:rPr>
          <w:b w:val="0"/>
          <w:color w:val="auto"/>
          <w:sz w:val="22"/>
          <w:szCs w:val="22"/>
        </w:rPr>
        <w:t xml:space="preserve">v zvezi s </w:t>
      </w:r>
      <w:r w:rsidR="00157879" w:rsidRPr="00C95D7E">
        <w:rPr>
          <w:b w:val="0"/>
          <w:color w:val="auto"/>
          <w:sz w:val="22"/>
          <w:szCs w:val="22"/>
        </w:rPr>
        <w:t>prejemki na ravni članov upravljalnega organa banke</w:t>
      </w:r>
      <w:r w:rsidRPr="00C95D7E">
        <w:rPr>
          <w:b w:val="0"/>
          <w:color w:val="auto"/>
          <w:sz w:val="22"/>
          <w:szCs w:val="22"/>
        </w:rPr>
        <w:t xml:space="preserve"> (</w:t>
      </w:r>
      <w:r w:rsidR="003B486A" w:rsidRPr="00C95D7E">
        <w:rPr>
          <w:b w:val="0"/>
          <w:color w:val="auto"/>
          <w:sz w:val="22"/>
          <w:szCs w:val="22"/>
        </w:rPr>
        <w:t>drugi</w:t>
      </w:r>
      <w:r w:rsidR="001C38B7">
        <w:rPr>
          <w:b w:val="0"/>
          <w:color w:val="auto"/>
          <w:sz w:val="22"/>
          <w:szCs w:val="22"/>
        </w:rPr>
        <w:t xml:space="preserve"> </w:t>
      </w:r>
      <w:r w:rsidRPr="00C95D7E">
        <w:rPr>
          <w:b w:val="0"/>
          <w:color w:val="auto"/>
          <w:sz w:val="22"/>
          <w:szCs w:val="22"/>
        </w:rPr>
        <w:t xml:space="preserve">odstavek </w:t>
      </w:r>
      <w:r w:rsidR="005C0509">
        <w:rPr>
          <w:b w:val="0"/>
          <w:color w:val="auto"/>
          <w:sz w:val="22"/>
          <w:szCs w:val="22"/>
        </w:rPr>
        <w:t xml:space="preserve">450. </w:t>
      </w:r>
      <w:r w:rsidRPr="00C95D7E">
        <w:rPr>
          <w:b w:val="0"/>
          <w:color w:val="auto"/>
          <w:sz w:val="22"/>
          <w:szCs w:val="22"/>
        </w:rPr>
        <w:t>člena</w:t>
      </w:r>
      <w:r w:rsidR="003B486A" w:rsidRPr="00C95D7E">
        <w:rPr>
          <w:b w:val="0"/>
          <w:color w:val="auto"/>
          <w:sz w:val="22"/>
          <w:szCs w:val="22"/>
        </w:rPr>
        <w:t xml:space="preserve"> </w:t>
      </w:r>
      <w:r w:rsidRPr="00C95D7E">
        <w:rPr>
          <w:b w:val="0"/>
          <w:color w:val="auto"/>
          <w:sz w:val="22"/>
          <w:szCs w:val="22"/>
        </w:rPr>
        <w:t>Uredbe (EU) št. 575/2013),</w:t>
      </w:r>
      <w:r w:rsidR="007470B8" w:rsidRPr="00C95D7E">
        <w:rPr>
          <w:b w:val="0"/>
          <w:color w:val="auto"/>
          <w:sz w:val="22"/>
          <w:szCs w:val="22"/>
        </w:rPr>
        <w:t xml:space="preserve">  </w:t>
      </w:r>
    </w:p>
    <w:p w:rsidR="00966832" w:rsidRPr="00C95D7E" w:rsidRDefault="002974C9" w:rsidP="00B124D6">
      <w:pPr>
        <w:pStyle w:val="esegmenth4"/>
        <w:numPr>
          <w:ilvl w:val="0"/>
          <w:numId w:val="13"/>
        </w:numPr>
        <w:tabs>
          <w:tab w:val="left" w:pos="851"/>
        </w:tabs>
        <w:spacing w:after="0"/>
        <w:ind w:left="426" w:firstLine="0"/>
        <w:jc w:val="both"/>
        <w:rPr>
          <w:b w:val="0"/>
          <w:color w:val="auto"/>
          <w:sz w:val="22"/>
          <w:szCs w:val="22"/>
        </w:rPr>
      </w:pPr>
      <w:r w:rsidRPr="00C95D7E">
        <w:rPr>
          <w:b w:val="0"/>
          <w:color w:val="auto"/>
          <w:sz w:val="22"/>
          <w:szCs w:val="22"/>
        </w:rPr>
        <w:t xml:space="preserve">glede razkritij na posamični ali subkonsolidirani podlagi za pomembne podrejene </w:t>
      </w:r>
      <w:r w:rsidR="00FA5B47" w:rsidRPr="00C95D7E">
        <w:rPr>
          <w:b w:val="0"/>
          <w:color w:val="auto"/>
          <w:sz w:val="22"/>
          <w:szCs w:val="22"/>
        </w:rPr>
        <w:t>banke</w:t>
      </w:r>
      <w:r w:rsidRPr="00C95D7E">
        <w:rPr>
          <w:b w:val="0"/>
          <w:color w:val="auto"/>
          <w:sz w:val="22"/>
          <w:szCs w:val="22"/>
        </w:rPr>
        <w:t xml:space="preserve"> (</w:t>
      </w:r>
      <w:r w:rsidR="00873284" w:rsidRPr="00C95D7E">
        <w:rPr>
          <w:b w:val="0"/>
          <w:color w:val="auto"/>
          <w:sz w:val="22"/>
          <w:szCs w:val="22"/>
        </w:rPr>
        <w:t xml:space="preserve">drugi pododstavek </w:t>
      </w:r>
      <w:r w:rsidR="0055169B" w:rsidRPr="00C95D7E">
        <w:rPr>
          <w:b w:val="0"/>
          <w:color w:val="auto"/>
          <w:sz w:val="22"/>
          <w:szCs w:val="22"/>
        </w:rPr>
        <w:t>prv</w:t>
      </w:r>
      <w:r w:rsidR="00873284" w:rsidRPr="00C95D7E">
        <w:rPr>
          <w:b w:val="0"/>
          <w:color w:val="auto"/>
          <w:sz w:val="22"/>
          <w:szCs w:val="22"/>
        </w:rPr>
        <w:t>ega</w:t>
      </w:r>
      <w:r w:rsidR="0055169B" w:rsidRPr="00C95D7E">
        <w:rPr>
          <w:b w:val="0"/>
          <w:color w:val="auto"/>
          <w:sz w:val="22"/>
          <w:szCs w:val="22"/>
        </w:rPr>
        <w:t xml:space="preserve"> in drug</w:t>
      </w:r>
      <w:r w:rsidR="00873284" w:rsidRPr="00C95D7E">
        <w:rPr>
          <w:b w:val="0"/>
          <w:color w:val="auto"/>
          <w:sz w:val="22"/>
          <w:szCs w:val="22"/>
        </w:rPr>
        <w:t>ega</w:t>
      </w:r>
      <w:r w:rsidR="0055169B" w:rsidRPr="00C95D7E">
        <w:rPr>
          <w:b w:val="0"/>
          <w:color w:val="auto"/>
          <w:sz w:val="22"/>
          <w:szCs w:val="22"/>
        </w:rPr>
        <w:t xml:space="preserve"> odstavk</w:t>
      </w:r>
      <w:r w:rsidR="00873284" w:rsidRPr="00C95D7E">
        <w:rPr>
          <w:b w:val="0"/>
          <w:color w:val="auto"/>
          <w:sz w:val="22"/>
          <w:szCs w:val="22"/>
        </w:rPr>
        <w:t>a</w:t>
      </w:r>
      <w:r w:rsidR="00373B4B">
        <w:rPr>
          <w:b w:val="0"/>
          <w:color w:val="auto"/>
          <w:sz w:val="22"/>
          <w:szCs w:val="22"/>
        </w:rPr>
        <w:t xml:space="preserve"> 13.</w:t>
      </w:r>
      <w:r w:rsidR="0055169B" w:rsidRPr="00C95D7E">
        <w:rPr>
          <w:b w:val="0"/>
          <w:color w:val="auto"/>
          <w:sz w:val="22"/>
          <w:szCs w:val="22"/>
        </w:rPr>
        <w:t xml:space="preserve"> </w:t>
      </w:r>
      <w:r w:rsidR="0037037B" w:rsidRPr="00C95D7E">
        <w:rPr>
          <w:b w:val="0"/>
          <w:color w:val="auto"/>
          <w:sz w:val="22"/>
          <w:szCs w:val="22"/>
        </w:rPr>
        <w:t>člen</w:t>
      </w:r>
      <w:r w:rsidR="0055169B" w:rsidRPr="00C95D7E">
        <w:rPr>
          <w:b w:val="0"/>
          <w:color w:val="auto"/>
          <w:sz w:val="22"/>
          <w:szCs w:val="22"/>
        </w:rPr>
        <w:t>a</w:t>
      </w:r>
      <w:r w:rsidR="0037037B" w:rsidRPr="00C95D7E">
        <w:rPr>
          <w:b w:val="0"/>
          <w:color w:val="auto"/>
          <w:sz w:val="22"/>
          <w:szCs w:val="22"/>
        </w:rPr>
        <w:t xml:space="preserve"> </w:t>
      </w:r>
      <w:r w:rsidR="007470B8" w:rsidRPr="00C95D7E">
        <w:rPr>
          <w:b w:val="0"/>
          <w:color w:val="auto"/>
          <w:sz w:val="22"/>
          <w:szCs w:val="22"/>
        </w:rPr>
        <w:t>Uredb</w:t>
      </w:r>
      <w:r w:rsidR="0037037B" w:rsidRPr="00C95D7E">
        <w:rPr>
          <w:b w:val="0"/>
          <w:color w:val="auto"/>
          <w:sz w:val="22"/>
          <w:szCs w:val="22"/>
        </w:rPr>
        <w:t>e</w:t>
      </w:r>
      <w:r w:rsidR="007470B8" w:rsidRPr="00C95D7E">
        <w:rPr>
          <w:b w:val="0"/>
          <w:color w:val="auto"/>
          <w:sz w:val="22"/>
          <w:szCs w:val="22"/>
        </w:rPr>
        <w:t xml:space="preserve"> (EU) št. 575/2013</w:t>
      </w:r>
      <w:r w:rsidRPr="00C95D7E">
        <w:rPr>
          <w:b w:val="0"/>
          <w:color w:val="auto"/>
          <w:sz w:val="22"/>
          <w:szCs w:val="22"/>
        </w:rPr>
        <w:t>)</w:t>
      </w:r>
      <w:r w:rsidR="00966832" w:rsidRPr="00C95D7E">
        <w:rPr>
          <w:b w:val="0"/>
          <w:color w:val="auto"/>
          <w:sz w:val="22"/>
          <w:szCs w:val="22"/>
        </w:rPr>
        <w:t>.</w:t>
      </w:r>
      <w:r w:rsidR="007470B8" w:rsidRPr="00C95D7E">
        <w:rPr>
          <w:b w:val="0"/>
          <w:color w:val="auto"/>
          <w:sz w:val="22"/>
          <w:szCs w:val="22"/>
        </w:rPr>
        <w:t xml:space="preserve"> </w:t>
      </w:r>
    </w:p>
    <w:p w:rsidR="00D8731B" w:rsidRPr="00C95D7E" w:rsidRDefault="00D8731B" w:rsidP="00D8731B">
      <w:pPr>
        <w:pStyle w:val="esegmenth4"/>
        <w:spacing w:after="0"/>
        <w:jc w:val="both"/>
        <w:rPr>
          <w:b w:val="0"/>
          <w:color w:val="auto"/>
          <w:sz w:val="22"/>
          <w:szCs w:val="22"/>
        </w:rPr>
      </w:pPr>
    </w:p>
    <w:p w:rsidR="007470B8" w:rsidRPr="00C95D7E" w:rsidRDefault="00D8731B" w:rsidP="00B124D6">
      <w:pPr>
        <w:pStyle w:val="esegmenth4"/>
        <w:numPr>
          <w:ilvl w:val="0"/>
          <w:numId w:val="16"/>
        </w:numPr>
        <w:tabs>
          <w:tab w:val="left" w:pos="426"/>
        </w:tabs>
        <w:spacing w:after="0"/>
        <w:ind w:left="0" w:firstLine="0"/>
        <w:jc w:val="both"/>
        <w:rPr>
          <w:b w:val="0"/>
          <w:color w:val="auto"/>
          <w:sz w:val="22"/>
          <w:szCs w:val="22"/>
        </w:rPr>
      </w:pPr>
      <w:r w:rsidRPr="00C95D7E">
        <w:rPr>
          <w:b w:val="0"/>
          <w:color w:val="auto"/>
          <w:sz w:val="22"/>
          <w:szCs w:val="22"/>
        </w:rPr>
        <w:t>Kadar se ta sklep sklicuje na določbe drugih predpisov, se te določbe uporabljajo v njihovem vsakokrat veljavnem besedilu.</w:t>
      </w:r>
      <w:r w:rsidR="007470B8" w:rsidRPr="00C95D7E">
        <w:rPr>
          <w:b w:val="0"/>
          <w:color w:val="auto"/>
          <w:sz w:val="22"/>
          <w:szCs w:val="22"/>
        </w:rPr>
        <w:t xml:space="preserve"> </w:t>
      </w:r>
    </w:p>
    <w:p w:rsidR="00B979DE" w:rsidRPr="00C95D7E" w:rsidRDefault="00B979DE" w:rsidP="00B979DE">
      <w:pPr>
        <w:pStyle w:val="esegmenth4"/>
        <w:spacing w:after="0"/>
        <w:rPr>
          <w:color w:val="auto"/>
          <w:sz w:val="22"/>
          <w:szCs w:val="22"/>
        </w:rPr>
      </w:pPr>
    </w:p>
    <w:p w:rsidR="00CE5FCE" w:rsidRPr="00C95D7E" w:rsidRDefault="00CE5FCE" w:rsidP="00B979DE">
      <w:pPr>
        <w:pStyle w:val="esegmenth4"/>
        <w:spacing w:after="0"/>
        <w:rPr>
          <w:color w:val="auto"/>
          <w:sz w:val="22"/>
          <w:szCs w:val="22"/>
        </w:rPr>
      </w:pPr>
      <w:r w:rsidRPr="00C95D7E">
        <w:rPr>
          <w:color w:val="auto"/>
          <w:sz w:val="22"/>
          <w:szCs w:val="22"/>
        </w:rPr>
        <w:t>2. člen</w:t>
      </w:r>
    </w:p>
    <w:p w:rsidR="00CE5FCE" w:rsidRPr="00C95D7E" w:rsidRDefault="00CE5FCE" w:rsidP="00B979DE">
      <w:pPr>
        <w:pStyle w:val="esegmenth4"/>
        <w:spacing w:after="0"/>
        <w:rPr>
          <w:color w:val="auto"/>
          <w:sz w:val="22"/>
          <w:szCs w:val="22"/>
        </w:rPr>
      </w:pPr>
      <w:r w:rsidRPr="00C95D7E">
        <w:rPr>
          <w:color w:val="auto"/>
          <w:sz w:val="22"/>
          <w:szCs w:val="22"/>
        </w:rPr>
        <w:t>(opredelitev pojmov)</w:t>
      </w:r>
    </w:p>
    <w:p w:rsidR="00B979DE" w:rsidRPr="00C95D7E" w:rsidRDefault="00B979DE" w:rsidP="00B979DE">
      <w:pPr>
        <w:pStyle w:val="esegmenth4"/>
        <w:spacing w:after="0"/>
        <w:rPr>
          <w:color w:val="auto"/>
          <w:sz w:val="22"/>
          <w:szCs w:val="22"/>
        </w:rPr>
      </w:pPr>
    </w:p>
    <w:p w:rsidR="00CE5FCE" w:rsidRDefault="00CE5FCE" w:rsidP="00E24A59">
      <w:pPr>
        <w:pStyle w:val="esegmenth4"/>
        <w:tabs>
          <w:tab w:val="left" w:pos="426"/>
        </w:tabs>
        <w:spacing w:after="0"/>
        <w:ind w:firstLine="426"/>
        <w:jc w:val="both"/>
        <w:rPr>
          <w:b w:val="0"/>
          <w:color w:val="auto"/>
          <w:sz w:val="22"/>
          <w:szCs w:val="22"/>
        </w:rPr>
      </w:pPr>
      <w:r w:rsidRPr="00C95D7E">
        <w:rPr>
          <w:b w:val="0"/>
          <w:color w:val="auto"/>
          <w:sz w:val="22"/>
          <w:szCs w:val="22"/>
        </w:rPr>
        <w:t xml:space="preserve">Pojmi, uporabljeni v tem sklepu, imajo enak pomen kot v določbah ZBan-2 </w:t>
      </w:r>
      <w:r w:rsidR="00646B02" w:rsidRPr="00C95D7E">
        <w:rPr>
          <w:b w:val="0"/>
          <w:color w:val="auto"/>
          <w:sz w:val="22"/>
          <w:szCs w:val="22"/>
        </w:rPr>
        <w:t>in Uredbe (EU) št.</w:t>
      </w:r>
      <w:r w:rsidR="00F27B82" w:rsidRPr="00C95D7E">
        <w:rPr>
          <w:b w:val="0"/>
          <w:color w:val="auto"/>
          <w:sz w:val="22"/>
          <w:szCs w:val="22"/>
        </w:rPr>
        <w:t> </w:t>
      </w:r>
      <w:r w:rsidR="003B486A" w:rsidRPr="00C95D7E">
        <w:rPr>
          <w:b w:val="0"/>
          <w:color w:val="auto"/>
          <w:sz w:val="22"/>
          <w:szCs w:val="22"/>
        </w:rPr>
        <w:t>575/2013</w:t>
      </w:r>
      <w:r w:rsidR="00646B02" w:rsidRPr="00C95D7E">
        <w:rPr>
          <w:b w:val="0"/>
          <w:color w:val="auto"/>
          <w:sz w:val="22"/>
          <w:szCs w:val="22"/>
        </w:rPr>
        <w:t xml:space="preserve"> </w:t>
      </w:r>
      <w:r w:rsidR="002974C9" w:rsidRPr="00C95D7E">
        <w:rPr>
          <w:b w:val="0"/>
          <w:color w:val="auto"/>
          <w:sz w:val="22"/>
          <w:szCs w:val="22"/>
        </w:rPr>
        <w:t xml:space="preserve">ter </w:t>
      </w:r>
      <w:r w:rsidRPr="00C95D7E">
        <w:rPr>
          <w:b w:val="0"/>
          <w:color w:val="auto"/>
          <w:sz w:val="22"/>
          <w:szCs w:val="22"/>
        </w:rPr>
        <w:t>v predpisih, izdanih na nj</w:t>
      </w:r>
      <w:r w:rsidR="00646B02" w:rsidRPr="00C95D7E">
        <w:rPr>
          <w:b w:val="0"/>
          <w:color w:val="auto"/>
          <w:sz w:val="22"/>
          <w:szCs w:val="22"/>
        </w:rPr>
        <w:t>uni</w:t>
      </w:r>
      <w:r w:rsidRPr="00C95D7E">
        <w:rPr>
          <w:b w:val="0"/>
          <w:color w:val="auto"/>
          <w:sz w:val="22"/>
          <w:szCs w:val="22"/>
        </w:rPr>
        <w:t xml:space="preserve"> podlagi</w:t>
      </w:r>
      <w:r w:rsidR="00D50C9A" w:rsidRPr="00C95D7E">
        <w:rPr>
          <w:b w:val="0"/>
          <w:color w:val="auto"/>
          <w:sz w:val="22"/>
          <w:szCs w:val="22"/>
        </w:rPr>
        <w:t xml:space="preserve">. </w:t>
      </w:r>
    </w:p>
    <w:p w:rsidR="00B979DE" w:rsidRPr="00C95D7E" w:rsidRDefault="00B979DE" w:rsidP="00B979DE">
      <w:pPr>
        <w:pStyle w:val="esegmenth4"/>
        <w:spacing w:after="0"/>
        <w:jc w:val="both"/>
        <w:rPr>
          <w:b w:val="0"/>
          <w:color w:val="auto"/>
          <w:sz w:val="22"/>
          <w:szCs w:val="22"/>
        </w:rPr>
      </w:pPr>
    </w:p>
    <w:p w:rsidR="00C13B0E" w:rsidRPr="00C95D7E" w:rsidRDefault="00C13B0E" w:rsidP="00C13B0E">
      <w:pPr>
        <w:pStyle w:val="esegmenth4"/>
        <w:spacing w:after="0"/>
        <w:rPr>
          <w:color w:val="auto"/>
          <w:sz w:val="22"/>
          <w:szCs w:val="22"/>
        </w:rPr>
      </w:pPr>
      <w:r w:rsidRPr="00C95D7E">
        <w:rPr>
          <w:color w:val="auto"/>
          <w:sz w:val="22"/>
          <w:szCs w:val="22"/>
        </w:rPr>
        <w:t>3. člen</w:t>
      </w:r>
    </w:p>
    <w:p w:rsidR="00C13B0E" w:rsidRPr="00C95D7E" w:rsidRDefault="00C13B0E" w:rsidP="00C13B0E">
      <w:pPr>
        <w:pStyle w:val="esegmenth4"/>
        <w:spacing w:after="0"/>
        <w:rPr>
          <w:color w:val="auto"/>
          <w:sz w:val="22"/>
          <w:szCs w:val="22"/>
        </w:rPr>
      </w:pPr>
      <w:r w:rsidRPr="00C95D7E">
        <w:rPr>
          <w:color w:val="auto"/>
          <w:sz w:val="22"/>
          <w:szCs w:val="22"/>
        </w:rPr>
        <w:t>(merila za določitev pomembne banke)</w:t>
      </w:r>
    </w:p>
    <w:p w:rsidR="00C13B0E" w:rsidRPr="00C95D7E" w:rsidRDefault="00C13B0E" w:rsidP="00C13B0E">
      <w:pPr>
        <w:pStyle w:val="esegmenth4"/>
        <w:spacing w:after="0"/>
        <w:rPr>
          <w:color w:val="auto"/>
          <w:sz w:val="22"/>
          <w:szCs w:val="22"/>
        </w:rPr>
      </w:pPr>
    </w:p>
    <w:p w:rsidR="003B486A" w:rsidRPr="00281F4D" w:rsidRDefault="00B124D6" w:rsidP="00281F4D">
      <w:pPr>
        <w:pStyle w:val="esegmenth4"/>
        <w:numPr>
          <w:ilvl w:val="0"/>
          <w:numId w:val="19"/>
        </w:numPr>
        <w:tabs>
          <w:tab w:val="left" w:pos="426"/>
        </w:tabs>
        <w:spacing w:after="0"/>
        <w:ind w:left="0" w:firstLine="0"/>
        <w:jc w:val="both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Za namen določitve pomembne banke po </w:t>
      </w:r>
      <w:r w:rsidR="00364EA2">
        <w:rPr>
          <w:b w:val="0"/>
          <w:color w:val="auto"/>
          <w:sz w:val="22"/>
          <w:szCs w:val="22"/>
        </w:rPr>
        <w:t>22. točki prvega odstavka 7. člena ZBan-2</w:t>
      </w:r>
      <w:r>
        <w:rPr>
          <w:b w:val="0"/>
          <w:color w:val="auto"/>
          <w:sz w:val="22"/>
          <w:szCs w:val="22"/>
        </w:rPr>
        <w:t xml:space="preserve"> </w:t>
      </w:r>
      <w:r w:rsidR="00F54BC4">
        <w:rPr>
          <w:b w:val="0"/>
          <w:color w:val="auto"/>
          <w:sz w:val="22"/>
          <w:szCs w:val="22"/>
        </w:rPr>
        <w:t xml:space="preserve">se upoštevajo merila, </w:t>
      </w:r>
      <w:r w:rsidR="007A10B4">
        <w:rPr>
          <w:b w:val="0"/>
          <w:color w:val="auto"/>
          <w:sz w:val="22"/>
          <w:szCs w:val="22"/>
        </w:rPr>
        <w:t xml:space="preserve">kot so opredeljena s </w:t>
      </w:r>
      <w:r w:rsidR="00281F4D">
        <w:rPr>
          <w:b w:val="0"/>
          <w:color w:val="auto"/>
          <w:sz w:val="22"/>
          <w:szCs w:val="22"/>
        </w:rPr>
        <w:t>Sklep</w:t>
      </w:r>
      <w:r w:rsidR="007A10B4">
        <w:rPr>
          <w:b w:val="0"/>
          <w:color w:val="auto"/>
          <w:sz w:val="22"/>
          <w:szCs w:val="22"/>
        </w:rPr>
        <w:t>om</w:t>
      </w:r>
      <w:r w:rsidR="00281F4D">
        <w:rPr>
          <w:b w:val="0"/>
          <w:color w:val="auto"/>
          <w:sz w:val="22"/>
          <w:szCs w:val="22"/>
        </w:rPr>
        <w:t xml:space="preserve"> o uporabi Smernic o merilih za določitev pogojev uporabe člena 131(3) Direktive 2013/36/EU </w:t>
      </w:r>
      <w:r w:rsidR="00364EA2">
        <w:rPr>
          <w:b w:val="0"/>
          <w:color w:val="auto"/>
          <w:sz w:val="22"/>
          <w:szCs w:val="22"/>
        </w:rPr>
        <w:t>(</w:t>
      </w:r>
      <w:r w:rsidR="00281F4D">
        <w:rPr>
          <w:b w:val="0"/>
          <w:color w:val="auto"/>
          <w:sz w:val="22"/>
          <w:szCs w:val="22"/>
        </w:rPr>
        <w:t>CRD</w:t>
      </w:r>
      <w:r w:rsidR="00364EA2">
        <w:rPr>
          <w:b w:val="0"/>
          <w:color w:val="auto"/>
          <w:sz w:val="22"/>
          <w:szCs w:val="22"/>
        </w:rPr>
        <w:t>)</w:t>
      </w:r>
      <w:r w:rsidR="00281F4D">
        <w:rPr>
          <w:b w:val="0"/>
          <w:color w:val="auto"/>
          <w:sz w:val="22"/>
          <w:szCs w:val="22"/>
        </w:rPr>
        <w:t xml:space="preserve"> v zvezi z oceno drugih sistemsko pomembnih institucij (DSPI)</w:t>
      </w:r>
      <w:r w:rsidR="00A13AA0">
        <w:rPr>
          <w:b w:val="0"/>
          <w:color w:val="auto"/>
          <w:sz w:val="22"/>
          <w:szCs w:val="22"/>
        </w:rPr>
        <w:t xml:space="preserve"> </w:t>
      </w:r>
      <w:r w:rsidR="00281F4D">
        <w:rPr>
          <w:b w:val="0"/>
          <w:color w:val="auto"/>
          <w:sz w:val="22"/>
          <w:szCs w:val="22"/>
        </w:rPr>
        <w:t>(Uradni list RS</w:t>
      </w:r>
      <w:r w:rsidR="007A10B4">
        <w:rPr>
          <w:b w:val="0"/>
          <w:color w:val="auto"/>
          <w:sz w:val="22"/>
          <w:szCs w:val="22"/>
        </w:rPr>
        <w:t>,</w:t>
      </w:r>
      <w:r w:rsidR="00281F4D">
        <w:rPr>
          <w:b w:val="0"/>
          <w:color w:val="auto"/>
          <w:sz w:val="22"/>
          <w:szCs w:val="22"/>
        </w:rPr>
        <w:t xml:space="preserve"> št. 66/15 in 68/17). </w:t>
      </w:r>
    </w:p>
    <w:p w:rsidR="009602E4" w:rsidRPr="00C95D7E" w:rsidRDefault="009602E4" w:rsidP="009602E4">
      <w:pPr>
        <w:pStyle w:val="esegmenth4"/>
        <w:spacing w:after="0"/>
        <w:ind w:left="360"/>
        <w:jc w:val="both"/>
        <w:rPr>
          <w:b w:val="0"/>
          <w:color w:val="auto"/>
          <w:sz w:val="22"/>
          <w:szCs w:val="22"/>
        </w:rPr>
      </w:pPr>
    </w:p>
    <w:p w:rsidR="00281F4D" w:rsidRPr="00281F4D" w:rsidRDefault="000E45DC" w:rsidP="00281F4D">
      <w:pPr>
        <w:pStyle w:val="esegmenth4"/>
        <w:numPr>
          <w:ilvl w:val="0"/>
          <w:numId w:val="19"/>
        </w:numPr>
        <w:tabs>
          <w:tab w:val="left" w:pos="426"/>
        </w:tabs>
        <w:spacing w:after="0"/>
        <w:ind w:left="0" w:firstLine="0"/>
        <w:jc w:val="both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O</w:t>
      </w:r>
      <w:r w:rsidR="00281F4D">
        <w:rPr>
          <w:b w:val="0"/>
          <w:color w:val="auto"/>
          <w:sz w:val="22"/>
          <w:szCs w:val="22"/>
        </w:rPr>
        <w:t>b upoštevanju prvega o</w:t>
      </w:r>
      <w:r w:rsidR="00B01CBF">
        <w:rPr>
          <w:b w:val="0"/>
          <w:color w:val="auto"/>
          <w:sz w:val="22"/>
          <w:szCs w:val="22"/>
        </w:rPr>
        <w:t>d</w:t>
      </w:r>
      <w:r w:rsidR="00281F4D">
        <w:rPr>
          <w:b w:val="0"/>
          <w:color w:val="auto"/>
          <w:sz w:val="22"/>
          <w:szCs w:val="22"/>
        </w:rPr>
        <w:t xml:space="preserve">stavka tega člena </w:t>
      </w:r>
      <w:r>
        <w:rPr>
          <w:b w:val="0"/>
          <w:color w:val="auto"/>
          <w:sz w:val="22"/>
          <w:szCs w:val="22"/>
        </w:rPr>
        <w:t xml:space="preserve">Banka Slovenije banko, ki je na podlagi 219. člena ZBan-2 </w:t>
      </w:r>
      <w:r w:rsidR="00281F4D">
        <w:rPr>
          <w:b w:val="0"/>
          <w:color w:val="auto"/>
          <w:sz w:val="22"/>
          <w:szCs w:val="22"/>
        </w:rPr>
        <w:t>opredeljena kot drug</w:t>
      </w:r>
      <w:r>
        <w:rPr>
          <w:b w:val="0"/>
          <w:color w:val="auto"/>
          <w:sz w:val="22"/>
          <w:szCs w:val="22"/>
        </w:rPr>
        <w:t>a</w:t>
      </w:r>
      <w:r w:rsidR="00281F4D">
        <w:rPr>
          <w:b w:val="0"/>
          <w:color w:val="auto"/>
          <w:sz w:val="22"/>
          <w:szCs w:val="22"/>
        </w:rPr>
        <w:t xml:space="preserve"> sistemsko pomembna banka, </w:t>
      </w:r>
      <w:r w:rsidR="00B47939">
        <w:rPr>
          <w:b w:val="0"/>
          <w:color w:val="auto"/>
          <w:sz w:val="22"/>
          <w:szCs w:val="22"/>
        </w:rPr>
        <w:t>določi kot</w:t>
      </w:r>
      <w:r w:rsidR="00281F4D">
        <w:rPr>
          <w:b w:val="0"/>
          <w:color w:val="auto"/>
          <w:sz w:val="22"/>
          <w:szCs w:val="22"/>
        </w:rPr>
        <w:t xml:space="preserve"> pomembno banko po 22. točki prvega odstavka 7. člena ZBan-2. </w:t>
      </w:r>
    </w:p>
    <w:p w:rsidR="00281F4D" w:rsidRDefault="00281F4D" w:rsidP="00281F4D">
      <w:pPr>
        <w:pStyle w:val="Odstavekseznama"/>
        <w:rPr>
          <w:b/>
          <w:highlight w:val="yellow"/>
        </w:rPr>
      </w:pPr>
    </w:p>
    <w:p w:rsidR="00711A28" w:rsidRPr="00D73F6A" w:rsidRDefault="000E45DC" w:rsidP="00D73F6A">
      <w:pPr>
        <w:pStyle w:val="esegmenth4"/>
        <w:numPr>
          <w:ilvl w:val="0"/>
          <w:numId w:val="19"/>
        </w:numPr>
        <w:tabs>
          <w:tab w:val="left" w:pos="426"/>
        </w:tabs>
        <w:spacing w:after="0"/>
        <w:ind w:left="0" w:firstLine="0"/>
        <w:jc w:val="both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Ne glede na prvi in drugi odstavek tega člena, lahko</w:t>
      </w:r>
      <w:r w:rsidR="009602E4" w:rsidRPr="00D73F6A">
        <w:rPr>
          <w:b w:val="0"/>
          <w:color w:val="auto"/>
          <w:sz w:val="22"/>
          <w:szCs w:val="22"/>
        </w:rPr>
        <w:t xml:space="preserve"> Banka Slovenije </w:t>
      </w:r>
      <w:r>
        <w:rPr>
          <w:b w:val="0"/>
          <w:color w:val="auto"/>
          <w:sz w:val="22"/>
          <w:szCs w:val="22"/>
        </w:rPr>
        <w:t xml:space="preserve">banko, ki ne izpolnjuje meril za pomembno banko, </w:t>
      </w:r>
      <w:r w:rsidR="00395B08">
        <w:rPr>
          <w:b w:val="0"/>
          <w:color w:val="auto"/>
          <w:sz w:val="22"/>
          <w:szCs w:val="22"/>
        </w:rPr>
        <w:t>določi</w:t>
      </w:r>
      <w:r w:rsidR="00395B08" w:rsidRPr="00D73F6A">
        <w:rPr>
          <w:b w:val="0"/>
          <w:color w:val="auto"/>
          <w:sz w:val="22"/>
          <w:szCs w:val="22"/>
        </w:rPr>
        <w:t xml:space="preserve"> </w:t>
      </w:r>
      <w:r w:rsidR="009602E4" w:rsidRPr="00D73F6A">
        <w:rPr>
          <w:b w:val="0"/>
          <w:color w:val="auto"/>
          <w:sz w:val="22"/>
          <w:szCs w:val="22"/>
        </w:rPr>
        <w:t>kot</w:t>
      </w:r>
      <w:r w:rsidR="00E46C45" w:rsidRPr="00D73F6A">
        <w:rPr>
          <w:b w:val="0"/>
          <w:color w:val="auto"/>
          <w:sz w:val="22"/>
          <w:szCs w:val="22"/>
        </w:rPr>
        <w:t xml:space="preserve"> pomembno</w:t>
      </w:r>
      <w:r w:rsidR="007B5473">
        <w:rPr>
          <w:b w:val="0"/>
          <w:color w:val="auto"/>
          <w:sz w:val="22"/>
          <w:szCs w:val="22"/>
        </w:rPr>
        <w:t xml:space="preserve"> banko</w:t>
      </w:r>
      <w:r w:rsidR="00E46C45" w:rsidRPr="00D73F6A">
        <w:rPr>
          <w:b w:val="0"/>
          <w:color w:val="auto"/>
          <w:sz w:val="22"/>
          <w:szCs w:val="22"/>
        </w:rPr>
        <w:t xml:space="preserve">, kadar </w:t>
      </w:r>
      <w:r w:rsidR="00395B08">
        <w:rPr>
          <w:b w:val="0"/>
          <w:color w:val="auto"/>
          <w:sz w:val="22"/>
          <w:szCs w:val="22"/>
        </w:rPr>
        <w:t xml:space="preserve">bi </w:t>
      </w:r>
      <w:r w:rsidR="00E46C45" w:rsidRPr="00D73F6A">
        <w:rPr>
          <w:b w:val="0"/>
          <w:color w:val="auto"/>
          <w:sz w:val="22"/>
          <w:szCs w:val="22"/>
        </w:rPr>
        <w:t xml:space="preserve">banka zaradi svojih značilnosti </w:t>
      </w:r>
      <w:r w:rsidR="006C4878" w:rsidRPr="00D73F6A">
        <w:rPr>
          <w:b w:val="0"/>
          <w:color w:val="auto"/>
          <w:sz w:val="22"/>
          <w:szCs w:val="22"/>
        </w:rPr>
        <w:t xml:space="preserve">ob znatnem poslabšanju njenega poslovanja ali prenehanja oziroma opustitve dejavnosti </w:t>
      </w:r>
      <w:r w:rsidR="00395B08">
        <w:rPr>
          <w:b w:val="0"/>
          <w:color w:val="auto"/>
          <w:sz w:val="22"/>
          <w:szCs w:val="22"/>
        </w:rPr>
        <w:t xml:space="preserve">lahko </w:t>
      </w:r>
      <w:r w:rsidR="006C4878" w:rsidRPr="00D73F6A">
        <w:rPr>
          <w:b w:val="0"/>
          <w:color w:val="auto"/>
          <w:sz w:val="22"/>
          <w:szCs w:val="22"/>
        </w:rPr>
        <w:t>pomembno vpliva</w:t>
      </w:r>
      <w:r w:rsidR="00395B08">
        <w:rPr>
          <w:b w:val="0"/>
          <w:color w:val="auto"/>
          <w:sz w:val="22"/>
          <w:szCs w:val="22"/>
        </w:rPr>
        <w:t>la</w:t>
      </w:r>
      <w:r w:rsidR="006C4878" w:rsidRPr="00D73F6A">
        <w:rPr>
          <w:b w:val="0"/>
          <w:color w:val="auto"/>
          <w:sz w:val="22"/>
          <w:szCs w:val="22"/>
        </w:rPr>
        <w:t xml:space="preserve"> na finančni sistem Republike Slovenije</w:t>
      </w:r>
      <w:r w:rsidR="00E46C45" w:rsidRPr="00D73F6A">
        <w:rPr>
          <w:b w:val="0"/>
          <w:color w:val="auto"/>
          <w:sz w:val="22"/>
          <w:szCs w:val="22"/>
        </w:rPr>
        <w:t>.</w:t>
      </w:r>
    </w:p>
    <w:p w:rsidR="009A2F85" w:rsidRDefault="009A2F85" w:rsidP="006065CB">
      <w:pPr>
        <w:pStyle w:val="esegmenth4"/>
        <w:spacing w:after="0"/>
        <w:jc w:val="both"/>
        <w:rPr>
          <w:b w:val="0"/>
          <w:color w:val="auto"/>
          <w:sz w:val="22"/>
          <w:szCs w:val="22"/>
          <w:highlight w:val="yellow"/>
        </w:rPr>
      </w:pPr>
    </w:p>
    <w:p w:rsidR="00D21C59" w:rsidRPr="000521FA" w:rsidRDefault="00C13B0E" w:rsidP="00B979DE">
      <w:pPr>
        <w:pStyle w:val="esegmenth4"/>
        <w:spacing w:after="0"/>
        <w:rPr>
          <w:color w:val="auto"/>
          <w:sz w:val="22"/>
          <w:szCs w:val="22"/>
        </w:rPr>
      </w:pPr>
      <w:r w:rsidRPr="000521FA">
        <w:rPr>
          <w:color w:val="auto"/>
          <w:sz w:val="22"/>
          <w:szCs w:val="22"/>
        </w:rPr>
        <w:t>4</w:t>
      </w:r>
      <w:r w:rsidR="00D21C59" w:rsidRPr="000521FA">
        <w:rPr>
          <w:color w:val="auto"/>
          <w:sz w:val="22"/>
          <w:szCs w:val="22"/>
        </w:rPr>
        <w:t>. člen</w:t>
      </w:r>
    </w:p>
    <w:p w:rsidR="00D21C59" w:rsidRPr="000521FA" w:rsidRDefault="00D21C59" w:rsidP="00B979DE">
      <w:pPr>
        <w:pStyle w:val="esegmenth4"/>
        <w:spacing w:after="0"/>
        <w:rPr>
          <w:color w:val="auto"/>
          <w:sz w:val="22"/>
          <w:szCs w:val="22"/>
        </w:rPr>
      </w:pPr>
      <w:r w:rsidRPr="000521FA">
        <w:rPr>
          <w:color w:val="auto"/>
          <w:sz w:val="22"/>
          <w:szCs w:val="22"/>
        </w:rPr>
        <w:t>(</w:t>
      </w:r>
      <w:r w:rsidR="00C13B0E" w:rsidRPr="000521FA">
        <w:rPr>
          <w:color w:val="auto"/>
          <w:sz w:val="22"/>
          <w:szCs w:val="22"/>
        </w:rPr>
        <w:t xml:space="preserve">odločba o </w:t>
      </w:r>
      <w:r w:rsidR="0061367E" w:rsidRPr="000521FA">
        <w:rPr>
          <w:color w:val="auto"/>
          <w:sz w:val="22"/>
          <w:szCs w:val="22"/>
        </w:rPr>
        <w:t xml:space="preserve">določitvi </w:t>
      </w:r>
      <w:r w:rsidR="00E62E09" w:rsidRPr="000521FA">
        <w:rPr>
          <w:color w:val="auto"/>
          <w:sz w:val="22"/>
          <w:szCs w:val="22"/>
        </w:rPr>
        <w:t>pomembn</w:t>
      </w:r>
      <w:r w:rsidR="0061367E" w:rsidRPr="000521FA">
        <w:rPr>
          <w:color w:val="auto"/>
          <w:sz w:val="22"/>
          <w:szCs w:val="22"/>
        </w:rPr>
        <w:t>e</w:t>
      </w:r>
      <w:r w:rsidR="00E62E09" w:rsidRPr="000521FA">
        <w:rPr>
          <w:color w:val="auto"/>
          <w:sz w:val="22"/>
          <w:szCs w:val="22"/>
        </w:rPr>
        <w:t xml:space="preserve"> banke</w:t>
      </w:r>
      <w:r w:rsidRPr="000521FA">
        <w:rPr>
          <w:color w:val="auto"/>
          <w:sz w:val="22"/>
          <w:szCs w:val="22"/>
        </w:rPr>
        <w:t>)</w:t>
      </w:r>
    </w:p>
    <w:p w:rsidR="00B979DE" w:rsidRPr="00B124D6" w:rsidRDefault="00B979DE" w:rsidP="00B979DE">
      <w:pPr>
        <w:pStyle w:val="esegmenth4"/>
        <w:spacing w:after="0"/>
        <w:rPr>
          <w:color w:val="auto"/>
          <w:sz w:val="22"/>
          <w:szCs w:val="22"/>
          <w:highlight w:val="yellow"/>
        </w:rPr>
      </w:pPr>
    </w:p>
    <w:p w:rsidR="00C13B0E" w:rsidRPr="007E2A39" w:rsidRDefault="00DB5211" w:rsidP="007E2A39">
      <w:pPr>
        <w:pStyle w:val="Navadensplet"/>
        <w:numPr>
          <w:ilvl w:val="0"/>
          <w:numId w:val="18"/>
        </w:numPr>
        <w:tabs>
          <w:tab w:val="left" w:pos="426"/>
        </w:tabs>
        <w:spacing w:after="0"/>
        <w:ind w:left="0" w:firstLine="0"/>
        <w:jc w:val="both"/>
        <w:rPr>
          <w:color w:val="auto"/>
          <w:sz w:val="22"/>
          <w:szCs w:val="22"/>
        </w:rPr>
      </w:pPr>
      <w:r w:rsidRPr="007E2A39">
        <w:rPr>
          <w:color w:val="auto"/>
          <w:sz w:val="22"/>
          <w:szCs w:val="22"/>
        </w:rPr>
        <w:t>Banka Slovenije</w:t>
      </w:r>
      <w:r w:rsidR="00C13B0E" w:rsidRPr="007E2A39">
        <w:rPr>
          <w:color w:val="auto"/>
          <w:sz w:val="22"/>
          <w:szCs w:val="22"/>
        </w:rPr>
        <w:t xml:space="preserve"> </w:t>
      </w:r>
      <w:r w:rsidR="00263193" w:rsidRPr="007E2A39">
        <w:rPr>
          <w:color w:val="auto"/>
          <w:sz w:val="22"/>
          <w:szCs w:val="22"/>
        </w:rPr>
        <w:t>z</w:t>
      </w:r>
      <w:r w:rsidRPr="007E2A39">
        <w:rPr>
          <w:color w:val="auto"/>
          <w:sz w:val="22"/>
          <w:szCs w:val="22"/>
        </w:rPr>
        <w:t xml:space="preserve"> </w:t>
      </w:r>
      <w:r w:rsidR="00C13B0E" w:rsidRPr="007E2A39">
        <w:rPr>
          <w:color w:val="auto"/>
          <w:sz w:val="22"/>
          <w:szCs w:val="22"/>
        </w:rPr>
        <w:t>odločb</w:t>
      </w:r>
      <w:r w:rsidR="00263193" w:rsidRPr="007E2A39">
        <w:rPr>
          <w:color w:val="auto"/>
          <w:sz w:val="22"/>
          <w:szCs w:val="22"/>
        </w:rPr>
        <w:t>o</w:t>
      </w:r>
      <w:r w:rsidR="00C13B0E" w:rsidRPr="007E2A39">
        <w:rPr>
          <w:color w:val="auto"/>
          <w:sz w:val="22"/>
          <w:szCs w:val="22"/>
        </w:rPr>
        <w:t xml:space="preserve"> </w:t>
      </w:r>
      <w:r w:rsidR="00263193" w:rsidRPr="007E2A39">
        <w:rPr>
          <w:color w:val="auto"/>
          <w:sz w:val="22"/>
          <w:szCs w:val="22"/>
        </w:rPr>
        <w:t xml:space="preserve">ugotovi izpolnjevanje meril iz 3. člena tega sklepa in banko </w:t>
      </w:r>
      <w:r w:rsidR="00395B08">
        <w:rPr>
          <w:color w:val="auto"/>
          <w:sz w:val="22"/>
          <w:szCs w:val="22"/>
        </w:rPr>
        <w:t>določi</w:t>
      </w:r>
      <w:r w:rsidR="00395B08" w:rsidRPr="007E2A39">
        <w:rPr>
          <w:color w:val="auto"/>
          <w:sz w:val="22"/>
          <w:szCs w:val="22"/>
        </w:rPr>
        <w:t xml:space="preserve"> </w:t>
      </w:r>
      <w:r w:rsidR="00263193" w:rsidRPr="007E2A39">
        <w:rPr>
          <w:color w:val="auto"/>
          <w:sz w:val="22"/>
          <w:szCs w:val="22"/>
        </w:rPr>
        <w:t>kot pomembno</w:t>
      </w:r>
      <w:r w:rsidR="00C13B0E" w:rsidRPr="007E2A39">
        <w:rPr>
          <w:color w:val="auto"/>
          <w:sz w:val="22"/>
          <w:szCs w:val="22"/>
        </w:rPr>
        <w:t>.</w:t>
      </w:r>
    </w:p>
    <w:p w:rsidR="00263193" w:rsidRPr="00B124D6" w:rsidRDefault="00263193" w:rsidP="009407F6">
      <w:pPr>
        <w:pStyle w:val="Navadensplet"/>
        <w:spacing w:after="0"/>
        <w:jc w:val="both"/>
        <w:rPr>
          <w:color w:val="auto"/>
          <w:sz w:val="22"/>
          <w:szCs w:val="22"/>
          <w:highlight w:val="yellow"/>
        </w:rPr>
      </w:pPr>
    </w:p>
    <w:p w:rsidR="00263193" w:rsidRPr="000521FA" w:rsidRDefault="00263193" w:rsidP="000521FA">
      <w:pPr>
        <w:pStyle w:val="Navadensplet"/>
        <w:numPr>
          <w:ilvl w:val="0"/>
          <w:numId w:val="18"/>
        </w:numPr>
        <w:tabs>
          <w:tab w:val="left" w:pos="426"/>
        </w:tabs>
        <w:spacing w:after="0"/>
        <w:ind w:left="0" w:firstLine="0"/>
        <w:jc w:val="both"/>
        <w:rPr>
          <w:color w:val="auto"/>
          <w:sz w:val="22"/>
          <w:szCs w:val="22"/>
        </w:rPr>
      </w:pPr>
      <w:r w:rsidRPr="000521FA">
        <w:rPr>
          <w:color w:val="auto"/>
          <w:sz w:val="22"/>
          <w:szCs w:val="22"/>
        </w:rPr>
        <w:t xml:space="preserve">Banka, ki je z odločbo </w:t>
      </w:r>
      <w:r w:rsidR="00395B08">
        <w:rPr>
          <w:color w:val="auto"/>
          <w:sz w:val="22"/>
          <w:szCs w:val="22"/>
        </w:rPr>
        <w:t>določena</w:t>
      </w:r>
      <w:r w:rsidR="00395B08" w:rsidRPr="000521FA">
        <w:rPr>
          <w:color w:val="auto"/>
          <w:sz w:val="22"/>
          <w:szCs w:val="22"/>
        </w:rPr>
        <w:t xml:space="preserve"> </w:t>
      </w:r>
      <w:r w:rsidRPr="000521FA">
        <w:rPr>
          <w:color w:val="auto"/>
          <w:sz w:val="22"/>
          <w:szCs w:val="22"/>
        </w:rPr>
        <w:t>kot pomembna na podlagi 3.</w:t>
      </w:r>
      <w:r w:rsidR="006F32C7" w:rsidRPr="000521FA">
        <w:rPr>
          <w:color w:val="auto"/>
          <w:sz w:val="22"/>
          <w:szCs w:val="22"/>
        </w:rPr>
        <w:t> </w:t>
      </w:r>
      <w:r w:rsidRPr="000521FA">
        <w:rPr>
          <w:color w:val="auto"/>
          <w:sz w:val="22"/>
          <w:szCs w:val="22"/>
        </w:rPr>
        <w:t xml:space="preserve">člena tega sklepa, mora izpolnjevati </w:t>
      </w:r>
      <w:r w:rsidR="000521FA">
        <w:rPr>
          <w:color w:val="auto"/>
          <w:sz w:val="22"/>
          <w:szCs w:val="22"/>
        </w:rPr>
        <w:t xml:space="preserve">vse </w:t>
      </w:r>
      <w:r w:rsidRPr="000521FA">
        <w:rPr>
          <w:color w:val="auto"/>
          <w:sz w:val="22"/>
          <w:szCs w:val="22"/>
        </w:rPr>
        <w:t>zahteve iz prvega odstavka 1.</w:t>
      </w:r>
      <w:r w:rsidR="0056759B" w:rsidRPr="000521FA">
        <w:rPr>
          <w:color w:val="auto"/>
          <w:sz w:val="22"/>
          <w:szCs w:val="22"/>
        </w:rPr>
        <w:t> </w:t>
      </w:r>
      <w:r w:rsidRPr="000521FA">
        <w:rPr>
          <w:color w:val="auto"/>
          <w:sz w:val="22"/>
          <w:szCs w:val="22"/>
        </w:rPr>
        <w:t>člena tega sklepa</w:t>
      </w:r>
      <w:r w:rsidR="003B486A" w:rsidRPr="000521FA">
        <w:rPr>
          <w:color w:val="auto"/>
          <w:sz w:val="22"/>
          <w:szCs w:val="22"/>
        </w:rPr>
        <w:t xml:space="preserve">, razen zahteve </w:t>
      </w:r>
      <w:r w:rsidR="00C95D7E" w:rsidRPr="000521FA">
        <w:rPr>
          <w:color w:val="auto"/>
          <w:sz w:val="22"/>
          <w:szCs w:val="22"/>
        </w:rPr>
        <w:t xml:space="preserve">iz točke </w:t>
      </w:r>
      <w:r w:rsidR="003B486A" w:rsidRPr="000521FA">
        <w:rPr>
          <w:color w:val="auto"/>
          <w:sz w:val="22"/>
          <w:szCs w:val="22"/>
        </w:rPr>
        <w:t>(</w:t>
      </w:r>
      <w:r w:rsidR="00E24A59">
        <w:rPr>
          <w:color w:val="auto"/>
          <w:sz w:val="22"/>
          <w:szCs w:val="22"/>
        </w:rPr>
        <w:t>e</w:t>
      </w:r>
      <w:r w:rsidR="003B486A" w:rsidRPr="000521FA">
        <w:rPr>
          <w:color w:val="auto"/>
          <w:sz w:val="22"/>
          <w:szCs w:val="22"/>
        </w:rPr>
        <w:t xml:space="preserve">), če gre za banko, ki ni podrejena banka iz </w:t>
      </w:r>
      <w:r w:rsidR="003142AA" w:rsidRPr="000521FA">
        <w:rPr>
          <w:color w:val="auto"/>
          <w:sz w:val="22"/>
          <w:szCs w:val="22"/>
        </w:rPr>
        <w:t xml:space="preserve">13. </w:t>
      </w:r>
      <w:r w:rsidR="003B486A" w:rsidRPr="000521FA">
        <w:rPr>
          <w:color w:val="auto"/>
          <w:sz w:val="22"/>
          <w:szCs w:val="22"/>
        </w:rPr>
        <w:t>člena</w:t>
      </w:r>
      <w:r w:rsidR="003142AA" w:rsidRPr="000521FA">
        <w:rPr>
          <w:color w:val="auto"/>
          <w:sz w:val="22"/>
          <w:szCs w:val="22"/>
        </w:rPr>
        <w:t xml:space="preserve"> </w:t>
      </w:r>
      <w:r w:rsidR="003B486A" w:rsidRPr="000521FA">
        <w:rPr>
          <w:color w:val="auto"/>
          <w:sz w:val="22"/>
          <w:szCs w:val="22"/>
        </w:rPr>
        <w:t>Uredbe (EU) št. 575/2013</w:t>
      </w:r>
      <w:r w:rsidRPr="000521FA">
        <w:rPr>
          <w:color w:val="auto"/>
          <w:sz w:val="22"/>
          <w:szCs w:val="22"/>
        </w:rPr>
        <w:t>.</w:t>
      </w:r>
    </w:p>
    <w:p w:rsidR="0061367E" w:rsidRPr="00B124D6" w:rsidRDefault="0061367E" w:rsidP="00A60067">
      <w:pPr>
        <w:pStyle w:val="Navadensplet"/>
        <w:spacing w:after="0"/>
        <w:jc w:val="both"/>
        <w:rPr>
          <w:color w:val="auto"/>
          <w:sz w:val="22"/>
          <w:szCs w:val="22"/>
          <w:highlight w:val="yellow"/>
        </w:rPr>
      </w:pPr>
    </w:p>
    <w:p w:rsidR="0000406D" w:rsidRPr="006D0512" w:rsidRDefault="0000406D" w:rsidP="006D0512">
      <w:pPr>
        <w:pStyle w:val="Navadensplet"/>
        <w:numPr>
          <w:ilvl w:val="0"/>
          <w:numId w:val="18"/>
        </w:numPr>
        <w:tabs>
          <w:tab w:val="left" w:pos="426"/>
        </w:tabs>
        <w:spacing w:after="0"/>
        <w:ind w:left="0" w:firstLine="0"/>
        <w:jc w:val="both"/>
        <w:rPr>
          <w:color w:val="auto"/>
          <w:sz w:val="22"/>
          <w:szCs w:val="22"/>
        </w:rPr>
      </w:pPr>
      <w:r w:rsidRPr="006D0512">
        <w:rPr>
          <w:color w:val="auto"/>
          <w:sz w:val="22"/>
          <w:szCs w:val="22"/>
        </w:rPr>
        <w:t xml:space="preserve">Če po izdaji odločbe o določitvi pomembne banke </w:t>
      </w:r>
      <w:r w:rsidR="0044238D">
        <w:rPr>
          <w:color w:val="auto"/>
          <w:sz w:val="22"/>
          <w:szCs w:val="22"/>
        </w:rPr>
        <w:t>nastopijo okoliščine, na podlagi katerih b</w:t>
      </w:r>
      <w:r w:rsidRPr="006D0512">
        <w:rPr>
          <w:color w:val="auto"/>
          <w:sz w:val="22"/>
          <w:szCs w:val="22"/>
        </w:rPr>
        <w:t xml:space="preserve">anka </w:t>
      </w:r>
      <w:r w:rsidR="003B1BAB">
        <w:rPr>
          <w:color w:val="auto"/>
          <w:sz w:val="22"/>
          <w:szCs w:val="22"/>
        </w:rPr>
        <w:t xml:space="preserve">ne izpolnjuje več meril iz </w:t>
      </w:r>
      <w:r w:rsidR="00565004" w:rsidRPr="006D0512">
        <w:rPr>
          <w:color w:val="auto"/>
          <w:sz w:val="22"/>
          <w:szCs w:val="22"/>
        </w:rPr>
        <w:t>3.</w:t>
      </w:r>
      <w:r w:rsidR="006A59CE" w:rsidRPr="006D0512">
        <w:rPr>
          <w:color w:val="auto"/>
          <w:sz w:val="22"/>
          <w:szCs w:val="22"/>
        </w:rPr>
        <w:t> </w:t>
      </w:r>
      <w:r w:rsidR="00565004" w:rsidRPr="006D0512">
        <w:rPr>
          <w:color w:val="auto"/>
          <w:sz w:val="22"/>
          <w:szCs w:val="22"/>
        </w:rPr>
        <w:t>člena tega sklepa</w:t>
      </w:r>
      <w:r w:rsidRPr="006D0512">
        <w:rPr>
          <w:color w:val="auto"/>
          <w:sz w:val="22"/>
          <w:szCs w:val="22"/>
        </w:rPr>
        <w:t xml:space="preserve">, Banka Slovenije na </w:t>
      </w:r>
      <w:r w:rsidR="006D09EC">
        <w:rPr>
          <w:color w:val="auto"/>
          <w:sz w:val="22"/>
          <w:szCs w:val="22"/>
        </w:rPr>
        <w:t>predlog</w:t>
      </w:r>
      <w:r w:rsidRPr="006D0512">
        <w:rPr>
          <w:color w:val="auto"/>
          <w:sz w:val="22"/>
          <w:szCs w:val="22"/>
        </w:rPr>
        <w:t xml:space="preserve"> banke </w:t>
      </w:r>
      <w:r w:rsidR="0061367E" w:rsidRPr="006D0512">
        <w:rPr>
          <w:color w:val="auto"/>
          <w:sz w:val="22"/>
          <w:szCs w:val="22"/>
        </w:rPr>
        <w:t xml:space="preserve">ali </w:t>
      </w:r>
      <w:r w:rsidR="00E959A0" w:rsidRPr="006D0512">
        <w:rPr>
          <w:color w:val="auto"/>
          <w:sz w:val="22"/>
          <w:szCs w:val="22"/>
        </w:rPr>
        <w:t>po uradni dolžnosti</w:t>
      </w:r>
      <w:r w:rsidR="0061367E" w:rsidRPr="006D0512">
        <w:rPr>
          <w:color w:val="auto"/>
          <w:sz w:val="22"/>
          <w:szCs w:val="22"/>
        </w:rPr>
        <w:t xml:space="preserve"> </w:t>
      </w:r>
      <w:r w:rsidR="00DB5211" w:rsidRPr="006D0512">
        <w:rPr>
          <w:color w:val="auto"/>
          <w:sz w:val="22"/>
          <w:szCs w:val="22"/>
        </w:rPr>
        <w:t xml:space="preserve">z </w:t>
      </w:r>
      <w:r w:rsidRPr="006D0512">
        <w:rPr>
          <w:color w:val="auto"/>
          <w:sz w:val="22"/>
          <w:szCs w:val="22"/>
        </w:rPr>
        <w:t>odločbo</w:t>
      </w:r>
      <w:r w:rsidR="00DB5211" w:rsidRPr="006D0512">
        <w:rPr>
          <w:color w:val="auto"/>
          <w:sz w:val="22"/>
          <w:szCs w:val="22"/>
        </w:rPr>
        <w:t xml:space="preserve"> odloči o prenehanju statusa pomembne banke</w:t>
      </w:r>
      <w:r w:rsidRPr="006D0512">
        <w:rPr>
          <w:color w:val="auto"/>
          <w:sz w:val="22"/>
          <w:szCs w:val="22"/>
        </w:rPr>
        <w:t>.</w:t>
      </w:r>
    </w:p>
    <w:p w:rsidR="006D0512" w:rsidRDefault="006D0512" w:rsidP="00B979DE">
      <w:pPr>
        <w:pStyle w:val="esegmenth4"/>
        <w:spacing w:after="0"/>
        <w:jc w:val="both"/>
        <w:rPr>
          <w:b w:val="0"/>
          <w:color w:val="auto"/>
          <w:sz w:val="22"/>
          <w:szCs w:val="22"/>
          <w:highlight w:val="yellow"/>
        </w:rPr>
      </w:pPr>
    </w:p>
    <w:p w:rsidR="006D0512" w:rsidRDefault="006D0512" w:rsidP="006D0512">
      <w:pPr>
        <w:jc w:val="center"/>
        <w:rPr>
          <w:b/>
        </w:rPr>
      </w:pPr>
      <w:r>
        <w:rPr>
          <w:b/>
        </w:rPr>
        <w:t>5</w:t>
      </w:r>
      <w:r w:rsidRPr="0067699A">
        <w:rPr>
          <w:b/>
        </w:rPr>
        <w:t>. člen</w:t>
      </w:r>
    </w:p>
    <w:p w:rsidR="006D0512" w:rsidRDefault="006D0512" w:rsidP="006D0512">
      <w:pPr>
        <w:jc w:val="center"/>
        <w:rPr>
          <w:b/>
        </w:rPr>
      </w:pPr>
      <w:r>
        <w:rPr>
          <w:b/>
        </w:rPr>
        <w:t>(</w:t>
      </w:r>
      <w:r w:rsidR="00EB20DB">
        <w:rPr>
          <w:b/>
        </w:rPr>
        <w:t>prenehanje veljavnosti</w:t>
      </w:r>
      <w:r w:rsidR="00311121">
        <w:rPr>
          <w:b/>
        </w:rPr>
        <w:t xml:space="preserve"> sklepa</w:t>
      </w:r>
      <w:r>
        <w:rPr>
          <w:b/>
        </w:rPr>
        <w:t>)</w:t>
      </w:r>
    </w:p>
    <w:p w:rsidR="006D0512" w:rsidRDefault="006D0512" w:rsidP="006D0512">
      <w:pPr>
        <w:jc w:val="center"/>
        <w:rPr>
          <w:b/>
        </w:rPr>
      </w:pPr>
    </w:p>
    <w:p w:rsidR="006D0512" w:rsidRDefault="006D0512" w:rsidP="00191F46">
      <w:pPr>
        <w:pStyle w:val="Odstavekseznama"/>
        <w:tabs>
          <w:tab w:val="left" w:pos="426"/>
        </w:tabs>
        <w:ind w:left="0" w:firstLine="426"/>
        <w:jc w:val="both"/>
      </w:pPr>
      <w:r w:rsidRPr="00E01DE4">
        <w:t xml:space="preserve">Z dnem </w:t>
      </w:r>
      <w:r>
        <w:t xml:space="preserve">uveljavitve tega sklepa preneha </w:t>
      </w:r>
      <w:r w:rsidR="007B5473">
        <w:t>veljati</w:t>
      </w:r>
      <w:r>
        <w:t xml:space="preserve"> Sklep o </w:t>
      </w:r>
      <w:r w:rsidR="0044238D">
        <w:t xml:space="preserve">merilih za določitev pomembne banke </w:t>
      </w:r>
      <w:r>
        <w:t>(Uradni list RS, št</w:t>
      </w:r>
      <w:r w:rsidRPr="00191BE7">
        <w:t xml:space="preserve">. </w:t>
      </w:r>
      <w:r w:rsidR="0044238D">
        <w:t>41</w:t>
      </w:r>
      <w:r w:rsidRPr="00191BE7">
        <w:t>/1</w:t>
      </w:r>
      <w:r w:rsidR="0044238D">
        <w:t>5</w:t>
      </w:r>
      <w:r w:rsidRPr="00191BE7">
        <w:t>).</w:t>
      </w:r>
    </w:p>
    <w:p w:rsidR="006D0512" w:rsidRDefault="006D0512" w:rsidP="00B979DE">
      <w:pPr>
        <w:pStyle w:val="esegmenth4"/>
        <w:spacing w:after="0"/>
        <w:jc w:val="both"/>
        <w:rPr>
          <w:b w:val="0"/>
          <w:color w:val="auto"/>
          <w:sz w:val="22"/>
          <w:szCs w:val="22"/>
          <w:highlight w:val="yellow"/>
        </w:rPr>
      </w:pPr>
    </w:p>
    <w:p w:rsidR="00DE5B8B" w:rsidRDefault="00DE5B8B" w:rsidP="00DE5B8B">
      <w:pPr>
        <w:jc w:val="center"/>
        <w:rPr>
          <w:b/>
        </w:rPr>
      </w:pPr>
      <w:r>
        <w:rPr>
          <w:b/>
        </w:rPr>
        <w:t>6</w:t>
      </w:r>
      <w:r w:rsidRPr="0067699A">
        <w:rPr>
          <w:b/>
        </w:rPr>
        <w:t>. člen</w:t>
      </w:r>
    </w:p>
    <w:p w:rsidR="00DE5B8B" w:rsidRDefault="00DE5B8B" w:rsidP="00DE5B8B">
      <w:pPr>
        <w:jc w:val="center"/>
        <w:rPr>
          <w:b/>
        </w:rPr>
      </w:pPr>
      <w:r>
        <w:rPr>
          <w:b/>
        </w:rPr>
        <w:t>(ohranitev veljavnosti odločb)</w:t>
      </w:r>
    </w:p>
    <w:p w:rsidR="00DE5B8B" w:rsidRDefault="00DE5B8B" w:rsidP="00DE5B8B">
      <w:pPr>
        <w:jc w:val="center"/>
        <w:rPr>
          <w:b/>
        </w:rPr>
      </w:pPr>
    </w:p>
    <w:p w:rsidR="00DE5B8B" w:rsidRDefault="00DE5B8B" w:rsidP="00191F46">
      <w:pPr>
        <w:tabs>
          <w:tab w:val="left" w:pos="426"/>
        </w:tabs>
        <w:ind w:firstLine="426"/>
        <w:jc w:val="both"/>
      </w:pPr>
      <w:r>
        <w:t>Odločbe o opredelitvi pomembnih bank</w:t>
      </w:r>
      <w:r w:rsidR="00191F46">
        <w:t>, ki so bile</w:t>
      </w:r>
      <w:r>
        <w:t xml:space="preserve"> izdan</w:t>
      </w:r>
      <w:r w:rsidR="00191F46">
        <w:t>e</w:t>
      </w:r>
      <w:r>
        <w:t xml:space="preserve"> na podlagi Sklepa o merilih za določitev pomembne banke</w:t>
      </w:r>
      <w:r w:rsidR="00191F46">
        <w:t xml:space="preserve"> (Uradni list RS, št</w:t>
      </w:r>
      <w:r w:rsidR="00191F46" w:rsidRPr="00191BE7">
        <w:t xml:space="preserve">. </w:t>
      </w:r>
      <w:r w:rsidR="00191F46">
        <w:t>41</w:t>
      </w:r>
      <w:r w:rsidR="00191F46" w:rsidRPr="00191BE7">
        <w:t>/1</w:t>
      </w:r>
      <w:r w:rsidR="00191F46">
        <w:t>5),</w:t>
      </w:r>
      <w:r>
        <w:t xml:space="preserve"> se </w:t>
      </w:r>
      <w:r w:rsidR="00191F46">
        <w:t xml:space="preserve">do izdaje novih odločb po tem sklepu štejejo za veljavne in izvršljive. </w:t>
      </w:r>
    </w:p>
    <w:p w:rsidR="009B3C94" w:rsidRDefault="009B3C94" w:rsidP="00B979DE">
      <w:pPr>
        <w:pStyle w:val="esegmenth4"/>
        <w:spacing w:after="0"/>
        <w:rPr>
          <w:color w:val="auto"/>
          <w:sz w:val="22"/>
          <w:szCs w:val="22"/>
        </w:rPr>
      </w:pPr>
    </w:p>
    <w:p w:rsidR="009B3C94" w:rsidRDefault="009B3C94" w:rsidP="009B3C94">
      <w:pPr>
        <w:jc w:val="center"/>
        <w:rPr>
          <w:b/>
        </w:rPr>
      </w:pPr>
      <w:r>
        <w:rPr>
          <w:b/>
        </w:rPr>
        <w:t>7</w:t>
      </w:r>
      <w:r w:rsidRPr="0067699A">
        <w:rPr>
          <w:b/>
        </w:rPr>
        <w:t>. člen</w:t>
      </w:r>
    </w:p>
    <w:p w:rsidR="009B3C94" w:rsidRDefault="009B3C94" w:rsidP="009B3C94">
      <w:pPr>
        <w:jc w:val="center"/>
        <w:rPr>
          <w:b/>
        </w:rPr>
      </w:pPr>
      <w:r>
        <w:rPr>
          <w:b/>
        </w:rPr>
        <w:t xml:space="preserve">(uskladitev </w:t>
      </w:r>
      <w:r w:rsidR="00C9518E">
        <w:rPr>
          <w:b/>
        </w:rPr>
        <w:t>z zahtevami</w:t>
      </w:r>
      <w:r>
        <w:rPr>
          <w:b/>
        </w:rPr>
        <w:t>)</w:t>
      </w:r>
    </w:p>
    <w:p w:rsidR="009B3C94" w:rsidRDefault="009B3C94" w:rsidP="009B3C94">
      <w:pPr>
        <w:jc w:val="center"/>
        <w:rPr>
          <w:b/>
        </w:rPr>
      </w:pPr>
    </w:p>
    <w:p w:rsidR="00C9518E" w:rsidRDefault="0090468E" w:rsidP="001E2A2D">
      <w:pPr>
        <w:pStyle w:val="Odstavekseznama"/>
        <w:numPr>
          <w:ilvl w:val="0"/>
          <w:numId w:val="22"/>
        </w:numPr>
        <w:tabs>
          <w:tab w:val="left" w:pos="426"/>
        </w:tabs>
        <w:ind w:left="0" w:firstLine="0"/>
        <w:jc w:val="both"/>
      </w:pPr>
      <w:r>
        <w:t xml:space="preserve">V primerih, ko se </w:t>
      </w:r>
      <w:r w:rsidRPr="00635EE9">
        <w:t>v skladu z odločbo izdano na podlagi tega sklepa, spremenijo</w:t>
      </w:r>
      <w:r>
        <w:t xml:space="preserve"> zahteve za banko, se mora banka z novimi zahtevami uskladiti najkasneje v roku </w:t>
      </w:r>
      <w:r w:rsidR="001E5ACB">
        <w:t>treh</w:t>
      </w:r>
      <w:r>
        <w:t xml:space="preserve"> mesecev od dneva, ko je prejela odločbo.</w:t>
      </w:r>
    </w:p>
    <w:p w:rsidR="00C9518E" w:rsidRDefault="00C9518E" w:rsidP="00C9518E">
      <w:pPr>
        <w:tabs>
          <w:tab w:val="left" w:pos="426"/>
        </w:tabs>
        <w:jc w:val="both"/>
      </w:pPr>
    </w:p>
    <w:p w:rsidR="001E2A2D" w:rsidRDefault="00C9518E" w:rsidP="001E2A2D">
      <w:pPr>
        <w:pStyle w:val="Odstavekseznama"/>
        <w:numPr>
          <w:ilvl w:val="0"/>
          <w:numId w:val="22"/>
        </w:numPr>
        <w:tabs>
          <w:tab w:val="left" w:pos="426"/>
        </w:tabs>
        <w:ind w:left="0" w:firstLine="0"/>
        <w:jc w:val="both"/>
      </w:pPr>
      <w:r>
        <w:t xml:space="preserve">Ne glede na </w:t>
      </w:r>
      <w:r w:rsidR="00817FE2">
        <w:t xml:space="preserve">prvi </w:t>
      </w:r>
      <w:r>
        <w:t>odstavek tega člena lahko Banka Slovenije</w:t>
      </w:r>
      <w:r w:rsidR="006D09EC">
        <w:t xml:space="preserve"> </w:t>
      </w:r>
      <w:r w:rsidR="006D09EC" w:rsidRPr="006D0512">
        <w:t xml:space="preserve">na </w:t>
      </w:r>
      <w:r w:rsidR="006D09EC">
        <w:t>predlog</w:t>
      </w:r>
      <w:r w:rsidR="006D09EC" w:rsidRPr="006D0512">
        <w:t xml:space="preserve"> banke ali po uradni dolžnosti</w:t>
      </w:r>
      <w:r>
        <w:t xml:space="preserve"> odloči o drugačnem usklajevalnem obdobju banke z </w:t>
      </w:r>
      <w:r w:rsidR="007910DD">
        <w:t xml:space="preserve">navedenimi </w:t>
      </w:r>
      <w:r>
        <w:t xml:space="preserve">zahtevami. </w:t>
      </w:r>
    </w:p>
    <w:p w:rsidR="009B3C94" w:rsidRDefault="009B3C94" w:rsidP="00B979DE">
      <w:pPr>
        <w:pStyle w:val="esegmenth4"/>
        <w:spacing w:after="0"/>
        <w:rPr>
          <w:color w:val="auto"/>
          <w:sz w:val="22"/>
          <w:szCs w:val="22"/>
        </w:rPr>
      </w:pPr>
    </w:p>
    <w:p w:rsidR="000F7752" w:rsidRPr="00191F46" w:rsidRDefault="009B3C94" w:rsidP="00B979DE">
      <w:pPr>
        <w:pStyle w:val="esegmenth4"/>
        <w:spacing w:after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0F7752" w:rsidRPr="00191F46">
        <w:rPr>
          <w:color w:val="auto"/>
          <w:sz w:val="22"/>
          <w:szCs w:val="22"/>
        </w:rPr>
        <w:t>. člen</w:t>
      </w:r>
    </w:p>
    <w:p w:rsidR="002B43F2" w:rsidRPr="00191F46" w:rsidRDefault="00305A00" w:rsidP="00B979DE">
      <w:pPr>
        <w:pStyle w:val="esegmenth4"/>
        <w:spacing w:after="0"/>
        <w:rPr>
          <w:color w:val="auto"/>
          <w:sz w:val="22"/>
          <w:szCs w:val="22"/>
        </w:rPr>
      </w:pPr>
      <w:r w:rsidRPr="00191F46">
        <w:rPr>
          <w:color w:val="auto"/>
          <w:sz w:val="22"/>
          <w:szCs w:val="22"/>
        </w:rPr>
        <w:t xml:space="preserve"> </w:t>
      </w:r>
      <w:r w:rsidR="002B43F2" w:rsidRPr="00191F46">
        <w:rPr>
          <w:color w:val="auto"/>
          <w:sz w:val="22"/>
          <w:szCs w:val="22"/>
        </w:rPr>
        <w:t>(uveljavitev sklepa)</w:t>
      </w:r>
    </w:p>
    <w:p w:rsidR="00B979DE" w:rsidRPr="00191F46" w:rsidRDefault="00B979DE" w:rsidP="00B979DE">
      <w:pPr>
        <w:pStyle w:val="esegmenth4"/>
        <w:spacing w:after="0"/>
        <w:rPr>
          <w:color w:val="auto"/>
          <w:sz w:val="22"/>
          <w:szCs w:val="22"/>
        </w:rPr>
      </w:pPr>
    </w:p>
    <w:p w:rsidR="002B43F2" w:rsidRPr="00191F46" w:rsidRDefault="002B43F2" w:rsidP="00191F46">
      <w:pPr>
        <w:pStyle w:val="Navadensplet"/>
        <w:spacing w:after="0"/>
        <w:ind w:firstLine="426"/>
        <w:jc w:val="both"/>
        <w:rPr>
          <w:color w:val="auto"/>
          <w:sz w:val="22"/>
          <w:szCs w:val="22"/>
        </w:rPr>
      </w:pPr>
      <w:r w:rsidRPr="00191F46">
        <w:rPr>
          <w:color w:val="auto"/>
          <w:sz w:val="22"/>
          <w:szCs w:val="22"/>
        </w:rPr>
        <w:t>Ta sklep začne veljati naslednji dan po objavi v Uradnem listu Republike Slovenije.</w:t>
      </w:r>
    </w:p>
    <w:p w:rsidR="000B1743" w:rsidRPr="00191F46" w:rsidRDefault="000B1743" w:rsidP="00B979DE">
      <w:pPr>
        <w:pStyle w:val="esegmentc1"/>
        <w:spacing w:after="0"/>
        <w:rPr>
          <w:color w:val="auto"/>
          <w:sz w:val="22"/>
          <w:szCs w:val="22"/>
        </w:rPr>
      </w:pPr>
    </w:p>
    <w:p w:rsidR="00F6349A" w:rsidRDefault="00F6349A" w:rsidP="00B979DE">
      <w:pPr>
        <w:pStyle w:val="esegmentc1"/>
        <w:spacing w:after="0"/>
        <w:rPr>
          <w:color w:val="auto"/>
          <w:sz w:val="22"/>
          <w:szCs w:val="22"/>
          <w:highlight w:val="yellow"/>
        </w:rPr>
      </w:pPr>
    </w:p>
    <w:p w:rsidR="00F6349A" w:rsidRPr="00191F46" w:rsidRDefault="00F6349A" w:rsidP="00B979DE">
      <w:pPr>
        <w:pStyle w:val="esegmentc1"/>
        <w:spacing w:after="0"/>
        <w:rPr>
          <w:color w:val="auto"/>
          <w:sz w:val="22"/>
          <w:szCs w:val="22"/>
        </w:rPr>
      </w:pPr>
    </w:p>
    <w:p w:rsidR="002B43F2" w:rsidRPr="00191F46" w:rsidRDefault="002B43F2" w:rsidP="00B979DE">
      <w:pPr>
        <w:pStyle w:val="esegmentc1"/>
        <w:spacing w:after="0"/>
        <w:rPr>
          <w:color w:val="auto"/>
          <w:sz w:val="22"/>
          <w:szCs w:val="22"/>
        </w:rPr>
      </w:pPr>
      <w:r w:rsidRPr="00191F46">
        <w:rPr>
          <w:color w:val="auto"/>
          <w:sz w:val="22"/>
          <w:szCs w:val="22"/>
        </w:rPr>
        <w:t xml:space="preserve">Ljubljana, dne </w:t>
      </w:r>
      <w:r w:rsidR="00F6349A" w:rsidRPr="00191F46">
        <w:rPr>
          <w:color w:val="auto"/>
          <w:sz w:val="22"/>
          <w:szCs w:val="22"/>
        </w:rPr>
        <w:t>1</w:t>
      </w:r>
      <w:r w:rsidR="00311121">
        <w:rPr>
          <w:color w:val="auto"/>
          <w:sz w:val="22"/>
          <w:szCs w:val="22"/>
        </w:rPr>
        <w:t>4</w:t>
      </w:r>
      <w:r w:rsidR="00F6349A" w:rsidRPr="00191F46">
        <w:rPr>
          <w:color w:val="auto"/>
          <w:sz w:val="22"/>
          <w:szCs w:val="22"/>
        </w:rPr>
        <w:t xml:space="preserve">. </w:t>
      </w:r>
      <w:r w:rsidR="00191F46" w:rsidRPr="00191F46">
        <w:rPr>
          <w:color w:val="auto"/>
          <w:sz w:val="22"/>
          <w:szCs w:val="22"/>
        </w:rPr>
        <w:t>marca</w:t>
      </w:r>
      <w:r w:rsidR="00F6349A" w:rsidRPr="00191F46">
        <w:rPr>
          <w:color w:val="auto"/>
          <w:sz w:val="22"/>
          <w:szCs w:val="22"/>
        </w:rPr>
        <w:t xml:space="preserve"> 201</w:t>
      </w:r>
      <w:r w:rsidR="00191F46" w:rsidRPr="00191F46">
        <w:rPr>
          <w:color w:val="auto"/>
          <w:sz w:val="22"/>
          <w:szCs w:val="22"/>
        </w:rPr>
        <w:t>8</w:t>
      </w:r>
    </w:p>
    <w:p w:rsidR="000B1743" w:rsidRPr="00191F46" w:rsidRDefault="00EC4E77" w:rsidP="00B979DE">
      <w:pPr>
        <w:pStyle w:val="esegmentp1"/>
        <w:tabs>
          <w:tab w:val="center" w:pos="6804"/>
        </w:tabs>
        <w:spacing w:after="0"/>
        <w:jc w:val="left"/>
        <w:rPr>
          <w:color w:val="auto"/>
          <w:sz w:val="22"/>
          <w:szCs w:val="22"/>
        </w:rPr>
      </w:pPr>
      <w:r w:rsidRPr="00191F46">
        <w:rPr>
          <w:color w:val="auto"/>
          <w:sz w:val="22"/>
          <w:szCs w:val="22"/>
        </w:rPr>
        <w:tab/>
      </w:r>
    </w:p>
    <w:p w:rsidR="000B1743" w:rsidRPr="00191F46" w:rsidRDefault="000B1743" w:rsidP="00B979DE">
      <w:pPr>
        <w:pStyle w:val="esegmentp1"/>
        <w:tabs>
          <w:tab w:val="center" w:pos="6804"/>
        </w:tabs>
        <w:spacing w:after="0"/>
        <w:jc w:val="left"/>
        <w:rPr>
          <w:color w:val="auto"/>
          <w:sz w:val="22"/>
          <w:szCs w:val="22"/>
        </w:rPr>
      </w:pPr>
    </w:p>
    <w:p w:rsidR="00EC4E77" w:rsidRPr="00191F46" w:rsidRDefault="000B1743" w:rsidP="00B979DE">
      <w:pPr>
        <w:pStyle w:val="esegmentp1"/>
        <w:tabs>
          <w:tab w:val="center" w:pos="6804"/>
        </w:tabs>
        <w:spacing w:after="0"/>
        <w:jc w:val="left"/>
        <w:rPr>
          <w:color w:val="auto"/>
          <w:sz w:val="22"/>
          <w:szCs w:val="22"/>
        </w:rPr>
      </w:pPr>
      <w:r w:rsidRPr="00191F46">
        <w:rPr>
          <w:color w:val="auto"/>
          <w:sz w:val="22"/>
          <w:szCs w:val="22"/>
        </w:rPr>
        <w:tab/>
      </w:r>
      <w:r w:rsidR="00EC4E77" w:rsidRPr="00191F46">
        <w:rPr>
          <w:color w:val="auto"/>
          <w:sz w:val="22"/>
          <w:szCs w:val="22"/>
        </w:rPr>
        <w:t>Boštjan Jazbec</w:t>
      </w:r>
    </w:p>
    <w:p w:rsidR="00EC4E77" w:rsidRPr="00191F46" w:rsidRDefault="00EC4E77" w:rsidP="00B979DE">
      <w:pPr>
        <w:pStyle w:val="esegmentp1"/>
        <w:tabs>
          <w:tab w:val="center" w:pos="6804"/>
        </w:tabs>
        <w:spacing w:after="0"/>
        <w:jc w:val="left"/>
        <w:rPr>
          <w:color w:val="auto"/>
          <w:sz w:val="22"/>
          <w:szCs w:val="22"/>
        </w:rPr>
      </w:pPr>
      <w:r w:rsidRPr="00191F46">
        <w:rPr>
          <w:color w:val="auto"/>
          <w:sz w:val="22"/>
          <w:szCs w:val="22"/>
        </w:rPr>
        <w:tab/>
        <w:t>Predsednik</w:t>
      </w:r>
    </w:p>
    <w:p w:rsidR="001A3A71" w:rsidRPr="007470B8" w:rsidRDefault="00EC4E77" w:rsidP="00B979DE">
      <w:pPr>
        <w:pStyle w:val="esegmentp1"/>
        <w:tabs>
          <w:tab w:val="center" w:pos="6804"/>
        </w:tabs>
        <w:spacing w:after="0"/>
        <w:jc w:val="left"/>
        <w:rPr>
          <w:sz w:val="22"/>
          <w:szCs w:val="22"/>
        </w:rPr>
      </w:pPr>
      <w:r w:rsidRPr="00191F46">
        <w:rPr>
          <w:color w:val="auto"/>
          <w:sz w:val="22"/>
          <w:szCs w:val="22"/>
        </w:rPr>
        <w:tab/>
      </w:r>
      <w:r w:rsidR="002B43F2" w:rsidRPr="00191F46">
        <w:rPr>
          <w:color w:val="auto"/>
          <w:sz w:val="22"/>
          <w:szCs w:val="22"/>
        </w:rPr>
        <w:t>Sveta Banke Slovenije</w:t>
      </w:r>
    </w:p>
    <w:sectPr w:rsidR="001A3A71" w:rsidRPr="007470B8" w:rsidSect="000C71E5">
      <w:headerReference w:type="default" r:id="rId8"/>
      <w:foot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3D3" w:rsidRDefault="00D823D3" w:rsidP="000A317A">
      <w:r>
        <w:separator/>
      </w:r>
    </w:p>
  </w:endnote>
  <w:endnote w:type="continuationSeparator" w:id="0">
    <w:p w:rsidR="00D823D3" w:rsidRDefault="00D823D3" w:rsidP="000A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3462367"/>
      <w:docPartObj>
        <w:docPartGallery w:val="Page Numbers (Bottom of Page)"/>
        <w:docPartUnique/>
      </w:docPartObj>
    </w:sdtPr>
    <w:sdtEndPr/>
    <w:sdtContent>
      <w:sdt>
        <w:sdtPr>
          <w:id w:val="-1642345258"/>
          <w:docPartObj>
            <w:docPartGallery w:val="Page Numbers (Top of Page)"/>
            <w:docPartUnique/>
          </w:docPartObj>
        </w:sdtPr>
        <w:sdtEndPr/>
        <w:sdtContent>
          <w:p w:rsidR="009B3C94" w:rsidRDefault="009B3C94">
            <w:pPr>
              <w:pStyle w:val="Noga"/>
              <w:jc w:val="center"/>
            </w:pPr>
            <w: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086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086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3C94" w:rsidRDefault="009B3C9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3D3" w:rsidRDefault="00D823D3" w:rsidP="000A317A">
      <w:r>
        <w:separator/>
      </w:r>
    </w:p>
  </w:footnote>
  <w:footnote w:type="continuationSeparator" w:id="0">
    <w:p w:rsidR="00D823D3" w:rsidRDefault="00D823D3" w:rsidP="000A3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8A6" w:rsidRDefault="00DF4AC6" w:rsidP="003328D5">
    <w:pPr>
      <w:pStyle w:val="Glava"/>
      <w:jc w:val="right"/>
    </w:pPr>
    <w:r>
      <w:t xml:space="preserve">                                                                                                                   </w:t>
    </w:r>
  </w:p>
  <w:p w:rsidR="003B486A" w:rsidRDefault="003B486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2653"/>
    <w:multiLevelType w:val="hybridMultilevel"/>
    <w:tmpl w:val="4DA2D920"/>
    <w:lvl w:ilvl="0" w:tplc="B656B7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A70BA"/>
    <w:multiLevelType w:val="hybridMultilevel"/>
    <w:tmpl w:val="E14A5700"/>
    <w:lvl w:ilvl="0" w:tplc="B656B7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9D7019"/>
    <w:multiLevelType w:val="hybridMultilevel"/>
    <w:tmpl w:val="F5E019A0"/>
    <w:lvl w:ilvl="0" w:tplc="704A4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81403"/>
    <w:multiLevelType w:val="hybridMultilevel"/>
    <w:tmpl w:val="262CEA14"/>
    <w:lvl w:ilvl="0" w:tplc="0DCCA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0673D"/>
    <w:multiLevelType w:val="hybridMultilevel"/>
    <w:tmpl w:val="CF00CF4A"/>
    <w:lvl w:ilvl="0" w:tplc="D896A1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54C7E"/>
    <w:multiLevelType w:val="hybridMultilevel"/>
    <w:tmpl w:val="E89413AE"/>
    <w:lvl w:ilvl="0" w:tplc="80D4E87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B3B6D"/>
    <w:multiLevelType w:val="hybridMultilevel"/>
    <w:tmpl w:val="ADA4119A"/>
    <w:lvl w:ilvl="0" w:tplc="ADD089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6538C"/>
    <w:multiLevelType w:val="hybridMultilevel"/>
    <w:tmpl w:val="D96814C4"/>
    <w:lvl w:ilvl="0" w:tplc="03ECC2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C38F8"/>
    <w:multiLevelType w:val="hybridMultilevel"/>
    <w:tmpl w:val="CF209D54"/>
    <w:lvl w:ilvl="0" w:tplc="704A4078">
      <w:start w:val="1"/>
      <w:numFmt w:val="decimal"/>
      <w:lvlText w:val="(%1)"/>
      <w:lvlJc w:val="left"/>
      <w:pPr>
        <w:ind w:left="515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235" w:hanging="360"/>
      </w:pPr>
    </w:lvl>
    <w:lvl w:ilvl="2" w:tplc="0424001B" w:tentative="1">
      <w:start w:val="1"/>
      <w:numFmt w:val="lowerRoman"/>
      <w:lvlText w:val="%3."/>
      <w:lvlJc w:val="right"/>
      <w:pPr>
        <w:ind w:left="1955" w:hanging="180"/>
      </w:pPr>
    </w:lvl>
    <w:lvl w:ilvl="3" w:tplc="0424000F" w:tentative="1">
      <w:start w:val="1"/>
      <w:numFmt w:val="decimal"/>
      <w:lvlText w:val="%4."/>
      <w:lvlJc w:val="left"/>
      <w:pPr>
        <w:ind w:left="2675" w:hanging="360"/>
      </w:pPr>
    </w:lvl>
    <w:lvl w:ilvl="4" w:tplc="04240019" w:tentative="1">
      <w:start w:val="1"/>
      <w:numFmt w:val="lowerLetter"/>
      <w:lvlText w:val="%5."/>
      <w:lvlJc w:val="left"/>
      <w:pPr>
        <w:ind w:left="3395" w:hanging="360"/>
      </w:pPr>
    </w:lvl>
    <w:lvl w:ilvl="5" w:tplc="0424001B" w:tentative="1">
      <w:start w:val="1"/>
      <w:numFmt w:val="lowerRoman"/>
      <w:lvlText w:val="%6."/>
      <w:lvlJc w:val="right"/>
      <w:pPr>
        <w:ind w:left="4115" w:hanging="180"/>
      </w:pPr>
    </w:lvl>
    <w:lvl w:ilvl="6" w:tplc="0424000F" w:tentative="1">
      <w:start w:val="1"/>
      <w:numFmt w:val="decimal"/>
      <w:lvlText w:val="%7."/>
      <w:lvlJc w:val="left"/>
      <w:pPr>
        <w:ind w:left="4835" w:hanging="360"/>
      </w:pPr>
    </w:lvl>
    <w:lvl w:ilvl="7" w:tplc="04240019" w:tentative="1">
      <w:start w:val="1"/>
      <w:numFmt w:val="lowerLetter"/>
      <w:lvlText w:val="%8."/>
      <w:lvlJc w:val="left"/>
      <w:pPr>
        <w:ind w:left="5555" w:hanging="360"/>
      </w:pPr>
    </w:lvl>
    <w:lvl w:ilvl="8" w:tplc="0424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9" w15:restartNumberingAfterBreak="0">
    <w:nsid w:val="2BA17439"/>
    <w:multiLevelType w:val="hybridMultilevel"/>
    <w:tmpl w:val="E182C98C"/>
    <w:lvl w:ilvl="0" w:tplc="64686E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D62A26"/>
    <w:multiLevelType w:val="hybridMultilevel"/>
    <w:tmpl w:val="58BCB1F0"/>
    <w:lvl w:ilvl="0" w:tplc="59E62DE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104013"/>
    <w:multiLevelType w:val="hybridMultilevel"/>
    <w:tmpl w:val="B122087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C77655"/>
    <w:multiLevelType w:val="hybridMultilevel"/>
    <w:tmpl w:val="E62826EA"/>
    <w:lvl w:ilvl="0" w:tplc="64686E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F423F6"/>
    <w:multiLevelType w:val="hybridMultilevel"/>
    <w:tmpl w:val="22AC7686"/>
    <w:lvl w:ilvl="0" w:tplc="79401A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64686EB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C65CF"/>
    <w:multiLevelType w:val="hybridMultilevel"/>
    <w:tmpl w:val="F5E019A0"/>
    <w:lvl w:ilvl="0" w:tplc="704A4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447C6"/>
    <w:multiLevelType w:val="hybridMultilevel"/>
    <w:tmpl w:val="78EEC00A"/>
    <w:lvl w:ilvl="0" w:tplc="47982138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E728A0B8">
      <w:start w:val="1"/>
      <w:numFmt w:val="lowerLetter"/>
      <w:lvlText w:val="(%2)"/>
      <w:lvlJc w:val="left"/>
      <w:pPr>
        <w:ind w:left="1770" w:hanging="69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918F1"/>
    <w:multiLevelType w:val="hybridMultilevel"/>
    <w:tmpl w:val="2872119C"/>
    <w:lvl w:ilvl="0" w:tplc="3BC68B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E728A0B8">
      <w:start w:val="1"/>
      <w:numFmt w:val="lowerLetter"/>
      <w:lvlText w:val="(%2)"/>
      <w:lvlJc w:val="left"/>
      <w:pPr>
        <w:ind w:left="1770" w:hanging="69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138BC"/>
    <w:multiLevelType w:val="hybridMultilevel"/>
    <w:tmpl w:val="919C92FA"/>
    <w:lvl w:ilvl="0" w:tplc="64686E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B15C0A"/>
    <w:multiLevelType w:val="hybridMultilevel"/>
    <w:tmpl w:val="E30A9AD2"/>
    <w:lvl w:ilvl="0" w:tplc="79401A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E728A0B8">
      <w:start w:val="1"/>
      <w:numFmt w:val="lowerLetter"/>
      <w:lvlText w:val="(%2)"/>
      <w:lvlJc w:val="left"/>
      <w:pPr>
        <w:ind w:left="1770" w:hanging="69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B696E"/>
    <w:multiLevelType w:val="hybridMultilevel"/>
    <w:tmpl w:val="D35AB0B6"/>
    <w:lvl w:ilvl="0" w:tplc="A3DA66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E728A0B8">
      <w:start w:val="1"/>
      <w:numFmt w:val="lowerLetter"/>
      <w:lvlText w:val="(%2)"/>
      <w:lvlJc w:val="left"/>
      <w:pPr>
        <w:ind w:left="1770" w:hanging="69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E4B89"/>
    <w:multiLevelType w:val="hybridMultilevel"/>
    <w:tmpl w:val="3B8CC49C"/>
    <w:lvl w:ilvl="0" w:tplc="03ECC24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A871E1"/>
    <w:multiLevelType w:val="hybridMultilevel"/>
    <w:tmpl w:val="0F0E0710"/>
    <w:lvl w:ilvl="0" w:tplc="64686E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8"/>
  </w:num>
  <w:num w:numId="4">
    <w:abstractNumId w:val="14"/>
  </w:num>
  <w:num w:numId="5">
    <w:abstractNumId w:val="2"/>
  </w:num>
  <w:num w:numId="6">
    <w:abstractNumId w:val="20"/>
  </w:num>
  <w:num w:numId="7">
    <w:abstractNumId w:val="5"/>
  </w:num>
  <w:num w:numId="8">
    <w:abstractNumId w:val="3"/>
  </w:num>
  <w:num w:numId="9">
    <w:abstractNumId w:val="7"/>
  </w:num>
  <w:num w:numId="10">
    <w:abstractNumId w:val="19"/>
  </w:num>
  <w:num w:numId="11">
    <w:abstractNumId w:val="16"/>
  </w:num>
  <w:num w:numId="12">
    <w:abstractNumId w:val="15"/>
  </w:num>
  <w:num w:numId="13">
    <w:abstractNumId w:val="13"/>
  </w:num>
  <w:num w:numId="14">
    <w:abstractNumId w:val="0"/>
  </w:num>
  <w:num w:numId="15">
    <w:abstractNumId w:val="1"/>
  </w:num>
  <w:num w:numId="16">
    <w:abstractNumId w:val="17"/>
  </w:num>
  <w:num w:numId="17">
    <w:abstractNumId w:val="12"/>
  </w:num>
  <w:num w:numId="18">
    <w:abstractNumId w:val="21"/>
  </w:num>
  <w:num w:numId="19">
    <w:abstractNumId w:val="9"/>
  </w:num>
  <w:num w:numId="20">
    <w:abstractNumId w:val="11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3F2"/>
    <w:rsid w:val="0000406D"/>
    <w:rsid w:val="00024106"/>
    <w:rsid w:val="000248DD"/>
    <w:rsid w:val="0002745F"/>
    <w:rsid w:val="000350AA"/>
    <w:rsid w:val="00035434"/>
    <w:rsid w:val="00047997"/>
    <w:rsid w:val="000521FA"/>
    <w:rsid w:val="0005724E"/>
    <w:rsid w:val="00070ECD"/>
    <w:rsid w:val="000839FE"/>
    <w:rsid w:val="00086DC7"/>
    <w:rsid w:val="000961BF"/>
    <w:rsid w:val="000A2D66"/>
    <w:rsid w:val="000A317A"/>
    <w:rsid w:val="000B1743"/>
    <w:rsid w:val="000C01F6"/>
    <w:rsid w:val="000C14BF"/>
    <w:rsid w:val="000C71E5"/>
    <w:rsid w:val="000D33FE"/>
    <w:rsid w:val="000E0520"/>
    <w:rsid w:val="000E3289"/>
    <w:rsid w:val="000E3883"/>
    <w:rsid w:val="000E45DC"/>
    <w:rsid w:val="000F2BFB"/>
    <w:rsid w:val="000F7752"/>
    <w:rsid w:val="0010563C"/>
    <w:rsid w:val="001078AF"/>
    <w:rsid w:val="00112F22"/>
    <w:rsid w:val="001152A6"/>
    <w:rsid w:val="0011570C"/>
    <w:rsid w:val="001163A0"/>
    <w:rsid w:val="001166AD"/>
    <w:rsid w:val="00126C99"/>
    <w:rsid w:val="001331F6"/>
    <w:rsid w:val="0015302F"/>
    <w:rsid w:val="00157879"/>
    <w:rsid w:val="001733DA"/>
    <w:rsid w:val="001806D1"/>
    <w:rsid w:val="00186196"/>
    <w:rsid w:val="00191F46"/>
    <w:rsid w:val="00192B81"/>
    <w:rsid w:val="001A133B"/>
    <w:rsid w:val="001A3A71"/>
    <w:rsid w:val="001A44F1"/>
    <w:rsid w:val="001B611C"/>
    <w:rsid w:val="001C38B7"/>
    <w:rsid w:val="001E2A2D"/>
    <w:rsid w:val="001E4BC2"/>
    <w:rsid w:val="001E5ACB"/>
    <w:rsid w:val="001F4DD0"/>
    <w:rsid w:val="002344CB"/>
    <w:rsid w:val="002404E4"/>
    <w:rsid w:val="00243FC4"/>
    <w:rsid w:val="00253E53"/>
    <w:rsid w:val="002540EF"/>
    <w:rsid w:val="00263193"/>
    <w:rsid w:val="00264427"/>
    <w:rsid w:val="002749BD"/>
    <w:rsid w:val="0028073E"/>
    <w:rsid w:val="00281F4D"/>
    <w:rsid w:val="0028243A"/>
    <w:rsid w:val="002900A3"/>
    <w:rsid w:val="00296CF4"/>
    <w:rsid w:val="002974C9"/>
    <w:rsid w:val="002A698A"/>
    <w:rsid w:val="002B3967"/>
    <w:rsid w:val="002B43F2"/>
    <w:rsid w:val="002B5730"/>
    <w:rsid w:val="002D68A6"/>
    <w:rsid w:val="002D6F86"/>
    <w:rsid w:val="002E4909"/>
    <w:rsid w:val="002F5686"/>
    <w:rsid w:val="00301D4F"/>
    <w:rsid w:val="00305A00"/>
    <w:rsid w:val="00307D1B"/>
    <w:rsid w:val="00311121"/>
    <w:rsid w:val="003142AA"/>
    <w:rsid w:val="00324E8A"/>
    <w:rsid w:val="003328D5"/>
    <w:rsid w:val="003353D1"/>
    <w:rsid w:val="003370E4"/>
    <w:rsid w:val="003509C4"/>
    <w:rsid w:val="00351AEA"/>
    <w:rsid w:val="003631B8"/>
    <w:rsid w:val="00364510"/>
    <w:rsid w:val="00364EA2"/>
    <w:rsid w:val="00366C2A"/>
    <w:rsid w:val="0037037B"/>
    <w:rsid w:val="00373B4B"/>
    <w:rsid w:val="00386E2F"/>
    <w:rsid w:val="00395B08"/>
    <w:rsid w:val="00396FF4"/>
    <w:rsid w:val="003B1BAB"/>
    <w:rsid w:val="003B486A"/>
    <w:rsid w:val="003B6A48"/>
    <w:rsid w:val="003C76BA"/>
    <w:rsid w:val="003E283A"/>
    <w:rsid w:val="003E332A"/>
    <w:rsid w:val="003F3FFF"/>
    <w:rsid w:val="004041C4"/>
    <w:rsid w:val="00415097"/>
    <w:rsid w:val="0042240B"/>
    <w:rsid w:val="0044238D"/>
    <w:rsid w:val="004436FC"/>
    <w:rsid w:val="00457D23"/>
    <w:rsid w:val="00474927"/>
    <w:rsid w:val="00475387"/>
    <w:rsid w:val="0049397B"/>
    <w:rsid w:val="004A1740"/>
    <w:rsid w:val="004A359C"/>
    <w:rsid w:val="004A4B98"/>
    <w:rsid w:val="004A6B9F"/>
    <w:rsid w:val="004C272A"/>
    <w:rsid w:val="004C2F5D"/>
    <w:rsid w:val="004C5C45"/>
    <w:rsid w:val="004D404A"/>
    <w:rsid w:val="004D57AF"/>
    <w:rsid w:val="004D68E9"/>
    <w:rsid w:val="004D744E"/>
    <w:rsid w:val="004E0EA3"/>
    <w:rsid w:val="004E34E9"/>
    <w:rsid w:val="004E4E6E"/>
    <w:rsid w:val="004F521D"/>
    <w:rsid w:val="004F7734"/>
    <w:rsid w:val="00506444"/>
    <w:rsid w:val="00512245"/>
    <w:rsid w:val="0052562F"/>
    <w:rsid w:val="005360FE"/>
    <w:rsid w:val="00536D26"/>
    <w:rsid w:val="00537B8A"/>
    <w:rsid w:val="00543D3E"/>
    <w:rsid w:val="00545655"/>
    <w:rsid w:val="0055169B"/>
    <w:rsid w:val="005518E6"/>
    <w:rsid w:val="005543F6"/>
    <w:rsid w:val="00557C31"/>
    <w:rsid w:val="00561E74"/>
    <w:rsid w:val="00565004"/>
    <w:rsid w:val="0056759B"/>
    <w:rsid w:val="005737D6"/>
    <w:rsid w:val="00597B8C"/>
    <w:rsid w:val="005A1184"/>
    <w:rsid w:val="005B23E6"/>
    <w:rsid w:val="005C0509"/>
    <w:rsid w:val="005C5EE9"/>
    <w:rsid w:val="005D387D"/>
    <w:rsid w:val="005F5C15"/>
    <w:rsid w:val="005F6821"/>
    <w:rsid w:val="006065CB"/>
    <w:rsid w:val="0061367E"/>
    <w:rsid w:val="006205BC"/>
    <w:rsid w:val="00623915"/>
    <w:rsid w:val="0063409C"/>
    <w:rsid w:val="00635EE9"/>
    <w:rsid w:val="00640732"/>
    <w:rsid w:val="00646B02"/>
    <w:rsid w:val="00647C1E"/>
    <w:rsid w:val="006572B3"/>
    <w:rsid w:val="006623E3"/>
    <w:rsid w:val="00674E5B"/>
    <w:rsid w:val="006858E2"/>
    <w:rsid w:val="00685CD9"/>
    <w:rsid w:val="006A06AF"/>
    <w:rsid w:val="006A3D48"/>
    <w:rsid w:val="006A59CE"/>
    <w:rsid w:val="006B0261"/>
    <w:rsid w:val="006B1C8B"/>
    <w:rsid w:val="006B7598"/>
    <w:rsid w:val="006C4878"/>
    <w:rsid w:val="006C6E54"/>
    <w:rsid w:val="006D0512"/>
    <w:rsid w:val="006D09EC"/>
    <w:rsid w:val="006E01F8"/>
    <w:rsid w:val="006E4E77"/>
    <w:rsid w:val="006F32C7"/>
    <w:rsid w:val="006F6FF4"/>
    <w:rsid w:val="0070561A"/>
    <w:rsid w:val="007077D2"/>
    <w:rsid w:val="00711A28"/>
    <w:rsid w:val="00721838"/>
    <w:rsid w:val="00721B41"/>
    <w:rsid w:val="00743D8C"/>
    <w:rsid w:val="007470B8"/>
    <w:rsid w:val="00755905"/>
    <w:rsid w:val="00771A0B"/>
    <w:rsid w:val="0078033E"/>
    <w:rsid w:val="00784E7B"/>
    <w:rsid w:val="007910DD"/>
    <w:rsid w:val="00793CC8"/>
    <w:rsid w:val="007963C6"/>
    <w:rsid w:val="007A10B4"/>
    <w:rsid w:val="007A44DE"/>
    <w:rsid w:val="007B5473"/>
    <w:rsid w:val="007B5BE2"/>
    <w:rsid w:val="007C457F"/>
    <w:rsid w:val="007C62F2"/>
    <w:rsid w:val="007D20E0"/>
    <w:rsid w:val="007D2F0B"/>
    <w:rsid w:val="007D723A"/>
    <w:rsid w:val="007E2A39"/>
    <w:rsid w:val="007F2D73"/>
    <w:rsid w:val="007F2FEF"/>
    <w:rsid w:val="008030C0"/>
    <w:rsid w:val="00804FF8"/>
    <w:rsid w:val="00810FF9"/>
    <w:rsid w:val="00814695"/>
    <w:rsid w:val="00815CCD"/>
    <w:rsid w:val="00817FE2"/>
    <w:rsid w:val="00825674"/>
    <w:rsid w:val="00826219"/>
    <w:rsid w:val="00832754"/>
    <w:rsid w:val="008723BC"/>
    <w:rsid w:val="00873284"/>
    <w:rsid w:val="00884BE2"/>
    <w:rsid w:val="008B08CE"/>
    <w:rsid w:val="008B11A2"/>
    <w:rsid w:val="008B4639"/>
    <w:rsid w:val="008C1186"/>
    <w:rsid w:val="008C246B"/>
    <w:rsid w:val="008C2A53"/>
    <w:rsid w:val="008C5290"/>
    <w:rsid w:val="008D5803"/>
    <w:rsid w:val="008E20C0"/>
    <w:rsid w:val="0090038E"/>
    <w:rsid w:val="00900418"/>
    <w:rsid w:val="00903EA2"/>
    <w:rsid w:val="0090468E"/>
    <w:rsid w:val="009126B8"/>
    <w:rsid w:val="0091308B"/>
    <w:rsid w:val="009178F0"/>
    <w:rsid w:val="009238BE"/>
    <w:rsid w:val="009314EA"/>
    <w:rsid w:val="009407F6"/>
    <w:rsid w:val="009450B0"/>
    <w:rsid w:val="009602E4"/>
    <w:rsid w:val="00960CF3"/>
    <w:rsid w:val="00966832"/>
    <w:rsid w:val="00981320"/>
    <w:rsid w:val="00983788"/>
    <w:rsid w:val="0098387C"/>
    <w:rsid w:val="00986514"/>
    <w:rsid w:val="00990077"/>
    <w:rsid w:val="0099105C"/>
    <w:rsid w:val="00992599"/>
    <w:rsid w:val="00992D32"/>
    <w:rsid w:val="009956ED"/>
    <w:rsid w:val="009A2F85"/>
    <w:rsid w:val="009A5B9C"/>
    <w:rsid w:val="009B3C94"/>
    <w:rsid w:val="009D1230"/>
    <w:rsid w:val="009D22A3"/>
    <w:rsid w:val="009D76DA"/>
    <w:rsid w:val="009E0DAF"/>
    <w:rsid w:val="009E1296"/>
    <w:rsid w:val="009E6483"/>
    <w:rsid w:val="009F55E7"/>
    <w:rsid w:val="00A04325"/>
    <w:rsid w:val="00A07775"/>
    <w:rsid w:val="00A13AA0"/>
    <w:rsid w:val="00A45508"/>
    <w:rsid w:val="00A5577F"/>
    <w:rsid w:val="00A60067"/>
    <w:rsid w:val="00A6710F"/>
    <w:rsid w:val="00A82180"/>
    <w:rsid w:val="00A850D6"/>
    <w:rsid w:val="00A97FEB"/>
    <w:rsid w:val="00AA4B64"/>
    <w:rsid w:val="00AC4F09"/>
    <w:rsid w:val="00AC5196"/>
    <w:rsid w:val="00AC67A7"/>
    <w:rsid w:val="00AC7F5A"/>
    <w:rsid w:val="00AD51BD"/>
    <w:rsid w:val="00AE1159"/>
    <w:rsid w:val="00B01CBF"/>
    <w:rsid w:val="00B124D6"/>
    <w:rsid w:val="00B1305F"/>
    <w:rsid w:val="00B21605"/>
    <w:rsid w:val="00B47939"/>
    <w:rsid w:val="00B60846"/>
    <w:rsid w:val="00B6086F"/>
    <w:rsid w:val="00B64500"/>
    <w:rsid w:val="00B70FDC"/>
    <w:rsid w:val="00B71809"/>
    <w:rsid w:val="00B84908"/>
    <w:rsid w:val="00B87EEE"/>
    <w:rsid w:val="00B916F4"/>
    <w:rsid w:val="00B92194"/>
    <w:rsid w:val="00B979DE"/>
    <w:rsid w:val="00BA2718"/>
    <w:rsid w:val="00BB277B"/>
    <w:rsid w:val="00BC47C5"/>
    <w:rsid w:val="00BD5955"/>
    <w:rsid w:val="00BE2B8C"/>
    <w:rsid w:val="00C11B9D"/>
    <w:rsid w:val="00C13B0E"/>
    <w:rsid w:val="00C36293"/>
    <w:rsid w:val="00C705EB"/>
    <w:rsid w:val="00C753E0"/>
    <w:rsid w:val="00C83C75"/>
    <w:rsid w:val="00C9518E"/>
    <w:rsid w:val="00C95D7E"/>
    <w:rsid w:val="00C97AE3"/>
    <w:rsid w:val="00CA3E8F"/>
    <w:rsid w:val="00CA6401"/>
    <w:rsid w:val="00CB1834"/>
    <w:rsid w:val="00CB1D5F"/>
    <w:rsid w:val="00CC0462"/>
    <w:rsid w:val="00CC2DC6"/>
    <w:rsid w:val="00CD66A2"/>
    <w:rsid w:val="00CE5A62"/>
    <w:rsid w:val="00CE5FCE"/>
    <w:rsid w:val="00CE77DA"/>
    <w:rsid w:val="00CF0E82"/>
    <w:rsid w:val="00CF0F62"/>
    <w:rsid w:val="00D0108A"/>
    <w:rsid w:val="00D03DC6"/>
    <w:rsid w:val="00D05F08"/>
    <w:rsid w:val="00D07FCA"/>
    <w:rsid w:val="00D1139C"/>
    <w:rsid w:val="00D15AD2"/>
    <w:rsid w:val="00D162E1"/>
    <w:rsid w:val="00D16F7D"/>
    <w:rsid w:val="00D21C59"/>
    <w:rsid w:val="00D25583"/>
    <w:rsid w:val="00D26796"/>
    <w:rsid w:val="00D31D2B"/>
    <w:rsid w:val="00D36095"/>
    <w:rsid w:val="00D40CA1"/>
    <w:rsid w:val="00D412CC"/>
    <w:rsid w:val="00D44FC9"/>
    <w:rsid w:val="00D50C9A"/>
    <w:rsid w:val="00D51A96"/>
    <w:rsid w:val="00D66D90"/>
    <w:rsid w:val="00D71C94"/>
    <w:rsid w:val="00D72B7E"/>
    <w:rsid w:val="00D73F6A"/>
    <w:rsid w:val="00D823D3"/>
    <w:rsid w:val="00D8731B"/>
    <w:rsid w:val="00DA364B"/>
    <w:rsid w:val="00DA5E3C"/>
    <w:rsid w:val="00DA6335"/>
    <w:rsid w:val="00DB3BF4"/>
    <w:rsid w:val="00DB5211"/>
    <w:rsid w:val="00DC289A"/>
    <w:rsid w:val="00DD2481"/>
    <w:rsid w:val="00DD3D18"/>
    <w:rsid w:val="00DE026B"/>
    <w:rsid w:val="00DE183E"/>
    <w:rsid w:val="00DE2028"/>
    <w:rsid w:val="00DE30D6"/>
    <w:rsid w:val="00DE5B8B"/>
    <w:rsid w:val="00DE7334"/>
    <w:rsid w:val="00DF34A7"/>
    <w:rsid w:val="00DF4AC6"/>
    <w:rsid w:val="00DF4DB9"/>
    <w:rsid w:val="00DF52EA"/>
    <w:rsid w:val="00E04742"/>
    <w:rsid w:val="00E06A10"/>
    <w:rsid w:val="00E13BDA"/>
    <w:rsid w:val="00E13FC4"/>
    <w:rsid w:val="00E1563F"/>
    <w:rsid w:val="00E24A59"/>
    <w:rsid w:val="00E342EC"/>
    <w:rsid w:val="00E34F19"/>
    <w:rsid w:val="00E46C45"/>
    <w:rsid w:val="00E52232"/>
    <w:rsid w:val="00E60C3C"/>
    <w:rsid w:val="00E61561"/>
    <w:rsid w:val="00E62E09"/>
    <w:rsid w:val="00E81EF5"/>
    <w:rsid w:val="00E82399"/>
    <w:rsid w:val="00E959A0"/>
    <w:rsid w:val="00EA053D"/>
    <w:rsid w:val="00EA1A7E"/>
    <w:rsid w:val="00EB20DB"/>
    <w:rsid w:val="00EB3DBD"/>
    <w:rsid w:val="00EC06D9"/>
    <w:rsid w:val="00EC4E77"/>
    <w:rsid w:val="00ED12F0"/>
    <w:rsid w:val="00ED4665"/>
    <w:rsid w:val="00ED73CE"/>
    <w:rsid w:val="00EF1619"/>
    <w:rsid w:val="00EF6575"/>
    <w:rsid w:val="00F044AC"/>
    <w:rsid w:val="00F143AE"/>
    <w:rsid w:val="00F206B8"/>
    <w:rsid w:val="00F23226"/>
    <w:rsid w:val="00F25584"/>
    <w:rsid w:val="00F272F4"/>
    <w:rsid w:val="00F27B82"/>
    <w:rsid w:val="00F34B8B"/>
    <w:rsid w:val="00F42D7D"/>
    <w:rsid w:val="00F527B8"/>
    <w:rsid w:val="00F54BC4"/>
    <w:rsid w:val="00F555E2"/>
    <w:rsid w:val="00F6349A"/>
    <w:rsid w:val="00F73F9B"/>
    <w:rsid w:val="00F84EB3"/>
    <w:rsid w:val="00F85B11"/>
    <w:rsid w:val="00F91DAE"/>
    <w:rsid w:val="00FA20BF"/>
    <w:rsid w:val="00FA3810"/>
    <w:rsid w:val="00FA3EBE"/>
    <w:rsid w:val="00FA5B47"/>
    <w:rsid w:val="00FC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6E905"/>
  <w15:docId w15:val="{9DD425AD-43CA-4E2B-8CDC-4CDFA871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1A0B"/>
    <w:pPr>
      <w:spacing w:after="0" w:line="240" w:lineRule="auto"/>
    </w:pPr>
    <w:rPr>
      <w:rFonts w:ascii="Times New Roman" w:hAnsi="Times New Roman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98387C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B1C8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8387C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8387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8387C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301D4F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01D4F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63409C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63409C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rsid w:val="00CC0462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Naslov1Znak">
    <w:name w:val="Naslov 1 Znak"/>
    <w:basedOn w:val="Privzetapisavaodstavka"/>
    <w:link w:val="Naslov1"/>
    <w:uiPriority w:val="9"/>
    <w:rsid w:val="0098387C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8387C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98387C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rsid w:val="0098387C"/>
    <w:rPr>
      <w:rFonts w:ascii="Times New Roman" w:eastAsiaTheme="majorEastAsia" w:hAnsi="Times New Roman" w:cstheme="majorBidi"/>
      <w:color w:val="243F60" w:themeColor="accent1" w:themeShade="7F"/>
    </w:rPr>
  </w:style>
  <w:style w:type="character" w:customStyle="1" w:styleId="Naslov2Znak">
    <w:name w:val="Naslov 2 Znak"/>
    <w:basedOn w:val="Privzetapisavaodstavka"/>
    <w:link w:val="Naslov2"/>
    <w:uiPriority w:val="9"/>
    <w:rsid w:val="006B1C8B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rsid w:val="00301D4F"/>
    <w:rPr>
      <w:rFonts w:ascii="Times New Roman" w:eastAsiaTheme="majorEastAsia" w:hAnsi="Times New Roman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01D4F"/>
    <w:rPr>
      <w:rFonts w:ascii="Times New Roman" w:eastAsiaTheme="majorEastAsia" w:hAnsi="Times New Roman" w:cstheme="majorBidi"/>
      <w:i/>
      <w:iCs/>
      <w:color w:val="404040" w:themeColor="text1" w:themeTint="BF"/>
    </w:rPr>
  </w:style>
  <w:style w:type="paragraph" w:styleId="Naslov">
    <w:name w:val="Title"/>
    <w:basedOn w:val="Navaden"/>
    <w:next w:val="Navaden"/>
    <w:link w:val="NaslovZnak"/>
    <w:uiPriority w:val="10"/>
    <w:qFormat/>
    <w:rsid w:val="00301D4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01D4F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01D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301D4F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rsid w:val="0063409C"/>
    <w:rPr>
      <w:rFonts w:ascii="Times New Roman" w:eastAsiaTheme="majorEastAsia" w:hAnsi="Times New Roman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63409C"/>
    <w:rPr>
      <w:rFonts w:ascii="Times New Roman" w:eastAsiaTheme="majorEastAsia" w:hAnsi="Times New Roman" w:cstheme="majorBidi"/>
      <w:i/>
      <w:iCs/>
      <w:color w:val="404040" w:themeColor="text1" w:themeTint="BF"/>
      <w:sz w:val="20"/>
      <w:szCs w:val="20"/>
    </w:rPr>
  </w:style>
  <w:style w:type="paragraph" w:styleId="Navadensplet">
    <w:name w:val="Normal (Web)"/>
    <w:basedOn w:val="Navaden"/>
    <w:uiPriority w:val="99"/>
    <w:unhideWhenUsed/>
    <w:rsid w:val="002B43F2"/>
    <w:pPr>
      <w:spacing w:after="135"/>
    </w:pPr>
    <w:rPr>
      <w:rFonts w:eastAsia="Times New Roman"/>
      <w:color w:val="333333"/>
      <w:sz w:val="12"/>
      <w:szCs w:val="12"/>
      <w:lang w:eastAsia="sl-SI"/>
    </w:rPr>
  </w:style>
  <w:style w:type="paragraph" w:customStyle="1" w:styleId="esegmentp1">
    <w:name w:val="esegment_p1"/>
    <w:basedOn w:val="Navaden"/>
    <w:rsid w:val="002B43F2"/>
    <w:pPr>
      <w:spacing w:after="135"/>
      <w:jc w:val="center"/>
    </w:pPr>
    <w:rPr>
      <w:rFonts w:eastAsia="Times New Roman"/>
      <w:color w:val="333333"/>
      <w:sz w:val="12"/>
      <w:szCs w:val="12"/>
      <w:lang w:eastAsia="sl-SI"/>
    </w:rPr>
  </w:style>
  <w:style w:type="paragraph" w:customStyle="1" w:styleId="esegmenth4">
    <w:name w:val="esegment_h4"/>
    <w:basedOn w:val="Navaden"/>
    <w:rsid w:val="002B43F2"/>
    <w:pPr>
      <w:spacing w:after="135"/>
      <w:jc w:val="center"/>
    </w:pPr>
    <w:rPr>
      <w:rFonts w:eastAsia="Times New Roman"/>
      <w:b/>
      <w:bCs/>
      <w:color w:val="333333"/>
      <w:sz w:val="12"/>
      <w:szCs w:val="12"/>
      <w:lang w:eastAsia="sl-SI"/>
    </w:rPr>
  </w:style>
  <w:style w:type="paragraph" w:customStyle="1" w:styleId="esegmentt">
    <w:name w:val="esegment_t"/>
    <w:basedOn w:val="Navaden"/>
    <w:rsid w:val="002B43F2"/>
    <w:pPr>
      <w:spacing w:after="135" w:line="360" w:lineRule="atLeast"/>
      <w:jc w:val="center"/>
    </w:pPr>
    <w:rPr>
      <w:rFonts w:eastAsia="Times New Roman"/>
      <w:b/>
      <w:bCs/>
      <w:color w:val="6B7E9D"/>
      <w:sz w:val="31"/>
      <w:szCs w:val="31"/>
      <w:lang w:eastAsia="sl-SI"/>
    </w:rPr>
  </w:style>
  <w:style w:type="paragraph" w:customStyle="1" w:styleId="esegmentc1">
    <w:name w:val="esegment_c1"/>
    <w:basedOn w:val="Navaden"/>
    <w:rsid w:val="002B43F2"/>
    <w:pPr>
      <w:spacing w:after="135"/>
    </w:pPr>
    <w:rPr>
      <w:rFonts w:eastAsia="Times New Roman"/>
      <w:color w:val="333333"/>
      <w:sz w:val="12"/>
      <w:szCs w:val="12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D40CA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40CA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40CA1"/>
    <w:rPr>
      <w:rFonts w:ascii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40CA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40CA1"/>
    <w:rPr>
      <w:rFonts w:ascii="Times New Roman" w:hAnsi="Times New Roman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0CA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0CA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11A2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A317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A317A"/>
    <w:rPr>
      <w:rFonts w:ascii="Times New Roman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0A317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A317A"/>
    <w:rPr>
      <w:rFonts w:ascii="Times New Roman" w:hAnsi="Times New Roman" w:cs="Times New Roman"/>
    </w:rPr>
  </w:style>
  <w:style w:type="paragraph" w:styleId="Telobesedila2">
    <w:name w:val="Body Text 2"/>
    <w:basedOn w:val="Navaden"/>
    <w:link w:val="Telobesedila2Znak"/>
    <w:rsid w:val="000A2D66"/>
    <w:pPr>
      <w:jc w:val="both"/>
    </w:pPr>
    <w:rPr>
      <w:rFonts w:eastAsia="Times New Roman"/>
      <w:sz w:val="24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0A2D66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3589">
              <w:marLeft w:val="0"/>
              <w:marRight w:val="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94426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2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50A62-1C45-4520-8490-8F6594BA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Banka Slovenije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ban</dc:creator>
  <cp:lastModifiedBy>sandra ban</cp:lastModifiedBy>
  <cp:revision>1</cp:revision>
  <cp:lastPrinted>2018-03-14T08:51:00Z</cp:lastPrinted>
  <dcterms:created xsi:type="dcterms:W3CDTF">2018-03-19T06:23:00Z</dcterms:created>
  <dcterms:modified xsi:type="dcterms:W3CDTF">2018-03-19T06:23:00Z</dcterms:modified>
</cp:coreProperties>
</file>