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3A" w:rsidRDefault="00BD353A" w:rsidP="00BD353A">
      <w:pPr>
        <w:jc w:val="both"/>
        <w:rPr>
          <w:b/>
        </w:rPr>
      </w:pPr>
      <w:bookmarkStart w:id="0" w:name="_GoBack"/>
      <w:bookmarkEnd w:id="0"/>
      <w:r w:rsidRPr="00F71650">
        <w:rPr>
          <w:b/>
        </w:rPr>
        <w:t xml:space="preserve">PRILOGA </w:t>
      </w:r>
      <w:r>
        <w:rPr>
          <w:b/>
        </w:rPr>
        <w:t>3</w:t>
      </w:r>
      <w:r w:rsidRPr="00F71650">
        <w:rPr>
          <w:b/>
        </w:rPr>
        <w:t xml:space="preserve">: </w:t>
      </w:r>
      <w:r>
        <w:rPr>
          <w:b/>
        </w:rPr>
        <w:t xml:space="preserve">OBRAZEC FIN K ZAHTEVI ZA IZDAJO DOVOLJENJA ZA KVALIFICIRAN DELEŽ </w:t>
      </w:r>
    </w:p>
    <w:p w:rsidR="00BD353A" w:rsidRDefault="00BD353A" w:rsidP="00BD353A"/>
    <w:p w:rsidR="00BD353A" w:rsidRPr="00F520B0" w:rsidRDefault="00BD353A" w:rsidP="00BD353A">
      <w:pPr>
        <w:rPr>
          <w:rFonts w:eastAsia="Times New Roman"/>
          <w:b/>
          <w:bCs/>
          <w:color w:val="000000" w:themeColor="text1"/>
          <w:kern w:val="40"/>
          <w:sz w:val="24"/>
          <w:szCs w:val="32"/>
          <w:lang w:eastAsia="sl-SI" w:bidi="sl-SI"/>
        </w:rPr>
      </w:pPr>
      <w:r w:rsidRPr="00F520B0">
        <w:rPr>
          <w:rFonts w:eastAsia="Times New Roman"/>
          <w:b/>
          <w:bCs/>
          <w:color w:val="000000" w:themeColor="text1"/>
          <w:kern w:val="40"/>
          <w:sz w:val="24"/>
          <w:szCs w:val="32"/>
          <w:lang w:eastAsia="sl-SI" w:bidi="sl-SI"/>
        </w:rPr>
        <w:t>Uvodna pojasnila</w:t>
      </w:r>
    </w:p>
    <w:p w:rsidR="00BD353A" w:rsidRPr="00F520B0" w:rsidRDefault="00BD353A" w:rsidP="00BD353A">
      <w:pPr>
        <w:rPr>
          <w:lang w:eastAsia="sl-SI" w:bidi="sl-SI"/>
        </w:rPr>
      </w:pPr>
    </w:p>
    <w:p w:rsidR="00BD353A" w:rsidRPr="00F520B0" w:rsidRDefault="00BD353A" w:rsidP="00BD353A">
      <w:pPr>
        <w:jc w:val="both"/>
        <w:rPr>
          <w:rFonts w:eastAsia="Times New Roman"/>
          <w:kern w:val="19"/>
          <w:sz w:val="20"/>
          <w:szCs w:val="20"/>
          <w:lang w:eastAsia="sl-SI" w:bidi="sl-SI"/>
        </w:rPr>
      </w:pPr>
      <w:r>
        <w:rPr>
          <w:rFonts w:eastAsia="Times New Roman"/>
          <w:kern w:val="19"/>
          <w:sz w:val="20"/>
          <w:szCs w:val="20"/>
          <w:lang w:eastAsia="sl-SI" w:bidi="sl-SI"/>
        </w:rPr>
        <w:t>Podatki</w:t>
      </w:r>
      <w:r w:rsidRPr="00F520B0">
        <w:rPr>
          <w:rFonts w:eastAsia="Times New Roman"/>
          <w:kern w:val="19"/>
          <w:sz w:val="20"/>
          <w:szCs w:val="20"/>
          <w:lang w:eastAsia="sl-SI" w:bidi="sl-SI"/>
        </w:rPr>
        <w:t xml:space="preserve"> v </w:t>
      </w:r>
      <w:r>
        <w:rPr>
          <w:rFonts w:eastAsia="Times New Roman"/>
          <w:kern w:val="19"/>
          <w:sz w:val="20"/>
          <w:szCs w:val="20"/>
          <w:lang w:eastAsia="sl-SI" w:bidi="sl-SI"/>
        </w:rPr>
        <w:t>obrazcu</w:t>
      </w:r>
      <w:r w:rsidRPr="00F520B0">
        <w:rPr>
          <w:rFonts w:eastAsia="Times New Roman"/>
          <w:kern w:val="19"/>
          <w:sz w:val="20"/>
          <w:szCs w:val="20"/>
          <w:lang w:eastAsia="sl-SI" w:bidi="sl-SI"/>
        </w:rPr>
        <w:t xml:space="preserve"> se uporabljajo pri </w:t>
      </w:r>
      <w:r>
        <w:rPr>
          <w:rFonts w:eastAsia="Times New Roman"/>
          <w:kern w:val="19"/>
          <w:sz w:val="20"/>
          <w:szCs w:val="20"/>
          <w:lang w:eastAsia="sl-SI" w:bidi="sl-SI"/>
        </w:rPr>
        <w:t>presoji</w:t>
      </w:r>
      <w:r w:rsidRPr="00F520B0">
        <w:rPr>
          <w:rFonts w:eastAsia="Times New Roman"/>
          <w:kern w:val="19"/>
          <w:sz w:val="20"/>
          <w:szCs w:val="20"/>
          <w:lang w:eastAsia="sl-SI" w:bidi="sl-SI"/>
        </w:rPr>
        <w:t xml:space="preserve"> primernosti </w:t>
      </w:r>
      <w:r>
        <w:rPr>
          <w:rFonts w:eastAsia="Times New Roman"/>
          <w:kern w:val="19"/>
          <w:sz w:val="20"/>
          <w:szCs w:val="20"/>
          <w:lang w:eastAsia="sl-SI" w:bidi="sl-SI"/>
        </w:rPr>
        <w:t>bodočega kvalificiranega imetnika, ki je fizična oseba, z vidika njegove finančne trdnosti.</w:t>
      </w:r>
    </w:p>
    <w:p w:rsidR="00BD353A" w:rsidRPr="00F520B0" w:rsidRDefault="00BD353A" w:rsidP="00BD353A">
      <w:pPr>
        <w:jc w:val="both"/>
        <w:rPr>
          <w:rFonts w:eastAsia="Times New Roman"/>
          <w:kern w:val="19"/>
          <w:sz w:val="20"/>
          <w:szCs w:val="20"/>
          <w:lang w:eastAsia="sl-SI" w:bidi="sl-SI"/>
        </w:rPr>
      </w:pPr>
    </w:p>
    <w:p w:rsidR="00BD353A" w:rsidRPr="00F520B0" w:rsidRDefault="00BD353A" w:rsidP="00BD353A">
      <w:pPr>
        <w:jc w:val="both"/>
        <w:rPr>
          <w:rFonts w:eastAsia="Times New Roman"/>
          <w:kern w:val="19"/>
          <w:sz w:val="20"/>
          <w:szCs w:val="20"/>
          <w:lang w:eastAsia="sl-SI" w:bidi="sl-SI"/>
        </w:rPr>
      </w:pPr>
      <w:r w:rsidRPr="00F520B0">
        <w:rPr>
          <w:rFonts w:eastAsia="Times New Roman"/>
          <w:kern w:val="19"/>
          <w:sz w:val="20"/>
          <w:szCs w:val="20"/>
          <w:lang w:eastAsia="sl-SI" w:bidi="sl-SI"/>
        </w:rPr>
        <w:t xml:space="preserve">Informacije pridobljene s tem </w:t>
      </w:r>
      <w:r>
        <w:rPr>
          <w:rFonts w:eastAsia="Times New Roman"/>
          <w:kern w:val="19"/>
          <w:sz w:val="20"/>
          <w:szCs w:val="20"/>
          <w:lang w:eastAsia="sl-SI" w:bidi="sl-SI"/>
        </w:rPr>
        <w:t>obrazcem</w:t>
      </w:r>
      <w:r w:rsidRPr="00F520B0">
        <w:rPr>
          <w:rFonts w:eastAsia="Times New Roman"/>
          <w:kern w:val="19"/>
          <w:sz w:val="20"/>
          <w:szCs w:val="20"/>
          <w:lang w:eastAsia="sl-SI" w:bidi="sl-SI"/>
        </w:rPr>
        <w:t xml:space="preserve"> so v skladu s 14. členom Zakona o bančništvu (v nadaljevanju ZBan-2) zaupne in se lahko uporabijo samo za namene določene v 15. členu ZBan-2. Zaupne informacije se lahko posredujejo ali razkrijejo drugim osebam samo pod pogoji določenimi v ZBan-2.</w:t>
      </w:r>
    </w:p>
    <w:p w:rsidR="00BD353A" w:rsidRPr="00F520B0" w:rsidRDefault="00BD353A" w:rsidP="00BD353A">
      <w:pPr>
        <w:jc w:val="both"/>
        <w:rPr>
          <w:rFonts w:eastAsia="Times New Roman"/>
          <w:kern w:val="19"/>
          <w:sz w:val="20"/>
          <w:szCs w:val="20"/>
          <w:lang w:eastAsia="sl-SI" w:bidi="sl-SI"/>
        </w:rPr>
      </w:pPr>
    </w:p>
    <w:p w:rsidR="00BD353A" w:rsidRPr="00F520B0" w:rsidRDefault="00BD353A" w:rsidP="00BD353A">
      <w:pPr>
        <w:jc w:val="both"/>
        <w:rPr>
          <w:sz w:val="20"/>
          <w:szCs w:val="20"/>
          <w:lang w:eastAsia="sl-SI"/>
        </w:rPr>
      </w:pPr>
      <w:r w:rsidRPr="00F520B0">
        <w:rPr>
          <w:rFonts w:eastAsia="Times New Roman"/>
          <w:kern w:val="19"/>
          <w:sz w:val="20"/>
          <w:szCs w:val="20"/>
          <w:lang w:eastAsia="sl-SI" w:bidi="sl-SI"/>
        </w:rPr>
        <w:t>Izjava ECB o varstvu podatkov je objavljena na spletni strani Banke Slovenije</w:t>
      </w:r>
      <w:r w:rsidRPr="00F520B0">
        <w:rPr>
          <w:sz w:val="20"/>
          <w:szCs w:val="20"/>
          <w:vertAlign w:val="superscript"/>
          <w:lang w:eastAsia="sl-SI"/>
        </w:rPr>
        <w:footnoteReference w:id="1"/>
      </w:r>
      <w:r w:rsidRPr="00F520B0">
        <w:rPr>
          <w:sz w:val="20"/>
          <w:szCs w:val="20"/>
          <w:lang w:eastAsia="sl-SI"/>
        </w:rPr>
        <w:t>.</w:t>
      </w:r>
    </w:p>
    <w:p w:rsidR="00BD353A" w:rsidRPr="00F520B0" w:rsidRDefault="00BD353A" w:rsidP="00BD353A">
      <w:pPr>
        <w:jc w:val="both"/>
        <w:rPr>
          <w:sz w:val="20"/>
          <w:szCs w:val="20"/>
          <w:lang w:eastAsia="sl-SI"/>
        </w:rPr>
      </w:pPr>
    </w:p>
    <w:p w:rsidR="00BD353A" w:rsidRDefault="00BD353A" w:rsidP="00BD353A">
      <w:pPr>
        <w:jc w:val="both"/>
        <w:rPr>
          <w:rFonts w:eastAsia="Times New Roman"/>
          <w:kern w:val="19"/>
          <w:sz w:val="20"/>
          <w:szCs w:val="20"/>
          <w:lang w:eastAsia="sl-SI" w:bidi="sl-SI"/>
        </w:rPr>
      </w:pPr>
      <w:r>
        <w:rPr>
          <w:rFonts w:eastAsia="Times New Roman"/>
          <w:kern w:val="19"/>
          <w:sz w:val="20"/>
          <w:szCs w:val="20"/>
          <w:lang w:eastAsia="sl-SI" w:bidi="sl-SI"/>
        </w:rPr>
        <w:t xml:space="preserve">Bodoči kvalificirani imetnik navede vir za vrednost posameznih postavk finančnega položaja </w:t>
      </w:r>
      <w:r w:rsidRPr="00BD353A">
        <w:rPr>
          <w:rFonts w:eastAsia="Times New Roman"/>
          <w:kern w:val="19"/>
          <w:sz w:val="20"/>
          <w:szCs w:val="20"/>
          <w:lang w:eastAsia="sl-SI" w:bidi="sl-SI"/>
        </w:rPr>
        <w:t>(npr. bančni izpisek, zaključni tečaj Ljubljanske borze, lastni model vrednotenja, cenitev neodvisnega cenilca, GURS cenitev, izpis iz sistema SISBON, ipd.). Zavestno ali nepazljivo navedene napačne, nepopolne ali zavajajoče informacije</w:t>
      </w:r>
      <w:r w:rsidRPr="00F520B0">
        <w:rPr>
          <w:rFonts w:eastAsia="Times New Roman"/>
          <w:kern w:val="19"/>
          <w:sz w:val="20"/>
          <w:szCs w:val="20"/>
          <w:lang w:eastAsia="sl-SI" w:bidi="sl-SI"/>
        </w:rPr>
        <w:t xml:space="preserve"> lahko vzbudijo dvom o primernost</w:t>
      </w:r>
      <w:r>
        <w:rPr>
          <w:rFonts w:eastAsia="Times New Roman"/>
          <w:kern w:val="19"/>
          <w:sz w:val="20"/>
          <w:szCs w:val="20"/>
          <w:lang w:eastAsia="sl-SI" w:bidi="sl-SI"/>
        </w:rPr>
        <w:t xml:space="preserve">i </w:t>
      </w:r>
      <w:r w:rsidRPr="00F520B0">
        <w:rPr>
          <w:rFonts w:eastAsia="Times New Roman"/>
          <w:kern w:val="19"/>
          <w:sz w:val="20"/>
          <w:szCs w:val="20"/>
          <w:lang w:eastAsia="sl-SI" w:bidi="sl-SI"/>
        </w:rPr>
        <w:t xml:space="preserve"> </w:t>
      </w:r>
      <w:r>
        <w:rPr>
          <w:rFonts w:eastAsia="Times New Roman"/>
          <w:kern w:val="19"/>
          <w:sz w:val="20"/>
          <w:szCs w:val="20"/>
          <w:lang w:eastAsia="sl-SI" w:bidi="sl-SI"/>
        </w:rPr>
        <w:t>bodočega kvalificiranega imetnika</w:t>
      </w:r>
      <w:r w:rsidRPr="00F520B0">
        <w:rPr>
          <w:rFonts w:eastAsia="Times New Roman"/>
          <w:kern w:val="19"/>
          <w:sz w:val="20"/>
          <w:szCs w:val="20"/>
          <w:lang w:eastAsia="sl-SI" w:bidi="sl-SI"/>
        </w:rPr>
        <w:t>.</w:t>
      </w:r>
    </w:p>
    <w:p w:rsidR="00BD353A" w:rsidRPr="00F520B0" w:rsidRDefault="00BD353A" w:rsidP="00BD353A">
      <w:pPr>
        <w:jc w:val="both"/>
        <w:rPr>
          <w:rFonts w:eastAsia="Times New Roman"/>
          <w:kern w:val="19"/>
          <w:sz w:val="20"/>
          <w:szCs w:val="20"/>
          <w:lang w:eastAsia="sl-SI" w:bidi="sl-SI"/>
        </w:rPr>
      </w:pPr>
    </w:p>
    <w:p w:rsidR="00BD353A" w:rsidRDefault="00BD353A" w:rsidP="00BD353A"/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559"/>
      </w:tblGrid>
      <w:tr w:rsidR="00BD353A" w:rsidTr="00D8509E">
        <w:tc>
          <w:tcPr>
            <w:tcW w:w="4536" w:type="dxa"/>
            <w:vMerge w:val="restart"/>
            <w:vAlign w:val="center"/>
          </w:tcPr>
          <w:p w:rsidR="00BD353A" w:rsidRPr="006A7AE4" w:rsidRDefault="00BD353A" w:rsidP="00D8509E">
            <w:pPr>
              <w:jc w:val="center"/>
              <w:rPr>
                <w:b/>
                <w:sz w:val="20"/>
                <w:szCs w:val="20"/>
              </w:rPr>
            </w:pPr>
            <w:r w:rsidRPr="006A7AE4">
              <w:rPr>
                <w:b/>
                <w:sz w:val="20"/>
                <w:szCs w:val="20"/>
              </w:rPr>
              <w:t>POSTAVKE FINANČNEGA POLOŽAJA</w:t>
            </w:r>
          </w:p>
        </w:tc>
        <w:tc>
          <w:tcPr>
            <w:tcW w:w="4678" w:type="dxa"/>
            <w:gridSpan w:val="3"/>
          </w:tcPr>
          <w:p w:rsidR="00BD353A" w:rsidRPr="004C5F1B" w:rsidRDefault="00BD353A" w:rsidP="00D85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STANJE NA DAN</w:t>
            </w:r>
          </w:p>
        </w:tc>
      </w:tr>
      <w:tr w:rsidR="00BD353A" w:rsidTr="00D8509E">
        <w:tc>
          <w:tcPr>
            <w:tcW w:w="4536" w:type="dxa"/>
            <w:vMerge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353A" w:rsidRPr="004C5F1B" w:rsidRDefault="00BD353A" w:rsidP="00D85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31. 12. </w:t>
            </w:r>
            <w:r w:rsidRPr="004C5F1B">
              <w:rPr>
                <w:b/>
                <w:sz w:val="20"/>
                <w:szCs w:val="20"/>
              </w:rPr>
              <w:t>20xx</w:t>
            </w:r>
          </w:p>
        </w:tc>
        <w:tc>
          <w:tcPr>
            <w:tcW w:w="1559" w:type="dxa"/>
          </w:tcPr>
          <w:p w:rsidR="00BD353A" w:rsidRPr="004C5F1B" w:rsidRDefault="00BD353A" w:rsidP="00D85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31. 12. </w:t>
            </w:r>
            <w:r w:rsidRPr="004C5F1B">
              <w:rPr>
                <w:b/>
                <w:sz w:val="20"/>
                <w:szCs w:val="20"/>
              </w:rPr>
              <w:t>20xx - 1</w:t>
            </w:r>
          </w:p>
        </w:tc>
        <w:tc>
          <w:tcPr>
            <w:tcW w:w="1559" w:type="dxa"/>
          </w:tcPr>
          <w:p w:rsidR="00BD353A" w:rsidRPr="004C5F1B" w:rsidRDefault="00BD353A" w:rsidP="00D85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31. 12. </w:t>
            </w:r>
            <w:r w:rsidRPr="004C5F1B">
              <w:rPr>
                <w:b/>
                <w:sz w:val="20"/>
                <w:szCs w:val="20"/>
              </w:rPr>
              <w:t>20xx - 2</w:t>
            </w: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b/>
                <w:sz w:val="20"/>
                <w:szCs w:val="20"/>
              </w:rPr>
            </w:pPr>
            <w:r w:rsidRPr="004C5F1B">
              <w:rPr>
                <w:b/>
                <w:sz w:val="20"/>
                <w:szCs w:val="20"/>
              </w:rPr>
              <w:t>A. SREDSTVA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1. Denar in denarni ustrezniki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    - tekoči račun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    - varčevalni račun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    - potrdila o vlogah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2. Naložbena sredstva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    - sredstva na računih vrednostnih papirjev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    - sredstva na računih pokojninskih zavarovanj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    - kapitalski deleži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    - nepremičnine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• naložbene nepremičnine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• ostale nepremičnine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C5F1B">
              <w:rPr>
                <w:sz w:val="20"/>
                <w:szCs w:val="20"/>
              </w:rPr>
              <w:t>3. Druga sredstva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Pr="00D20702">
              <w:rPr>
                <w:i/>
                <w:sz w:val="20"/>
                <w:szCs w:val="20"/>
              </w:rPr>
              <w:t xml:space="preserve">- </w:t>
            </w:r>
            <w:r w:rsidRPr="004C5F1B">
              <w:rPr>
                <w:i/>
                <w:sz w:val="20"/>
                <w:szCs w:val="20"/>
              </w:rPr>
              <w:t>prosimo, navedite vrste sredstev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b/>
                <w:sz w:val="20"/>
                <w:szCs w:val="20"/>
              </w:rPr>
            </w:pPr>
            <w:r w:rsidRPr="004C5F1B">
              <w:rPr>
                <w:b/>
                <w:sz w:val="20"/>
                <w:szCs w:val="20"/>
              </w:rPr>
              <w:t>B. OBVEZNOSTI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1. Prejeta kratkoročna posojila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2. Dolgoročne obveznosti 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3. Druge obveznosti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b/>
                <w:sz w:val="20"/>
                <w:szCs w:val="20"/>
              </w:rPr>
            </w:pPr>
            <w:r w:rsidRPr="004C5F1B">
              <w:rPr>
                <w:b/>
                <w:sz w:val="20"/>
                <w:szCs w:val="20"/>
              </w:rPr>
              <w:t>C. ZAVAROVANJA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1. Prejete zastave in jamstva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  <w:r w:rsidRPr="004C5F1B">
              <w:rPr>
                <w:sz w:val="20"/>
                <w:szCs w:val="20"/>
              </w:rPr>
              <w:t xml:space="preserve">    2. Dane zastave in jamstva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b/>
                <w:sz w:val="20"/>
                <w:szCs w:val="20"/>
              </w:rPr>
            </w:pPr>
            <w:r w:rsidRPr="004C5F1B">
              <w:rPr>
                <w:b/>
                <w:sz w:val="20"/>
                <w:szCs w:val="20"/>
              </w:rPr>
              <w:t>D. NETO VREDNOST PREMOŽENJA</w:t>
            </w:r>
          </w:p>
        </w:tc>
        <w:tc>
          <w:tcPr>
            <w:tcW w:w="1560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rPr>
          <w:trHeight w:val="96"/>
        </w:trPr>
        <w:tc>
          <w:tcPr>
            <w:tcW w:w="4536" w:type="dxa"/>
            <w:shd w:val="clear" w:color="auto" w:fill="808080" w:themeFill="background1" w:themeFillShade="80"/>
          </w:tcPr>
          <w:p w:rsidR="00BD353A" w:rsidRPr="004C5F1B" w:rsidRDefault="00BD353A" w:rsidP="00D8509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izpolnitve obrazca</w:t>
            </w:r>
          </w:p>
        </w:tc>
        <w:tc>
          <w:tcPr>
            <w:tcW w:w="4678" w:type="dxa"/>
            <w:gridSpan w:val="3"/>
          </w:tcPr>
          <w:p w:rsidR="00BD353A" w:rsidRPr="004C5F1B" w:rsidRDefault="00BD353A" w:rsidP="00D8509E">
            <w:pPr>
              <w:rPr>
                <w:sz w:val="20"/>
                <w:szCs w:val="20"/>
              </w:rPr>
            </w:pPr>
          </w:p>
        </w:tc>
      </w:tr>
      <w:tr w:rsidR="00BD353A" w:rsidTr="00D8509E">
        <w:tc>
          <w:tcPr>
            <w:tcW w:w="4536" w:type="dxa"/>
          </w:tcPr>
          <w:p w:rsidR="00BD353A" w:rsidRPr="004C5F1B" w:rsidRDefault="00BD353A" w:rsidP="00D8509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bodočega kvalificiranega imetnika*</w:t>
            </w:r>
          </w:p>
        </w:tc>
        <w:tc>
          <w:tcPr>
            <w:tcW w:w="4678" w:type="dxa"/>
            <w:gridSpan w:val="3"/>
          </w:tcPr>
          <w:p w:rsidR="00BD353A" w:rsidRPr="004C5F1B" w:rsidRDefault="00BD353A" w:rsidP="00D8509E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BD353A" w:rsidRDefault="00BD353A" w:rsidP="00BD353A"/>
    <w:p w:rsidR="00BD353A" w:rsidRPr="006A7AE4" w:rsidRDefault="00BD353A" w:rsidP="00BD353A">
      <w:pPr>
        <w:rPr>
          <w:rFonts w:eastAsia="Times New Roman"/>
          <w:kern w:val="19"/>
          <w:sz w:val="20"/>
          <w:szCs w:val="20"/>
          <w:lang w:eastAsia="sl-SI" w:bidi="sl-SI"/>
        </w:rPr>
      </w:pPr>
      <w:r w:rsidRPr="006A7AE4">
        <w:rPr>
          <w:rFonts w:eastAsia="Times New Roman"/>
          <w:kern w:val="19"/>
          <w:sz w:val="20"/>
          <w:szCs w:val="20"/>
          <w:lang w:eastAsia="sl-SI" w:bidi="sl-SI"/>
        </w:rPr>
        <w:t>* S podpisom bodoči kvalificirani imetnik potrjuje, da so v obrazcu navedeni podatki točni in popolni ter Banki Slovenije dovoljuje, da navedbe preveri v uradnih evidencah.</w:t>
      </w:r>
    </w:p>
    <w:p w:rsidR="001A3A71" w:rsidRDefault="001A3A71"/>
    <w:sectPr w:rsidR="001A3A71" w:rsidSect="001A3A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3A" w:rsidRDefault="00BD353A" w:rsidP="00BD353A">
      <w:r>
        <w:separator/>
      </w:r>
    </w:p>
  </w:endnote>
  <w:endnote w:type="continuationSeparator" w:id="0">
    <w:p w:rsidR="00BD353A" w:rsidRDefault="00BD353A" w:rsidP="00B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3A" w:rsidRDefault="00BD353A" w:rsidP="00BD353A">
      <w:r>
        <w:separator/>
      </w:r>
    </w:p>
  </w:footnote>
  <w:footnote w:type="continuationSeparator" w:id="0">
    <w:p w:rsidR="00BD353A" w:rsidRDefault="00BD353A" w:rsidP="00BD353A">
      <w:r>
        <w:continuationSeparator/>
      </w:r>
    </w:p>
  </w:footnote>
  <w:footnote w:id="1">
    <w:p w:rsidR="00BD353A" w:rsidRPr="00152482" w:rsidRDefault="00BD353A" w:rsidP="00BD353A">
      <w:pPr>
        <w:pStyle w:val="Sprotnaopomba-besedilo"/>
      </w:pPr>
      <w:r w:rsidRPr="00152482">
        <w:rPr>
          <w:rStyle w:val="Sprotnaopomba-sklic"/>
          <w:rFonts w:eastAsiaTheme="majorEastAsia"/>
          <w:sz w:val="18"/>
        </w:rPr>
        <w:footnoteRef/>
      </w:r>
      <w:r w:rsidRPr="00152482">
        <w:rPr>
          <w:sz w:val="18"/>
        </w:rPr>
        <w:t xml:space="preserve"> </w:t>
      </w:r>
      <w:hyperlink r:id="rId1" w:history="1">
        <w:r w:rsidRPr="00152482">
          <w:rPr>
            <w:rStyle w:val="Hiperpovezava"/>
            <w:sz w:val="18"/>
          </w:rPr>
          <w:t>http://www.bsi.si/nadzor-bank.asp?MapaId=2087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40" w:rsidRPr="00751940" w:rsidRDefault="00751940" w:rsidP="00751940">
    <w:pPr>
      <w:tabs>
        <w:tab w:val="center" w:pos="4536"/>
        <w:tab w:val="right" w:pos="9072"/>
      </w:tabs>
      <w:rPr>
        <w:lang w:eastAsia="sl-SI"/>
      </w:rPr>
    </w:pPr>
    <w:r w:rsidRPr="00751940">
      <w:rPr>
        <w:lang w:eastAsia="sl-SI"/>
      </w:rPr>
      <w:tab/>
    </w:r>
    <w:r w:rsidRPr="00751940">
      <w:rPr>
        <w:lang w:eastAsia="sl-SI"/>
      </w:rPr>
      <w:tab/>
    </w:r>
    <w:r w:rsidRPr="00751940">
      <w:rPr>
        <w:lang w:eastAsia="sl-SI"/>
      </w:rPr>
      <w:t>ZAUPNO – OSEBNI PODATKI</w:t>
    </w:r>
  </w:p>
  <w:p w:rsidR="009E034F" w:rsidRPr="00867F13" w:rsidRDefault="00751940" w:rsidP="00867F1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53A"/>
    <w:rsid w:val="0005766E"/>
    <w:rsid w:val="00124FAA"/>
    <w:rsid w:val="001430B9"/>
    <w:rsid w:val="0015302F"/>
    <w:rsid w:val="001A3A71"/>
    <w:rsid w:val="001A786F"/>
    <w:rsid w:val="001C598F"/>
    <w:rsid w:val="001D05AB"/>
    <w:rsid w:val="0021267A"/>
    <w:rsid w:val="002A25AE"/>
    <w:rsid w:val="002B460D"/>
    <w:rsid w:val="002C19E4"/>
    <w:rsid w:val="00301D4F"/>
    <w:rsid w:val="00322182"/>
    <w:rsid w:val="00334E00"/>
    <w:rsid w:val="003A4034"/>
    <w:rsid w:val="003C76BA"/>
    <w:rsid w:val="0040205E"/>
    <w:rsid w:val="00444AD7"/>
    <w:rsid w:val="00464CBA"/>
    <w:rsid w:val="004C092D"/>
    <w:rsid w:val="00550A22"/>
    <w:rsid w:val="00565C02"/>
    <w:rsid w:val="0059481D"/>
    <w:rsid w:val="006205BC"/>
    <w:rsid w:val="0063409C"/>
    <w:rsid w:val="00691B05"/>
    <w:rsid w:val="006B1C8B"/>
    <w:rsid w:val="00751940"/>
    <w:rsid w:val="00771A0B"/>
    <w:rsid w:val="007776F1"/>
    <w:rsid w:val="007C62F2"/>
    <w:rsid w:val="00815CCD"/>
    <w:rsid w:val="00823489"/>
    <w:rsid w:val="00981180"/>
    <w:rsid w:val="00982741"/>
    <w:rsid w:val="0098387C"/>
    <w:rsid w:val="009C0805"/>
    <w:rsid w:val="009C5D72"/>
    <w:rsid w:val="00A217C8"/>
    <w:rsid w:val="00A81D4F"/>
    <w:rsid w:val="00B87EEE"/>
    <w:rsid w:val="00B913AB"/>
    <w:rsid w:val="00BA2718"/>
    <w:rsid w:val="00BD353A"/>
    <w:rsid w:val="00C45BFF"/>
    <w:rsid w:val="00CC0462"/>
    <w:rsid w:val="00CC4EFF"/>
    <w:rsid w:val="00D4418C"/>
    <w:rsid w:val="00D8482B"/>
    <w:rsid w:val="00DB65BD"/>
    <w:rsid w:val="00E64685"/>
    <w:rsid w:val="00E77450"/>
    <w:rsid w:val="00E82A7E"/>
    <w:rsid w:val="00EB649E"/>
    <w:rsid w:val="00EF1619"/>
    <w:rsid w:val="00EF6575"/>
    <w:rsid w:val="00F34B8B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2E12-84EF-4B7F-B7B7-4351BD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353A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1"/>
    <w:unhideWhenUsed/>
    <w:qFormat/>
    <w:rsid w:val="00BD353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1"/>
    <w:rsid w:val="00BD353A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1"/>
    <w:unhideWhenUsed/>
    <w:qFormat/>
    <w:rsid w:val="00BD353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D35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353A"/>
    <w:rPr>
      <w:rFonts w:ascii="Times New Roman" w:hAnsi="Times New Roman" w:cs="Times New Roman"/>
    </w:rPr>
  </w:style>
  <w:style w:type="character" w:styleId="Hiperpovezava">
    <w:name w:val="Hyperlink"/>
    <w:qFormat/>
    <w:rsid w:val="00BD353A"/>
    <w:rPr>
      <w:b w:val="0"/>
      <w:color w:val="00B1EA"/>
      <w:u w:val="none"/>
    </w:rPr>
  </w:style>
  <w:style w:type="table" w:styleId="Tabelamrea">
    <w:name w:val="Table Grid"/>
    <w:basedOn w:val="Navadnatabela"/>
    <w:uiPriority w:val="59"/>
    <w:rsid w:val="00BD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519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194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i.si/nadzor-bank.asp?MapaId=20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Janevska Lidija</dc:creator>
  <cp:keywords/>
  <dc:description/>
  <cp:lastModifiedBy>Janevska Lidija</cp:lastModifiedBy>
  <cp:revision>2</cp:revision>
  <dcterms:created xsi:type="dcterms:W3CDTF">2017-09-13T09:26:00Z</dcterms:created>
  <dcterms:modified xsi:type="dcterms:W3CDTF">2017-09-13T09:34:00Z</dcterms:modified>
</cp:coreProperties>
</file>