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DA" w:rsidRDefault="002E50DA" w:rsidP="002E50DA">
      <w:pPr>
        <w:pStyle w:val="Odstavekseznama"/>
        <w:numPr>
          <w:ilvl w:val="0"/>
          <w:numId w:val="25"/>
        </w:numPr>
        <w:ind w:left="284" w:hanging="284"/>
        <w:jc w:val="both"/>
        <w:rPr>
          <w:szCs w:val="24"/>
          <w:lang w:val="en-GB"/>
        </w:rPr>
      </w:pPr>
      <w:r>
        <w:rPr>
          <w:szCs w:val="24"/>
          <w:lang w:val="en-GB"/>
        </w:rPr>
        <w:t xml:space="preserve">Official Gazette of the Republic of Slovenia, No. 66/15 of 14 September 2015 </w:t>
      </w:r>
      <w:r w:rsidR="005C554F">
        <w:rPr>
          <w:szCs w:val="24"/>
          <w:lang w:val="en-GB"/>
        </w:rPr>
        <w:t xml:space="preserve">– basic text </w:t>
      </w:r>
      <w:r>
        <w:rPr>
          <w:szCs w:val="24"/>
          <w:lang w:val="en-GB"/>
        </w:rPr>
        <w:t>(in force since 15 September 2015)</w:t>
      </w:r>
    </w:p>
    <w:p w:rsidR="005C554F" w:rsidRPr="005C554F" w:rsidRDefault="005C554F" w:rsidP="005C554F">
      <w:pPr>
        <w:pStyle w:val="Odstavekseznama"/>
        <w:numPr>
          <w:ilvl w:val="0"/>
          <w:numId w:val="25"/>
        </w:numPr>
        <w:ind w:left="284" w:hanging="284"/>
        <w:jc w:val="both"/>
        <w:rPr>
          <w:szCs w:val="24"/>
          <w:lang w:val="en-GB"/>
        </w:rPr>
      </w:pPr>
      <w:r w:rsidRPr="00BF74B6">
        <w:rPr>
          <w:szCs w:val="24"/>
          <w:highlight w:val="yellow"/>
          <w:lang w:val="en-GB"/>
        </w:rPr>
        <w:t xml:space="preserve">Official Gazette of the Republic of Slovenia, No. </w:t>
      </w:r>
      <w:r>
        <w:rPr>
          <w:szCs w:val="24"/>
          <w:highlight w:val="yellow"/>
          <w:lang w:val="en-GB"/>
        </w:rPr>
        <w:t>68/17 of 1 December 2017</w:t>
      </w:r>
      <w:r w:rsidRPr="00BF74B6">
        <w:rPr>
          <w:szCs w:val="24"/>
          <w:highlight w:val="yellow"/>
          <w:lang w:val="en-GB"/>
        </w:rPr>
        <w:t xml:space="preserve"> – amendment (in force since </w:t>
      </w:r>
      <w:r>
        <w:rPr>
          <w:szCs w:val="24"/>
          <w:highlight w:val="yellow"/>
          <w:lang w:val="en-GB"/>
        </w:rPr>
        <w:t>2 December 2017</w:t>
      </w:r>
      <w:r w:rsidRPr="00BF74B6">
        <w:rPr>
          <w:szCs w:val="24"/>
          <w:highlight w:val="yellow"/>
          <w:lang w:val="en-GB"/>
        </w:rPr>
        <w:t>)</w:t>
      </w:r>
    </w:p>
    <w:p w:rsidR="002E50DA" w:rsidRDefault="002E50DA" w:rsidP="002E50DA">
      <w:pPr>
        <w:pBdr>
          <w:bottom w:val="single" w:sz="4" w:space="1" w:color="auto"/>
        </w:pBdr>
        <w:rPr>
          <w:noProof/>
          <w:lang w:val="en-GB"/>
        </w:rPr>
      </w:pPr>
    </w:p>
    <w:p w:rsidR="001A3A71" w:rsidRDefault="00B6600E" w:rsidP="00B6600E">
      <w:pPr>
        <w:jc w:val="both"/>
      </w:pPr>
      <w:proofErr w:type="gramStart"/>
      <w:r>
        <w:rPr>
          <w:lang w:val="en-GB"/>
        </w:rPr>
        <w:t>Pursuant to the third paragraph of Article 13 of the Banking Act (Official Gazette of the Republic of Slovenia, No. 25/15</w:t>
      </w:r>
      <w:r w:rsidR="005C554F">
        <w:rPr>
          <w:lang w:val="en-GB"/>
        </w:rPr>
        <w:t xml:space="preserve"> </w:t>
      </w:r>
      <w:r w:rsidR="005C554F" w:rsidRPr="005C554F">
        <w:rPr>
          <w:highlight w:val="yellow"/>
          <w:lang w:val="en-GB"/>
        </w:rPr>
        <w:t>and 44/16 – ZRPPB, 77/16 – ZCKR and 41/17</w:t>
      </w:r>
      <w:r>
        <w:rPr>
          <w:lang w:val="en-GB"/>
        </w:rPr>
        <w:t>; hereinafter: the ZBan-2) and the first paragraph of Article 31 of the Bank of Slovenia Act (Official Gazette of the Republic of Slovenia, Nos. 72/06 [official consolidated version]</w:t>
      </w:r>
      <w:r w:rsidR="005C554F">
        <w:rPr>
          <w:lang w:val="en-GB"/>
        </w:rPr>
        <w:t>,</w:t>
      </w:r>
      <w:r>
        <w:rPr>
          <w:lang w:val="en-GB"/>
        </w:rPr>
        <w:t xml:space="preserve"> 59/11</w:t>
      </w:r>
      <w:r w:rsidR="005C554F">
        <w:rPr>
          <w:lang w:val="en-GB"/>
        </w:rPr>
        <w:t xml:space="preserve"> </w:t>
      </w:r>
      <w:r w:rsidR="005C554F" w:rsidRPr="005C554F">
        <w:rPr>
          <w:highlight w:val="yellow"/>
          <w:lang w:val="en-GB"/>
        </w:rPr>
        <w:t>and 55/17</w:t>
      </w:r>
      <w:r>
        <w:rPr>
          <w:lang w:val="en-GB"/>
        </w:rPr>
        <w:t>), the Governing Board of the Bank of Slovenia hereby issues the following</w:t>
      </w:r>
      <w:proofErr w:type="gramEnd"/>
    </w:p>
    <w:p w:rsidR="00B6600E" w:rsidRDefault="00B6600E" w:rsidP="00B6600E">
      <w:pPr>
        <w:jc w:val="both"/>
      </w:pPr>
    </w:p>
    <w:p w:rsidR="00B6600E" w:rsidRDefault="00B6600E"/>
    <w:p w:rsidR="00EA1FBA" w:rsidRPr="000B40AF" w:rsidRDefault="00EA1FBA"/>
    <w:p w:rsidR="00AA21A2" w:rsidRPr="000B40AF" w:rsidRDefault="00B6600E" w:rsidP="001D0FB7">
      <w:pPr>
        <w:jc w:val="center"/>
        <w:rPr>
          <w:b/>
        </w:rPr>
      </w:pPr>
      <w:r>
        <w:rPr>
          <w:b/>
          <w:bCs/>
          <w:lang w:val="en-GB"/>
        </w:rPr>
        <w:t>REGULATION</w:t>
      </w:r>
    </w:p>
    <w:p w:rsidR="001D0FB7" w:rsidRPr="000B40AF" w:rsidRDefault="00B6600E" w:rsidP="001D0FB7">
      <w:pPr>
        <w:pStyle w:val="Default"/>
        <w:jc w:val="center"/>
        <w:rPr>
          <w:rFonts w:ascii="Calibri" w:hAnsi="Calibri" w:cs="Calibri"/>
          <w:sz w:val="22"/>
          <w:szCs w:val="22"/>
        </w:rPr>
      </w:pPr>
      <w:r>
        <w:rPr>
          <w:b/>
          <w:bCs/>
          <w:sz w:val="22"/>
          <w:szCs w:val="22"/>
          <w:lang w:val="en-GB"/>
        </w:rPr>
        <w:t>on the application of the Guidelines on the criteria to determine the conditions of application of Article 131(3) of Directive 2013/36/EU (CRD) in relation to the assessment of other systemically important institutions (O-SIIs)</w:t>
      </w:r>
    </w:p>
    <w:p w:rsidR="00D76FC7" w:rsidRDefault="00D76FC7" w:rsidP="00B6600E">
      <w:pPr>
        <w:jc w:val="center"/>
        <w:rPr>
          <w:b/>
        </w:rPr>
      </w:pPr>
    </w:p>
    <w:p w:rsidR="00C4547D" w:rsidRDefault="00C4547D" w:rsidP="00B6600E">
      <w:pPr>
        <w:jc w:val="center"/>
        <w:rPr>
          <w:b/>
        </w:rPr>
      </w:pPr>
    </w:p>
    <w:p w:rsidR="00EA1FBA" w:rsidRPr="00AA314E" w:rsidRDefault="00EA1FBA" w:rsidP="00B6600E">
      <w:pPr>
        <w:jc w:val="center"/>
        <w:rPr>
          <w:b/>
        </w:rPr>
      </w:pPr>
    </w:p>
    <w:p w:rsidR="00B3295C" w:rsidRDefault="00D76FC7" w:rsidP="00B3295C">
      <w:pPr>
        <w:pStyle w:val="Odstavekseznama"/>
        <w:ind w:left="284"/>
        <w:jc w:val="center"/>
        <w:rPr>
          <w:b/>
        </w:rPr>
      </w:pPr>
      <w:r>
        <w:rPr>
          <w:b/>
          <w:bCs/>
          <w:lang w:val="en-GB"/>
        </w:rPr>
        <w:t>Article 1</w:t>
      </w:r>
    </w:p>
    <w:p w:rsidR="00AA21A2" w:rsidRPr="00B6600E" w:rsidRDefault="00AA21A2" w:rsidP="00D76FC7">
      <w:pPr>
        <w:pStyle w:val="Odstavekseznama"/>
        <w:ind w:left="0"/>
        <w:jc w:val="center"/>
        <w:rPr>
          <w:b/>
        </w:rPr>
      </w:pPr>
      <w:r>
        <w:rPr>
          <w:b/>
          <w:bCs/>
          <w:lang w:val="en-GB"/>
        </w:rPr>
        <w:t>(</w:t>
      </w:r>
      <w:proofErr w:type="gramStart"/>
      <w:r>
        <w:rPr>
          <w:b/>
          <w:bCs/>
          <w:lang w:val="en-GB"/>
        </w:rPr>
        <w:t>purpose</w:t>
      </w:r>
      <w:proofErr w:type="gramEnd"/>
      <w:r>
        <w:rPr>
          <w:b/>
          <w:bCs/>
          <w:lang w:val="en-GB"/>
        </w:rPr>
        <w:t xml:space="preserve"> and field of application</w:t>
      </w:r>
      <w:r w:rsidR="0085690E">
        <w:rPr>
          <w:b/>
          <w:bCs/>
          <w:lang w:val="en-GB"/>
        </w:rPr>
        <w:t xml:space="preserve"> of guidelines</w:t>
      </w:r>
      <w:r>
        <w:rPr>
          <w:b/>
          <w:bCs/>
          <w:lang w:val="en-GB"/>
        </w:rPr>
        <w:t>)</w:t>
      </w:r>
    </w:p>
    <w:p w:rsidR="008B7774" w:rsidRDefault="008B7774"/>
    <w:p w:rsidR="007731A2" w:rsidRDefault="008B7774" w:rsidP="00CF3331">
      <w:pPr>
        <w:pStyle w:val="Odstavekseznama"/>
        <w:numPr>
          <w:ilvl w:val="0"/>
          <w:numId w:val="6"/>
        </w:numPr>
        <w:tabs>
          <w:tab w:val="left" w:pos="426"/>
        </w:tabs>
        <w:ind w:left="0" w:firstLine="0"/>
        <w:jc w:val="both"/>
      </w:pPr>
      <w:r>
        <w:rPr>
          <w:lang w:val="en-GB"/>
        </w:rPr>
        <w:t>Pursuant to the first paragraph of Article 16 of Regulation (EU) No 1093/2010 of the European Parliament and of the Council of 24 November 2010 establishing a European Supervisory Authority (European Banking Authority), amending Decision No 716/2009/EC and repealing Commission Decision 2009/78/EC (OJ L 331 of 15 December 2010, p 12), on 16 December 2014 the European Banking Authority issued the Guidelines on the criteria to determine the conditions of application of Article 131(3) of Directive 2013/36/EU (CRD) in relation to the assessment of other systemically important institutions (O-SIIs) (hereinafter: the guidelines), which are published on its website.</w:t>
      </w:r>
    </w:p>
    <w:p w:rsidR="007731A2" w:rsidRDefault="007731A2" w:rsidP="007731A2">
      <w:pPr>
        <w:pStyle w:val="Odstavekseznama"/>
        <w:tabs>
          <w:tab w:val="left" w:pos="426"/>
        </w:tabs>
        <w:ind w:left="0"/>
        <w:jc w:val="both"/>
      </w:pPr>
    </w:p>
    <w:p w:rsidR="00A24777" w:rsidRDefault="008B7774" w:rsidP="00CF3331">
      <w:pPr>
        <w:pStyle w:val="Odstavekseznama"/>
        <w:numPr>
          <w:ilvl w:val="0"/>
          <w:numId w:val="6"/>
        </w:numPr>
        <w:tabs>
          <w:tab w:val="left" w:pos="426"/>
        </w:tabs>
        <w:ind w:left="0" w:firstLine="0"/>
        <w:jc w:val="both"/>
      </w:pPr>
      <w:r>
        <w:rPr>
          <w:lang w:val="en-GB"/>
        </w:rPr>
        <w:t xml:space="preserve">The guidelines referred to in the first paragraph of this article </w:t>
      </w:r>
      <w:r w:rsidR="00DF76B8">
        <w:rPr>
          <w:lang w:val="en-GB"/>
        </w:rPr>
        <w:t xml:space="preserve">set out </w:t>
      </w:r>
      <w:r>
        <w:rPr>
          <w:lang w:val="en-GB"/>
        </w:rPr>
        <w:t>the criteria in connection with the assessment of other systemically important institutions, and the rules on certain disclosures during the process of the assessment.</w:t>
      </w:r>
    </w:p>
    <w:p w:rsidR="00640C82" w:rsidRDefault="00640C82" w:rsidP="00640C82">
      <w:pPr>
        <w:pStyle w:val="Odstavekseznama"/>
      </w:pPr>
    </w:p>
    <w:p w:rsidR="00640C82" w:rsidRPr="001D5C16" w:rsidRDefault="00640C82" w:rsidP="00CF3331">
      <w:pPr>
        <w:pStyle w:val="Odstavekseznama"/>
        <w:numPr>
          <w:ilvl w:val="0"/>
          <w:numId w:val="6"/>
        </w:numPr>
        <w:tabs>
          <w:tab w:val="left" w:pos="426"/>
        </w:tabs>
        <w:ind w:left="0" w:firstLine="0"/>
        <w:jc w:val="both"/>
      </w:pPr>
      <w:r>
        <w:rPr>
          <w:lang w:val="en-GB"/>
        </w:rPr>
        <w:t>The guidelines apply to authorities designated by Member States pursuant to the first paragraph of Article 131 of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 of 27 June 2013, p 338).</w:t>
      </w:r>
    </w:p>
    <w:p w:rsidR="00BF6468" w:rsidRDefault="00BF6468" w:rsidP="00BF6468">
      <w:pPr>
        <w:pStyle w:val="Odstavekseznama"/>
      </w:pPr>
    </w:p>
    <w:p w:rsidR="00A24777" w:rsidRPr="00A24777" w:rsidRDefault="00A24777" w:rsidP="00A24777">
      <w:pPr>
        <w:pStyle w:val="Odstavekseznama"/>
        <w:tabs>
          <w:tab w:val="left" w:pos="426"/>
        </w:tabs>
        <w:ind w:left="0"/>
        <w:jc w:val="both"/>
        <w:rPr>
          <w:b/>
        </w:rPr>
      </w:pPr>
    </w:p>
    <w:p w:rsidR="00B3295C" w:rsidRDefault="00AA21A2" w:rsidP="00B3295C">
      <w:pPr>
        <w:pStyle w:val="Odstavekseznama"/>
        <w:ind w:left="284"/>
        <w:jc w:val="center"/>
        <w:rPr>
          <w:b/>
        </w:rPr>
      </w:pPr>
      <w:r>
        <w:rPr>
          <w:b/>
          <w:bCs/>
          <w:lang w:val="en-GB"/>
        </w:rPr>
        <w:t>Article 2</w:t>
      </w:r>
    </w:p>
    <w:p w:rsidR="00AA21A2" w:rsidRPr="00B6600E" w:rsidRDefault="00AA21A2" w:rsidP="00D76FC7">
      <w:pPr>
        <w:pStyle w:val="Odstavekseznama"/>
        <w:ind w:left="0"/>
        <w:jc w:val="center"/>
        <w:rPr>
          <w:b/>
        </w:rPr>
      </w:pPr>
      <w:r>
        <w:rPr>
          <w:b/>
          <w:bCs/>
          <w:lang w:val="en-GB"/>
        </w:rPr>
        <w:t>(</w:t>
      </w:r>
      <w:proofErr w:type="gramStart"/>
      <w:r>
        <w:rPr>
          <w:b/>
          <w:bCs/>
          <w:lang w:val="en-GB"/>
        </w:rPr>
        <w:t>content</w:t>
      </w:r>
      <w:proofErr w:type="gramEnd"/>
      <w:r>
        <w:rPr>
          <w:b/>
          <w:bCs/>
          <w:lang w:val="en-GB"/>
        </w:rPr>
        <w:t xml:space="preserve"> of regulation and scope of application of guidelines)</w:t>
      </w:r>
    </w:p>
    <w:p w:rsidR="00CD3AFB" w:rsidRDefault="00CD3AFB" w:rsidP="00CD3AFB">
      <w:pPr>
        <w:pStyle w:val="Odstavekseznama"/>
        <w:tabs>
          <w:tab w:val="left" w:pos="426"/>
        </w:tabs>
        <w:ind w:left="0"/>
        <w:jc w:val="both"/>
      </w:pPr>
    </w:p>
    <w:p w:rsidR="001E0C86" w:rsidRDefault="007540B7" w:rsidP="007540B7">
      <w:pPr>
        <w:tabs>
          <w:tab w:val="left" w:pos="426"/>
        </w:tabs>
        <w:jc w:val="both"/>
      </w:pPr>
      <w:r>
        <w:rPr>
          <w:lang w:val="en-GB"/>
        </w:rPr>
        <w:t>(1) By virtue of this regulation the Bank of Slovenia sets out the application of the guidelines to the Bank of Slovenia, when in its role as the competent authority it is exercising powers and tasks in connection with the definition of other systemically important banks in accordance with the ZBan-2.</w:t>
      </w:r>
    </w:p>
    <w:p w:rsidR="007540B7" w:rsidRDefault="007540B7" w:rsidP="007540B7">
      <w:pPr>
        <w:jc w:val="both"/>
      </w:pPr>
    </w:p>
    <w:p w:rsidR="007540B7" w:rsidRDefault="007540B7" w:rsidP="007540B7">
      <w:pPr>
        <w:jc w:val="both"/>
      </w:pPr>
      <w:proofErr w:type="gramStart"/>
      <w:r>
        <w:rPr>
          <w:lang w:val="en-GB"/>
        </w:rPr>
        <w:t>(2) In exercising its powers and tasks in connection with the definition of other systemically important banks in accordance with the ZBan-2, the Bank of Slovenia shall take full account of the provisions of the guidelines</w:t>
      </w:r>
      <w:r w:rsidR="005C554F">
        <w:rPr>
          <w:lang w:val="en-GB"/>
        </w:rPr>
        <w:t xml:space="preserve"> </w:t>
      </w:r>
      <w:r w:rsidR="0069588A" w:rsidRPr="00814D3D">
        <w:rPr>
          <w:highlight w:val="yellow"/>
          <w:lang w:val="en-GB"/>
        </w:rPr>
        <w:t xml:space="preserve">with the exception of point </w:t>
      </w:r>
      <w:r w:rsidR="005C554F" w:rsidRPr="00814D3D">
        <w:rPr>
          <w:highlight w:val="yellow"/>
          <w:lang w:val="en-GB"/>
        </w:rPr>
        <w:t xml:space="preserve">9, where the </w:t>
      </w:r>
      <w:r w:rsidR="0069588A" w:rsidRPr="00814D3D">
        <w:rPr>
          <w:highlight w:val="yellow"/>
          <w:lang w:val="en-GB"/>
        </w:rPr>
        <w:t>upper threshold of 500 basis points is used instead of the threshold of 425 basis points for the designation of O-SIIs</w:t>
      </w:r>
      <w:r>
        <w:rPr>
          <w:lang w:val="en-GB"/>
        </w:rPr>
        <w:t>.</w:t>
      </w:r>
      <w:proofErr w:type="gramEnd"/>
    </w:p>
    <w:p w:rsidR="00EA1FBA" w:rsidRDefault="00EA1FBA" w:rsidP="00CD3AFB"/>
    <w:p w:rsidR="00EA1FBA" w:rsidRDefault="00EA1FBA" w:rsidP="00CD3AFB"/>
    <w:p w:rsidR="00B3295C" w:rsidRDefault="00B6600E" w:rsidP="00B3295C">
      <w:pPr>
        <w:pStyle w:val="Odstavekseznama"/>
        <w:ind w:left="284"/>
        <w:jc w:val="center"/>
        <w:rPr>
          <w:b/>
        </w:rPr>
      </w:pPr>
      <w:r>
        <w:rPr>
          <w:b/>
          <w:bCs/>
          <w:lang w:val="en-GB"/>
        </w:rPr>
        <w:t>Article 3</w:t>
      </w:r>
    </w:p>
    <w:p w:rsidR="00B6317A" w:rsidRPr="00B6600E" w:rsidRDefault="00B6317A" w:rsidP="00B6317A">
      <w:pPr>
        <w:pStyle w:val="Odstavekseznama"/>
        <w:ind w:left="0"/>
        <w:jc w:val="center"/>
        <w:rPr>
          <w:b/>
        </w:rPr>
      </w:pPr>
      <w:r>
        <w:rPr>
          <w:b/>
          <w:bCs/>
          <w:lang w:val="en-GB"/>
        </w:rPr>
        <w:t>(</w:t>
      </w:r>
      <w:proofErr w:type="gramStart"/>
      <w:r>
        <w:rPr>
          <w:b/>
          <w:bCs/>
          <w:lang w:val="en-GB"/>
        </w:rPr>
        <w:t>entry</w:t>
      </w:r>
      <w:proofErr w:type="gramEnd"/>
      <w:r>
        <w:rPr>
          <w:b/>
          <w:bCs/>
          <w:lang w:val="en-GB"/>
        </w:rPr>
        <w:t xml:space="preserve"> into force)</w:t>
      </w:r>
    </w:p>
    <w:p w:rsidR="00B6600E" w:rsidRDefault="00EA1FBA" w:rsidP="00EA1FBA">
      <w:pPr>
        <w:tabs>
          <w:tab w:val="left" w:pos="3768"/>
        </w:tabs>
      </w:pPr>
      <w:r>
        <w:tab/>
      </w:r>
    </w:p>
    <w:p w:rsidR="00B6600E" w:rsidRDefault="00B6600E" w:rsidP="00B6317A">
      <w:pPr>
        <w:tabs>
          <w:tab w:val="left" w:pos="426"/>
        </w:tabs>
      </w:pPr>
      <w:r>
        <w:rPr>
          <w:lang w:val="en-GB"/>
        </w:rPr>
        <w:t>This regulation shall enter into force on the day after its publication in the Official Gazette of the Republic of Slovenia.</w:t>
      </w:r>
    </w:p>
    <w:p w:rsidR="00B6600E" w:rsidRDefault="00B6600E" w:rsidP="00B6600E"/>
    <w:p w:rsidR="00B6600E" w:rsidRDefault="00B6600E" w:rsidP="00B6600E"/>
    <w:p w:rsidR="00B6600E" w:rsidRDefault="00B6600E" w:rsidP="00B6600E">
      <w:r>
        <w:rPr>
          <w:lang w:val="en-GB"/>
        </w:rPr>
        <w:t>Ljubljana, 8 September 2015</w:t>
      </w:r>
    </w:p>
    <w:p w:rsidR="00B6600E" w:rsidRDefault="00B6600E" w:rsidP="00B6600E">
      <w:r>
        <w:rPr>
          <w:lang w:val="en-GB"/>
        </w:rPr>
        <w:t xml:space="preserve"> </w:t>
      </w:r>
    </w:p>
    <w:p w:rsidR="00B6600E" w:rsidRDefault="00B6600E" w:rsidP="00B6600E">
      <w:pPr>
        <w:ind w:left="6379"/>
      </w:pPr>
      <w:r>
        <w:rPr>
          <w:lang w:val="en-GB"/>
        </w:rPr>
        <w:t xml:space="preserve">     Boštjan Jazbec</w:t>
      </w:r>
    </w:p>
    <w:p w:rsidR="00B6600E" w:rsidRDefault="00AC6279" w:rsidP="00B6600E">
      <w:pPr>
        <w:ind w:left="6379"/>
      </w:pPr>
      <w:r>
        <w:rPr>
          <w:lang w:val="en-GB"/>
        </w:rPr>
        <w:t xml:space="preserve">         President, </w:t>
      </w:r>
    </w:p>
    <w:p w:rsidR="00B6600E" w:rsidRDefault="00BF08C3" w:rsidP="00EA1FBA">
      <w:pPr>
        <w:ind w:left="5670"/>
        <w:jc w:val="center"/>
        <w:rPr>
          <w:lang w:val="en-GB"/>
        </w:rPr>
      </w:pPr>
      <w:r>
        <w:rPr>
          <w:lang w:val="en-GB"/>
        </w:rPr>
        <w:t>Governing Board of the Bank of Slovenia</w:t>
      </w:r>
    </w:p>
    <w:p w:rsidR="005C554F" w:rsidRDefault="005C554F" w:rsidP="00EA1FBA">
      <w:pPr>
        <w:ind w:left="5670"/>
        <w:jc w:val="center"/>
        <w:rPr>
          <w:lang w:val="en-GB"/>
        </w:rPr>
      </w:pPr>
    </w:p>
    <w:p w:rsidR="005C554F" w:rsidRPr="00BF74B6" w:rsidRDefault="005C554F" w:rsidP="005C554F">
      <w:pPr>
        <w:pBdr>
          <w:bottom w:val="single" w:sz="4" w:space="1" w:color="auto"/>
        </w:pBdr>
        <w:rPr>
          <w:noProof/>
        </w:rPr>
      </w:pPr>
    </w:p>
    <w:p w:rsidR="005C554F" w:rsidRPr="00BF74B6" w:rsidRDefault="005C554F" w:rsidP="005C554F">
      <w:pPr>
        <w:rPr>
          <w:noProof/>
        </w:rPr>
      </w:pPr>
    </w:p>
    <w:p w:rsidR="005C554F" w:rsidRPr="005C554F" w:rsidRDefault="005C554F" w:rsidP="005C554F">
      <w:pPr>
        <w:autoSpaceDE w:val="0"/>
        <w:autoSpaceDN w:val="0"/>
        <w:adjustRightInd w:val="0"/>
        <w:jc w:val="both"/>
        <w:rPr>
          <w:color w:val="000000"/>
          <w:highlight w:val="yellow"/>
        </w:rPr>
      </w:pPr>
      <w:proofErr w:type="spellStart"/>
      <w:r w:rsidRPr="005C554F">
        <w:rPr>
          <w:b/>
          <w:bCs/>
          <w:color w:val="000000"/>
          <w:highlight w:val="yellow"/>
        </w:rPr>
        <w:t>The</w:t>
      </w:r>
      <w:proofErr w:type="spellEnd"/>
      <w:r w:rsidRPr="005C554F">
        <w:rPr>
          <w:b/>
          <w:bCs/>
          <w:color w:val="000000"/>
          <w:highlight w:val="yellow"/>
        </w:rPr>
        <w:t xml:space="preserve"> </w:t>
      </w:r>
      <w:proofErr w:type="spellStart"/>
      <w:r w:rsidRPr="005C554F">
        <w:rPr>
          <w:b/>
          <w:bCs/>
          <w:color w:val="000000"/>
          <w:highlight w:val="yellow"/>
        </w:rPr>
        <w:t>Regulation</w:t>
      </w:r>
      <w:proofErr w:type="spellEnd"/>
      <w:r w:rsidRPr="005C554F">
        <w:rPr>
          <w:b/>
          <w:bCs/>
          <w:color w:val="000000"/>
          <w:highlight w:val="yellow"/>
        </w:rPr>
        <w:t xml:space="preserve"> </w:t>
      </w:r>
      <w:proofErr w:type="spellStart"/>
      <w:r w:rsidRPr="005C554F">
        <w:rPr>
          <w:b/>
          <w:bCs/>
          <w:color w:val="000000"/>
          <w:highlight w:val="yellow"/>
        </w:rPr>
        <w:t>amending</w:t>
      </w:r>
      <w:proofErr w:type="spellEnd"/>
      <w:r w:rsidRPr="005C554F">
        <w:rPr>
          <w:b/>
          <w:bCs/>
          <w:color w:val="000000"/>
          <w:highlight w:val="yellow"/>
        </w:rPr>
        <w:t xml:space="preserve"> </w:t>
      </w:r>
      <w:proofErr w:type="spellStart"/>
      <w:r w:rsidRPr="005C554F">
        <w:rPr>
          <w:b/>
          <w:bCs/>
          <w:color w:val="000000"/>
          <w:highlight w:val="yellow"/>
        </w:rPr>
        <w:t>the</w:t>
      </w:r>
      <w:proofErr w:type="spellEnd"/>
      <w:r w:rsidRPr="005C554F">
        <w:rPr>
          <w:b/>
          <w:bCs/>
          <w:color w:val="000000"/>
          <w:highlight w:val="yellow"/>
        </w:rPr>
        <w:t xml:space="preserve"> </w:t>
      </w:r>
      <w:proofErr w:type="spellStart"/>
      <w:r w:rsidRPr="005C554F">
        <w:rPr>
          <w:b/>
          <w:bCs/>
          <w:color w:val="000000"/>
          <w:highlight w:val="yellow"/>
        </w:rPr>
        <w:t>Regulation</w:t>
      </w:r>
      <w:proofErr w:type="spellEnd"/>
      <w:r w:rsidRPr="005C554F">
        <w:rPr>
          <w:b/>
          <w:bCs/>
          <w:color w:val="000000"/>
          <w:highlight w:val="yellow"/>
        </w:rPr>
        <w:t xml:space="preserve"> on  </w:t>
      </w:r>
      <w:r w:rsidRPr="005C554F">
        <w:rPr>
          <w:b/>
          <w:bCs/>
          <w:highlight w:val="yellow"/>
          <w:lang w:val="en-GB"/>
        </w:rPr>
        <w:t>the application of the Guidelines on the criteria to determine the conditions of application of Article 131(3) of Directive 2013/36/EU (CRD) in relation to the assessment of other systemically important institutions (O-SIIs)</w:t>
      </w:r>
      <w:r w:rsidRPr="005C554F">
        <w:rPr>
          <w:color w:val="000000"/>
          <w:highlight w:val="yellow"/>
        </w:rPr>
        <w:t xml:space="preserve"> (</w:t>
      </w:r>
      <w:proofErr w:type="spellStart"/>
      <w:r w:rsidRPr="005C554F">
        <w:rPr>
          <w:color w:val="000000"/>
          <w:highlight w:val="yellow"/>
        </w:rPr>
        <w:t>Official</w:t>
      </w:r>
      <w:proofErr w:type="spellEnd"/>
      <w:r w:rsidRPr="005C554F">
        <w:rPr>
          <w:color w:val="000000"/>
          <w:highlight w:val="yellow"/>
        </w:rPr>
        <w:t xml:space="preserve"> </w:t>
      </w:r>
      <w:proofErr w:type="spellStart"/>
      <w:r w:rsidRPr="005C554F">
        <w:rPr>
          <w:color w:val="000000"/>
          <w:highlight w:val="yellow"/>
        </w:rPr>
        <w:t>Gazette</w:t>
      </w:r>
      <w:proofErr w:type="spellEnd"/>
      <w:r w:rsidRPr="005C554F">
        <w:rPr>
          <w:color w:val="000000"/>
          <w:highlight w:val="yellow"/>
        </w:rPr>
        <w:t xml:space="preserve"> </w:t>
      </w:r>
      <w:proofErr w:type="spellStart"/>
      <w:r w:rsidRPr="005C554F">
        <w:rPr>
          <w:color w:val="000000"/>
          <w:highlight w:val="yellow"/>
        </w:rPr>
        <w:t>of</w:t>
      </w:r>
      <w:proofErr w:type="spellEnd"/>
      <w:r w:rsidRPr="005C554F">
        <w:rPr>
          <w:color w:val="000000"/>
          <w:highlight w:val="yellow"/>
        </w:rPr>
        <w:t xml:space="preserve"> </w:t>
      </w:r>
      <w:proofErr w:type="spellStart"/>
      <w:r w:rsidRPr="005C554F">
        <w:rPr>
          <w:color w:val="000000"/>
          <w:highlight w:val="yellow"/>
        </w:rPr>
        <w:t>the</w:t>
      </w:r>
      <w:proofErr w:type="spellEnd"/>
      <w:r w:rsidRPr="005C554F">
        <w:rPr>
          <w:color w:val="000000"/>
          <w:highlight w:val="yellow"/>
        </w:rPr>
        <w:t xml:space="preserve"> </w:t>
      </w:r>
      <w:proofErr w:type="spellStart"/>
      <w:r w:rsidRPr="005C554F">
        <w:rPr>
          <w:color w:val="000000"/>
          <w:highlight w:val="yellow"/>
        </w:rPr>
        <w:t>Republic</w:t>
      </w:r>
      <w:proofErr w:type="spellEnd"/>
      <w:r w:rsidRPr="005C554F">
        <w:rPr>
          <w:color w:val="000000"/>
          <w:highlight w:val="yellow"/>
        </w:rPr>
        <w:t xml:space="preserve"> </w:t>
      </w:r>
      <w:proofErr w:type="spellStart"/>
      <w:r w:rsidRPr="005C554F">
        <w:rPr>
          <w:color w:val="000000"/>
          <w:highlight w:val="yellow"/>
        </w:rPr>
        <w:t>of</w:t>
      </w:r>
      <w:proofErr w:type="spellEnd"/>
      <w:r w:rsidRPr="005C554F">
        <w:rPr>
          <w:color w:val="000000"/>
          <w:highlight w:val="yellow"/>
        </w:rPr>
        <w:t xml:space="preserve"> </w:t>
      </w:r>
      <w:proofErr w:type="spellStart"/>
      <w:r w:rsidRPr="005C554F">
        <w:rPr>
          <w:color w:val="000000"/>
          <w:highlight w:val="yellow"/>
        </w:rPr>
        <w:t>Slovenia</w:t>
      </w:r>
      <w:proofErr w:type="spellEnd"/>
      <w:r w:rsidRPr="005C554F">
        <w:rPr>
          <w:color w:val="000000"/>
          <w:highlight w:val="yellow"/>
        </w:rPr>
        <w:t xml:space="preserve">, No. 68/17 </w:t>
      </w:r>
      <w:proofErr w:type="spellStart"/>
      <w:r w:rsidRPr="005C554F">
        <w:rPr>
          <w:color w:val="000000"/>
          <w:highlight w:val="yellow"/>
        </w:rPr>
        <w:t>of</w:t>
      </w:r>
      <w:proofErr w:type="spellEnd"/>
      <w:r w:rsidRPr="005C554F">
        <w:rPr>
          <w:color w:val="000000"/>
          <w:highlight w:val="yellow"/>
        </w:rPr>
        <w:t xml:space="preserve"> 1 December 2017) </w:t>
      </w:r>
      <w:proofErr w:type="spellStart"/>
      <w:r w:rsidRPr="005C554F">
        <w:rPr>
          <w:color w:val="000000"/>
          <w:highlight w:val="yellow"/>
        </w:rPr>
        <w:t>also</w:t>
      </w:r>
      <w:proofErr w:type="spellEnd"/>
      <w:r w:rsidRPr="005C554F">
        <w:rPr>
          <w:color w:val="000000"/>
          <w:highlight w:val="yellow"/>
        </w:rPr>
        <w:t xml:space="preserve"> </w:t>
      </w:r>
      <w:proofErr w:type="spellStart"/>
      <w:r w:rsidRPr="005C554F">
        <w:rPr>
          <w:color w:val="000000"/>
          <w:highlight w:val="yellow"/>
        </w:rPr>
        <w:t>includes</w:t>
      </w:r>
      <w:proofErr w:type="spellEnd"/>
      <w:r w:rsidRPr="005C554F">
        <w:rPr>
          <w:color w:val="000000"/>
          <w:highlight w:val="yellow"/>
        </w:rPr>
        <w:t xml:space="preserve"> </w:t>
      </w:r>
      <w:proofErr w:type="spellStart"/>
      <w:r w:rsidRPr="005C554F">
        <w:rPr>
          <w:color w:val="000000"/>
          <w:highlight w:val="yellow"/>
        </w:rPr>
        <w:t>the</w:t>
      </w:r>
      <w:proofErr w:type="spellEnd"/>
      <w:r w:rsidRPr="005C554F">
        <w:rPr>
          <w:color w:val="000000"/>
          <w:highlight w:val="yellow"/>
        </w:rPr>
        <w:t xml:space="preserve"> </w:t>
      </w:r>
      <w:proofErr w:type="spellStart"/>
      <w:r w:rsidRPr="005C554F">
        <w:rPr>
          <w:color w:val="000000"/>
          <w:highlight w:val="yellow"/>
        </w:rPr>
        <w:t>following</w:t>
      </w:r>
      <w:proofErr w:type="spellEnd"/>
      <w:r w:rsidRPr="005C554F">
        <w:rPr>
          <w:color w:val="000000"/>
          <w:highlight w:val="yellow"/>
        </w:rPr>
        <w:t xml:space="preserve"> </w:t>
      </w:r>
      <w:proofErr w:type="spellStart"/>
      <w:r w:rsidRPr="005C554F">
        <w:rPr>
          <w:color w:val="000000"/>
          <w:highlight w:val="yellow"/>
        </w:rPr>
        <w:t>provision</w:t>
      </w:r>
      <w:proofErr w:type="spellEnd"/>
      <w:r w:rsidRPr="005C554F">
        <w:rPr>
          <w:color w:val="000000"/>
          <w:highlight w:val="yellow"/>
        </w:rPr>
        <w:t xml:space="preserve">: </w:t>
      </w:r>
    </w:p>
    <w:p w:rsidR="005C554F" w:rsidRPr="005C554F" w:rsidRDefault="005C554F" w:rsidP="005C554F">
      <w:pPr>
        <w:autoSpaceDE w:val="0"/>
        <w:autoSpaceDN w:val="0"/>
        <w:adjustRightInd w:val="0"/>
        <w:rPr>
          <w:color w:val="000000"/>
          <w:highlight w:val="yellow"/>
        </w:rPr>
      </w:pPr>
    </w:p>
    <w:p w:rsidR="005C554F" w:rsidRPr="005C554F" w:rsidRDefault="005C554F" w:rsidP="005C554F">
      <w:pPr>
        <w:autoSpaceDE w:val="0"/>
        <w:autoSpaceDN w:val="0"/>
        <w:adjustRightInd w:val="0"/>
        <w:jc w:val="center"/>
        <w:rPr>
          <w:color w:val="000000"/>
          <w:highlight w:val="yellow"/>
        </w:rPr>
      </w:pPr>
      <w:r w:rsidRPr="005C554F">
        <w:rPr>
          <w:color w:val="000000"/>
          <w:highlight w:val="yellow"/>
        </w:rPr>
        <w:t>"</w:t>
      </w:r>
      <w:proofErr w:type="spellStart"/>
      <w:r w:rsidRPr="005C554F">
        <w:rPr>
          <w:color w:val="000000"/>
          <w:highlight w:val="yellow"/>
        </w:rPr>
        <w:t>Article</w:t>
      </w:r>
      <w:proofErr w:type="spellEnd"/>
      <w:r w:rsidRPr="005C554F">
        <w:rPr>
          <w:color w:val="000000"/>
          <w:highlight w:val="yellow"/>
        </w:rPr>
        <w:t xml:space="preserve"> 2</w:t>
      </w:r>
    </w:p>
    <w:p w:rsidR="005C554F" w:rsidRPr="005C554F" w:rsidRDefault="005C554F" w:rsidP="005C554F">
      <w:pPr>
        <w:rPr>
          <w:color w:val="000000"/>
          <w:sz w:val="24"/>
          <w:szCs w:val="24"/>
          <w:highlight w:val="yellow"/>
        </w:rPr>
      </w:pPr>
    </w:p>
    <w:p w:rsidR="005C554F" w:rsidRDefault="005C554F" w:rsidP="005C554F">
      <w:pPr>
        <w:jc w:val="both"/>
        <w:rPr>
          <w:color w:val="000000"/>
        </w:rPr>
      </w:pPr>
      <w:proofErr w:type="spellStart"/>
      <w:r w:rsidRPr="005C554F">
        <w:rPr>
          <w:color w:val="000000"/>
          <w:highlight w:val="yellow"/>
        </w:rPr>
        <w:t>This</w:t>
      </w:r>
      <w:proofErr w:type="spellEnd"/>
      <w:r w:rsidRPr="005C554F">
        <w:rPr>
          <w:color w:val="000000"/>
          <w:highlight w:val="yellow"/>
        </w:rPr>
        <w:t xml:space="preserve"> </w:t>
      </w:r>
      <w:proofErr w:type="spellStart"/>
      <w:r w:rsidRPr="005C554F">
        <w:rPr>
          <w:color w:val="000000"/>
          <w:highlight w:val="yellow"/>
        </w:rPr>
        <w:t>regulation</w:t>
      </w:r>
      <w:proofErr w:type="spellEnd"/>
      <w:r w:rsidRPr="005C554F">
        <w:rPr>
          <w:color w:val="000000"/>
          <w:highlight w:val="yellow"/>
        </w:rPr>
        <w:t xml:space="preserve"> </w:t>
      </w:r>
      <w:proofErr w:type="spellStart"/>
      <w:r w:rsidRPr="005C554F">
        <w:rPr>
          <w:color w:val="000000"/>
          <w:highlight w:val="yellow"/>
        </w:rPr>
        <w:t>shall</w:t>
      </w:r>
      <w:proofErr w:type="spellEnd"/>
      <w:r w:rsidRPr="005C554F">
        <w:rPr>
          <w:color w:val="000000"/>
          <w:highlight w:val="yellow"/>
        </w:rPr>
        <w:t xml:space="preserve"> enter </w:t>
      </w:r>
      <w:proofErr w:type="spellStart"/>
      <w:r w:rsidRPr="005C554F">
        <w:rPr>
          <w:color w:val="000000"/>
          <w:highlight w:val="yellow"/>
        </w:rPr>
        <w:t>into</w:t>
      </w:r>
      <w:proofErr w:type="spellEnd"/>
      <w:r w:rsidRPr="005C554F">
        <w:rPr>
          <w:color w:val="000000"/>
          <w:highlight w:val="yellow"/>
        </w:rPr>
        <w:t xml:space="preserve"> </w:t>
      </w:r>
      <w:proofErr w:type="spellStart"/>
      <w:r w:rsidRPr="005C554F">
        <w:rPr>
          <w:color w:val="000000"/>
          <w:highlight w:val="yellow"/>
        </w:rPr>
        <w:t>force</w:t>
      </w:r>
      <w:proofErr w:type="spellEnd"/>
      <w:r w:rsidRPr="005C554F">
        <w:rPr>
          <w:color w:val="000000"/>
          <w:highlight w:val="yellow"/>
        </w:rPr>
        <w:t xml:space="preserve"> on </w:t>
      </w:r>
      <w:proofErr w:type="spellStart"/>
      <w:r w:rsidRPr="005C554F">
        <w:rPr>
          <w:color w:val="000000"/>
          <w:highlight w:val="yellow"/>
        </w:rPr>
        <w:t>the</w:t>
      </w:r>
      <w:proofErr w:type="spellEnd"/>
      <w:r w:rsidRPr="005C554F">
        <w:rPr>
          <w:color w:val="000000"/>
          <w:highlight w:val="yellow"/>
        </w:rPr>
        <w:t xml:space="preserve"> </w:t>
      </w:r>
      <w:proofErr w:type="spellStart"/>
      <w:r w:rsidRPr="005C554F">
        <w:rPr>
          <w:color w:val="000000"/>
          <w:highlight w:val="yellow"/>
        </w:rPr>
        <w:t>day</w:t>
      </w:r>
      <w:proofErr w:type="spellEnd"/>
      <w:r w:rsidRPr="005C554F">
        <w:rPr>
          <w:color w:val="000000"/>
          <w:highlight w:val="yellow"/>
        </w:rPr>
        <w:t xml:space="preserve"> </w:t>
      </w:r>
      <w:proofErr w:type="spellStart"/>
      <w:r w:rsidRPr="005C554F">
        <w:rPr>
          <w:color w:val="000000"/>
          <w:highlight w:val="yellow"/>
        </w:rPr>
        <w:t>after</w:t>
      </w:r>
      <w:proofErr w:type="spellEnd"/>
      <w:r w:rsidRPr="005C554F">
        <w:rPr>
          <w:color w:val="000000"/>
          <w:highlight w:val="yellow"/>
        </w:rPr>
        <w:t xml:space="preserve"> </w:t>
      </w:r>
      <w:proofErr w:type="spellStart"/>
      <w:r w:rsidRPr="005C554F">
        <w:rPr>
          <w:color w:val="000000"/>
          <w:highlight w:val="yellow"/>
        </w:rPr>
        <w:t>its</w:t>
      </w:r>
      <w:proofErr w:type="spellEnd"/>
      <w:r w:rsidRPr="005C554F">
        <w:rPr>
          <w:color w:val="000000"/>
          <w:highlight w:val="yellow"/>
        </w:rPr>
        <w:t xml:space="preserve"> </w:t>
      </w:r>
      <w:proofErr w:type="spellStart"/>
      <w:r w:rsidRPr="005C554F">
        <w:rPr>
          <w:color w:val="000000"/>
          <w:highlight w:val="yellow"/>
        </w:rPr>
        <w:t>publication</w:t>
      </w:r>
      <w:proofErr w:type="spellEnd"/>
      <w:r w:rsidRPr="005C554F">
        <w:rPr>
          <w:color w:val="000000"/>
          <w:highlight w:val="yellow"/>
        </w:rPr>
        <w:t xml:space="preserve"> in </w:t>
      </w:r>
      <w:proofErr w:type="spellStart"/>
      <w:r w:rsidRPr="005C554F">
        <w:rPr>
          <w:color w:val="000000"/>
          <w:highlight w:val="yellow"/>
        </w:rPr>
        <w:t>the</w:t>
      </w:r>
      <w:proofErr w:type="spellEnd"/>
      <w:r w:rsidRPr="005C554F">
        <w:rPr>
          <w:color w:val="000000"/>
          <w:highlight w:val="yellow"/>
        </w:rPr>
        <w:t xml:space="preserve"> </w:t>
      </w:r>
      <w:proofErr w:type="spellStart"/>
      <w:r w:rsidRPr="005C554F">
        <w:rPr>
          <w:color w:val="000000"/>
          <w:highlight w:val="yellow"/>
        </w:rPr>
        <w:t>Official</w:t>
      </w:r>
      <w:proofErr w:type="spellEnd"/>
      <w:r w:rsidRPr="005C554F">
        <w:rPr>
          <w:color w:val="000000"/>
          <w:highlight w:val="yellow"/>
        </w:rPr>
        <w:t xml:space="preserve"> </w:t>
      </w:r>
      <w:proofErr w:type="spellStart"/>
      <w:r w:rsidRPr="005C554F">
        <w:rPr>
          <w:color w:val="000000"/>
          <w:highlight w:val="yellow"/>
        </w:rPr>
        <w:t>Gazette</w:t>
      </w:r>
      <w:proofErr w:type="spellEnd"/>
      <w:r w:rsidRPr="005C554F">
        <w:rPr>
          <w:color w:val="000000"/>
          <w:highlight w:val="yellow"/>
        </w:rPr>
        <w:t xml:space="preserve"> </w:t>
      </w:r>
      <w:proofErr w:type="spellStart"/>
      <w:r w:rsidRPr="005C554F">
        <w:rPr>
          <w:color w:val="000000"/>
          <w:highlight w:val="yellow"/>
        </w:rPr>
        <w:t>of</w:t>
      </w:r>
      <w:proofErr w:type="spellEnd"/>
      <w:r w:rsidRPr="005C554F">
        <w:rPr>
          <w:color w:val="000000"/>
          <w:highlight w:val="yellow"/>
        </w:rPr>
        <w:t xml:space="preserve"> </w:t>
      </w:r>
      <w:proofErr w:type="spellStart"/>
      <w:r w:rsidRPr="005C554F">
        <w:rPr>
          <w:color w:val="000000"/>
          <w:highlight w:val="yellow"/>
        </w:rPr>
        <w:t>the</w:t>
      </w:r>
      <w:proofErr w:type="spellEnd"/>
      <w:r w:rsidRPr="005C554F">
        <w:rPr>
          <w:color w:val="000000"/>
          <w:highlight w:val="yellow"/>
        </w:rPr>
        <w:t xml:space="preserve"> </w:t>
      </w:r>
      <w:proofErr w:type="spellStart"/>
      <w:r w:rsidRPr="005C554F">
        <w:rPr>
          <w:color w:val="000000"/>
          <w:highlight w:val="yellow"/>
        </w:rPr>
        <w:t>Republic</w:t>
      </w:r>
      <w:proofErr w:type="spellEnd"/>
      <w:r w:rsidRPr="005C554F">
        <w:rPr>
          <w:color w:val="000000"/>
          <w:highlight w:val="yellow"/>
        </w:rPr>
        <w:t xml:space="preserve"> </w:t>
      </w:r>
      <w:proofErr w:type="spellStart"/>
      <w:r w:rsidRPr="005C554F">
        <w:rPr>
          <w:color w:val="000000"/>
          <w:highlight w:val="yellow"/>
        </w:rPr>
        <w:t>of</w:t>
      </w:r>
      <w:proofErr w:type="spellEnd"/>
      <w:r w:rsidRPr="005C554F">
        <w:rPr>
          <w:color w:val="000000"/>
          <w:highlight w:val="yellow"/>
        </w:rPr>
        <w:t xml:space="preserve"> </w:t>
      </w:r>
      <w:proofErr w:type="spellStart"/>
      <w:r w:rsidRPr="005C554F">
        <w:rPr>
          <w:color w:val="000000"/>
          <w:highlight w:val="yellow"/>
        </w:rPr>
        <w:t>Slovenia</w:t>
      </w:r>
      <w:proofErr w:type="spellEnd"/>
      <w:r w:rsidRPr="005C554F">
        <w:rPr>
          <w:color w:val="000000"/>
          <w:highlight w:val="yellow"/>
        </w:rPr>
        <w:t>.".</w:t>
      </w:r>
    </w:p>
    <w:p w:rsidR="005C554F" w:rsidRDefault="005C554F" w:rsidP="005C554F">
      <w:pPr>
        <w:pBdr>
          <w:bottom w:val="single" w:sz="4" w:space="1" w:color="auto"/>
        </w:pBdr>
        <w:rPr>
          <w:color w:val="000000"/>
        </w:rPr>
      </w:pPr>
    </w:p>
    <w:p w:rsidR="005C554F" w:rsidRDefault="005C554F" w:rsidP="005C554F">
      <w:pPr>
        <w:rPr>
          <w:color w:val="000000"/>
        </w:rPr>
      </w:pPr>
    </w:p>
    <w:p w:rsidR="005C554F" w:rsidRPr="000B40AF" w:rsidRDefault="005C554F" w:rsidP="005C554F">
      <w:pPr>
        <w:pStyle w:val="Default"/>
        <w:jc w:val="center"/>
        <w:rPr>
          <w:rFonts w:ascii="Calibri" w:hAnsi="Calibri" w:cs="Calibri"/>
          <w:sz w:val="22"/>
          <w:szCs w:val="22"/>
        </w:rPr>
      </w:pPr>
    </w:p>
    <w:p w:rsidR="005C554F" w:rsidRDefault="005C554F" w:rsidP="005C554F">
      <w:pPr>
        <w:jc w:val="both"/>
      </w:pPr>
    </w:p>
    <w:sectPr w:rsidR="005C554F" w:rsidSect="001A3A7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C6" w:rsidRDefault="007702C6" w:rsidP="00D76FC7">
      <w:r>
        <w:separator/>
      </w:r>
    </w:p>
  </w:endnote>
  <w:endnote w:type="continuationSeparator" w:id="0">
    <w:p w:rsidR="007702C6" w:rsidRDefault="007702C6"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C6" w:rsidRDefault="007702C6" w:rsidP="00D76FC7">
      <w:r>
        <w:separator/>
      </w:r>
    </w:p>
  </w:footnote>
  <w:footnote w:type="continuationSeparator" w:id="0">
    <w:p w:rsidR="007702C6" w:rsidRDefault="007702C6"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41" w:rsidRDefault="00265241" w:rsidP="00265241">
    <w:pPr>
      <w:pStyle w:val="Glava"/>
      <w:jc w:val="center"/>
      <w:rPr>
        <w:b/>
        <w:noProof/>
        <w:lang w:val="en-GB"/>
      </w:rPr>
    </w:pPr>
    <w:r>
      <w:rPr>
        <w:b/>
        <w:noProof/>
        <w:lang w:val="en-GB"/>
      </w:rPr>
      <w:t>THIS TEXT IS UNOFFICIAL TRANSLATION AND MAY NOT BE USED AS A BASIS FOR</w:t>
    </w:r>
  </w:p>
  <w:p w:rsidR="00265241" w:rsidRDefault="00265241" w:rsidP="00265241">
    <w:pPr>
      <w:pStyle w:val="Noga"/>
      <w:tabs>
        <w:tab w:val="left" w:pos="708"/>
      </w:tabs>
      <w:jc w:val="center"/>
      <w:rPr>
        <w:noProof/>
      </w:rPr>
    </w:pPr>
    <w:r>
      <w:rPr>
        <w:b/>
        <w:noProof/>
        <w:lang w:val="en-GB"/>
      </w:rPr>
      <w:t>SOLVING ANY DISPUTE</w:t>
    </w:r>
  </w:p>
  <w:p w:rsidR="006E736A" w:rsidRDefault="006E73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E23778"/>
    <w:multiLevelType w:val="hybridMultilevel"/>
    <w:tmpl w:val="8A9AC588"/>
    <w:lvl w:ilvl="0" w:tplc="2A74F9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9"/>
  </w:num>
  <w:num w:numId="3">
    <w:abstractNumId w:val="17"/>
  </w:num>
  <w:num w:numId="4">
    <w:abstractNumId w:val="18"/>
  </w:num>
  <w:num w:numId="5">
    <w:abstractNumId w:val="8"/>
  </w:num>
  <w:num w:numId="6">
    <w:abstractNumId w:val="24"/>
  </w:num>
  <w:num w:numId="7">
    <w:abstractNumId w:val="4"/>
  </w:num>
  <w:num w:numId="8">
    <w:abstractNumId w:val="7"/>
  </w:num>
  <w:num w:numId="9">
    <w:abstractNumId w:val="6"/>
  </w:num>
  <w:num w:numId="10">
    <w:abstractNumId w:val="2"/>
  </w:num>
  <w:num w:numId="11">
    <w:abstractNumId w:val="15"/>
  </w:num>
  <w:num w:numId="12">
    <w:abstractNumId w:val="20"/>
  </w:num>
  <w:num w:numId="13">
    <w:abstractNumId w:val="13"/>
  </w:num>
  <w:num w:numId="14">
    <w:abstractNumId w:val="0"/>
  </w:num>
  <w:num w:numId="15">
    <w:abstractNumId w:val="11"/>
  </w:num>
  <w:num w:numId="16">
    <w:abstractNumId w:val="9"/>
  </w:num>
  <w:num w:numId="17">
    <w:abstractNumId w:val="10"/>
  </w:num>
  <w:num w:numId="18">
    <w:abstractNumId w:val="14"/>
  </w:num>
  <w:num w:numId="19">
    <w:abstractNumId w:val="3"/>
  </w:num>
  <w:num w:numId="20">
    <w:abstractNumId w:val="16"/>
  </w:num>
  <w:num w:numId="21">
    <w:abstractNumId w:val="22"/>
  </w:num>
  <w:num w:numId="22">
    <w:abstractNumId w:val="5"/>
  </w:num>
  <w:num w:numId="23">
    <w:abstractNumId w:val="1"/>
  </w:num>
  <w:num w:numId="24">
    <w:abstractNumId w:val="2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102EB"/>
    <w:rsid w:val="0007261A"/>
    <w:rsid w:val="000928EF"/>
    <w:rsid w:val="000B40AF"/>
    <w:rsid w:val="000B51B8"/>
    <w:rsid w:val="000C0C4D"/>
    <w:rsid w:val="000D3E8E"/>
    <w:rsid w:val="000D5047"/>
    <w:rsid w:val="000E6A35"/>
    <w:rsid w:val="000F38E4"/>
    <w:rsid w:val="000F50F5"/>
    <w:rsid w:val="000F76F2"/>
    <w:rsid w:val="00112129"/>
    <w:rsid w:val="00124621"/>
    <w:rsid w:val="0015302F"/>
    <w:rsid w:val="00155F89"/>
    <w:rsid w:val="001846AC"/>
    <w:rsid w:val="00184A5F"/>
    <w:rsid w:val="001A2199"/>
    <w:rsid w:val="001A3A71"/>
    <w:rsid w:val="001A62DA"/>
    <w:rsid w:val="001D0FB7"/>
    <w:rsid w:val="001D5C16"/>
    <w:rsid w:val="001E0C86"/>
    <w:rsid w:val="001E27C0"/>
    <w:rsid w:val="001F19C5"/>
    <w:rsid w:val="001F4617"/>
    <w:rsid w:val="00214DA1"/>
    <w:rsid w:val="00223F71"/>
    <w:rsid w:val="00242357"/>
    <w:rsid w:val="00265241"/>
    <w:rsid w:val="00277B6F"/>
    <w:rsid w:val="002E50DA"/>
    <w:rsid w:val="00301D4F"/>
    <w:rsid w:val="00313CE3"/>
    <w:rsid w:val="00317BBC"/>
    <w:rsid w:val="00340EEB"/>
    <w:rsid w:val="00343815"/>
    <w:rsid w:val="00346053"/>
    <w:rsid w:val="003460EE"/>
    <w:rsid w:val="003525A3"/>
    <w:rsid w:val="003635DA"/>
    <w:rsid w:val="00363EA3"/>
    <w:rsid w:val="00366259"/>
    <w:rsid w:val="00372214"/>
    <w:rsid w:val="00376CDE"/>
    <w:rsid w:val="0038602A"/>
    <w:rsid w:val="003C109C"/>
    <w:rsid w:val="003C76BA"/>
    <w:rsid w:val="003F430A"/>
    <w:rsid w:val="0040061F"/>
    <w:rsid w:val="00407FCF"/>
    <w:rsid w:val="00417385"/>
    <w:rsid w:val="004550BB"/>
    <w:rsid w:val="00470DE2"/>
    <w:rsid w:val="00484965"/>
    <w:rsid w:val="0049547A"/>
    <w:rsid w:val="004A160B"/>
    <w:rsid w:val="004B5CF5"/>
    <w:rsid w:val="004C6723"/>
    <w:rsid w:val="004D368F"/>
    <w:rsid w:val="004E2975"/>
    <w:rsid w:val="00532484"/>
    <w:rsid w:val="00552C3D"/>
    <w:rsid w:val="00552CFF"/>
    <w:rsid w:val="0059093D"/>
    <w:rsid w:val="005B164A"/>
    <w:rsid w:val="005C554F"/>
    <w:rsid w:val="005F0AC4"/>
    <w:rsid w:val="005F514C"/>
    <w:rsid w:val="00601F0B"/>
    <w:rsid w:val="00616F6B"/>
    <w:rsid w:val="006205BC"/>
    <w:rsid w:val="0063409C"/>
    <w:rsid w:val="00640C82"/>
    <w:rsid w:val="006440CC"/>
    <w:rsid w:val="00660314"/>
    <w:rsid w:val="00664C04"/>
    <w:rsid w:val="00674FAA"/>
    <w:rsid w:val="006761A7"/>
    <w:rsid w:val="00683D12"/>
    <w:rsid w:val="0069588A"/>
    <w:rsid w:val="006B1C8B"/>
    <w:rsid w:val="006E736A"/>
    <w:rsid w:val="006F5DBB"/>
    <w:rsid w:val="00723998"/>
    <w:rsid w:val="00736BB1"/>
    <w:rsid w:val="0074198B"/>
    <w:rsid w:val="007540B7"/>
    <w:rsid w:val="007550D8"/>
    <w:rsid w:val="007702C6"/>
    <w:rsid w:val="00771A0B"/>
    <w:rsid w:val="007731A2"/>
    <w:rsid w:val="00777434"/>
    <w:rsid w:val="007871E2"/>
    <w:rsid w:val="007A3B0C"/>
    <w:rsid w:val="007A7DD6"/>
    <w:rsid w:val="007B76C6"/>
    <w:rsid w:val="007C62F2"/>
    <w:rsid w:val="007E11D8"/>
    <w:rsid w:val="008009B2"/>
    <w:rsid w:val="00810094"/>
    <w:rsid w:val="00814D3D"/>
    <w:rsid w:val="00815CCD"/>
    <w:rsid w:val="00836DD1"/>
    <w:rsid w:val="0085690E"/>
    <w:rsid w:val="0086279A"/>
    <w:rsid w:val="00874D3A"/>
    <w:rsid w:val="008B7774"/>
    <w:rsid w:val="008C5634"/>
    <w:rsid w:val="008C739C"/>
    <w:rsid w:val="008D5B3E"/>
    <w:rsid w:val="008F61DF"/>
    <w:rsid w:val="00900300"/>
    <w:rsid w:val="00946D83"/>
    <w:rsid w:val="00953D3B"/>
    <w:rsid w:val="00966BFF"/>
    <w:rsid w:val="0098387C"/>
    <w:rsid w:val="00983C71"/>
    <w:rsid w:val="009B298E"/>
    <w:rsid w:val="009D12B1"/>
    <w:rsid w:val="009D4A7D"/>
    <w:rsid w:val="009F2F85"/>
    <w:rsid w:val="009F3BA5"/>
    <w:rsid w:val="00A172BB"/>
    <w:rsid w:val="00A24777"/>
    <w:rsid w:val="00A9050C"/>
    <w:rsid w:val="00A92DF9"/>
    <w:rsid w:val="00A963AB"/>
    <w:rsid w:val="00AA21A2"/>
    <w:rsid w:val="00AA314E"/>
    <w:rsid w:val="00AC6279"/>
    <w:rsid w:val="00AD6AC8"/>
    <w:rsid w:val="00AD7F65"/>
    <w:rsid w:val="00AF5CC1"/>
    <w:rsid w:val="00B1531C"/>
    <w:rsid w:val="00B3295C"/>
    <w:rsid w:val="00B470F9"/>
    <w:rsid w:val="00B541FA"/>
    <w:rsid w:val="00B6317A"/>
    <w:rsid w:val="00B6600E"/>
    <w:rsid w:val="00B87EEE"/>
    <w:rsid w:val="00BA2718"/>
    <w:rsid w:val="00BA4464"/>
    <w:rsid w:val="00BB06CA"/>
    <w:rsid w:val="00BB1A94"/>
    <w:rsid w:val="00BD6662"/>
    <w:rsid w:val="00BE3312"/>
    <w:rsid w:val="00BF08C3"/>
    <w:rsid w:val="00BF1A5B"/>
    <w:rsid w:val="00BF2E1B"/>
    <w:rsid w:val="00BF3556"/>
    <w:rsid w:val="00BF6468"/>
    <w:rsid w:val="00C02273"/>
    <w:rsid w:val="00C0693E"/>
    <w:rsid w:val="00C16DF8"/>
    <w:rsid w:val="00C30D20"/>
    <w:rsid w:val="00C33487"/>
    <w:rsid w:val="00C34708"/>
    <w:rsid w:val="00C41A75"/>
    <w:rsid w:val="00C4547D"/>
    <w:rsid w:val="00C47F81"/>
    <w:rsid w:val="00C63643"/>
    <w:rsid w:val="00C72973"/>
    <w:rsid w:val="00C83F45"/>
    <w:rsid w:val="00C869D6"/>
    <w:rsid w:val="00C9739D"/>
    <w:rsid w:val="00CA756A"/>
    <w:rsid w:val="00CC0462"/>
    <w:rsid w:val="00CD3AFB"/>
    <w:rsid w:val="00CE0798"/>
    <w:rsid w:val="00CE170A"/>
    <w:rsid w:val="00CE5871"/>
    <w:rsid w:val="00CF3331"/>
    <w:rsid w:val="00D0161B"/>
    <w:rsid w:val="00D1362F"/>
    <w:rsid w:val="00D176ED"/>
    <w:rsid w:val="00D521A1"/>
    <w:rsid w:val="00D61CEA"/>
    <w:rsid w:val="00D76FC7"/>
    <w:rsid w:val="00DE4894"/>
    <w:rsid w:val="00DF0AC5"/>
    <w:rsid w:val="00DF76B8"/>
    <w:rsid w:val="00E06966"/>
    <w:rsid w:val="00E32C0E"/>
    <w:rsid w:val="00E4177E"/>
    <w:rsid w:val="00E75150"/>
    <w:rsid w:val="00E85A99"/>
    <w:rsid w:val="00EA0494"/>
    <w:rsid w:val="00EA12C0"/>
    <w:rsid w:val="00EA1FBA"/>
    <w:rsid w:val="00EB51F3"/>
    <w:rsid w:val="00ED063B"/>
    <w:rsid w:val="00ED47C2"/>
    <w:rsid w:val="00EF1619"/>
    <w:rsid w:val="00EF6157"/>
    <w:rsid w:val="00EF6575"/>
    <w:rsid w:val="00F34B8B"/>
    <w:rsid w:val="00F3579B"/>
    <w:rsid w:val="00F369F4"/>
    <w:rsid w:val="00F76ED7"/>
    <w:rsid w:val="00FD7E81"/>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6089F-C9B8-4330-AEA5-84091B6A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semiHidden/>
    <w:unhideWhenUsed/>
    <w:rsid w:val="00D76FC7"/>
    <w:pPr>
      <w:tabs>
        <w:tab w:val="center" w:pos="4536"/>
        <w:tab w:val="right" w:pos="9072"/>
      </w:tabs>
    </w:pPr>
  </w:style>
  <w:style w:type="character" w:customStyle="1" w:styleId="GlavaZnak">
    <w:name w:val="Glava Znak"/>
    <w:basedOn w:val="Privzetapisavaodstavka"/>
    <w:link w:val="Glava"/>
    <w:uiPriority w:val="99"/>
    <w:semiHidden/>
    <w:rsid w:val="00D76FC7"/>
    <w:rPr>
      <w:rFonts w:ascii="Times New Roman" w:hAnsi="Times New Roman" w:cs="Times New Roman"/>
    </w:rPr>
  </w:style>
  <w:style w:type="paragraph" w:styleId="Noga">
    <w:name w:val="footer"/>
    <w:basedOn w:val="Navaden"/>
    <w:link w:val="NogaZnak"/>
    <w:unhideWhenUsed/>
    <w:rsid w:val="00D76FC7"/>
    <w:pPr>
      <w:tabs>
        <w:tab w:val="center" w:pos="4536"/>
        <w:tab w:val="right" w:pos="9072"/>
      </w:tabs>
    </w:pPr>
  </w:style>
  <w:style w:type="character" w:customStyle="1" w:styleId="NogaZnak">
    <w:name w:val="Noga Znak"/>
    <w:basedOn w:val="Privzetapisavaodstavka"/>
    <w:link w:val="Noga"/>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F254-4AC2-4731-8044-830D00415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DEFDC-3711-49B7-B54C-93644012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ACE520-CEED-4784-8776-AB3D70A4AA73}">
  <ds:schemaRefs>
    <ds:schemaRef ds:uri="http://schemas.microsoft.com/sharepoint/v3/contenttype/forms"/>
  </ds:schemaRefs>
</ds:datastoreItem>
</file>

<file path=customXml/itemProps4.xml><?xml version="1.0" encoding="utf-8"?>
<ds:datastoreItem xmlns:ds="http://schemas.openxmlformats.org/officeDocument/2006/customXml" ds:itemID="{0674F1B2-C38A-400E-A7CC-E36B3348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Rubin</dc:creator>
  <cp:lastModifiedBy>sandra ban</cp:lastModifiedBy>
  <cp:revision>1</cp:revision>
  <cp:lastPrinted>2015-09-01T08:32:00Z</cp:lastPrinted>
  <dcterms:created xsi:type="dcterms:W3CDTF">2017-12-08T12:48:00Z</dcterms:created>
  <dcterms:modified xsi:type="dcterms:W3CDTF">2017-12-08T12:48:00Z</dcterms:modified>
</cp:coreProperties>
</file>