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F0C" w:rsidRPr="00F33E42" w:rsidRDefault="00E36F0C" w:rsidP="00E36F0C">
      <w:pPr>
        <w:pStyle w:val="Odstavekseznama"/>
        <w:numPr>
          <w:ilvl w:val="0"/>
          <w:numId w:val="28"/>
        </w:numPr>
        <w:ind w:left="284" w:hanging="284"/>
        <w:jc w:val="both"/>
        <w:rPr>
          <w:szCs w:val="24"/>
          <w:lang w:val="en-GB"/>
        </w:rPr>
      </w:pPr>
      <w:r w:rsidRPr="00F33E42">
        <w:rPr>
          <w:szCs w:val="24"/>
          <w:lang w:val="en-GB"/>
        </w:rPr>
        <w:t xml:space="preserve">Official Gazette of the Republic of Slovenia, No. </w:t>
      </w:r>
      <w:r>
        <w:t xml:space="preserve">12/17 </w:t>
      </w:r>
      <w:r w:rsidRPr="00F33E42">
        <w:rPr>
          <w:szCs w:val="24"/>
          <w:lang w:val="en-GB"/>
        </w:rPr>
        <w:t xml:space="preserve">of </w:t>
      </w:r>
      <w:r>
        <w:rPr>
          <w:szCs w:val="24"/>
          <w:lang w:val="en-GB"/>
        </w:rPr>
        <w:t>10</w:t>
      </w:r>
      <w:r w:rsidRPr="00F33E42">
        <w:rPr>
          <w:szCs w:val="24"/>
          <w:lang w:val="en-GB"/>
        </w:rPr>
        <w:t xml:space="preserve"> </w:t>
      </w:r>
      <w:r>
        <w:rPr>
          <w:szCs w:val="24"/>
          <w:lang w:val="en-GB"/>
        </w:rPr>
        <w:t xml:space="preserve">March </w:t>
      </w:r>
      <w:r w:rsidRPr="00F33E42">
        <w:rPr>
          <w:szCs w:val="24"/>
          <w:lang w:val="en-GB"/>
        </w:rPr>
        <w:t xml:space="preserve">2017 (in force since </w:t>
      </w:r>
      <w:r>
        <w:rPr>
          <w:szCs w:val="24"/>
          <w:lang w:val="en-GB"/>
        </w:rPr>
        <w:t>11</w:t>
      </w:r>
      <w:r w:rsidRPr="00F33E42">
        <w:rPr>
          <w:szCs w:val="24"/>
          <w:lang w:val="en-GB"/>
        </w:rPr>
        <w:t xml:space="preserve"> </w:t>
      </w:r>
      <w:r>
        <w:rPr>
          <w:szCs w:val="24"/>
          <w:lang w:val="en-GB"/>
        </w:rPr>
        <w:t xml:space="preserve">March </w:t>
      </w:r>
      <w:r w:rsidRPr="00F33E42">
        <w:rPr>
          <w:szCs w:val="24"/>
          <w:lang w:val="en-GB"/>
        </w:rPr>
        <w:t>2017)</w:t>
      </w:r>
    </w:p>
    <w:p w:rsidR="00E36F0C" w:rsidRPr="00F33E42" w:rsidRDefault="00E36F0C" w:rsidP="00E36F0C">
      <w:pPr>
        <w:pBdr>
          <w:bottom w:val="single" w:sz="4" w:space="1" w:color="auto"/>
        </w:pBdr>
        <w:rPr>
          <w:noProof/>
          <w:lang w:val="en-GB"/>
        </w:rPr>
      </w:pPr>
    </w:p>
    <w:p w:rsidR="004E416E" w:rsidRDefault="004E416E" w:rsidP="00B6600E">
      <w:pPr>
        <w:jc w:val="both"/>
      </w:pPr>
    </w:p>
    <w:p w:rsidR="001A3A71" w:rsidRDefault="00B6600E" w:rsidP="00B6600E">
      <w:pPr>
        <w:jc w:val="both"/>
      </w:pPr>
      <w:proofErr w:type="gramStart"/>
      <w:r>
        <w:rPr>
          <w:lang w:val="en-GB"/>
        </w:rPr>
        <w:t>Pursuant to Article 83 of the Consumer Credit Act (Official Gazette of the Republic of Slovenia, No. 77/16; hereinafter: the ZPotK-2) and the first paragraph of Article 31 of the Bank of Slovenia Act (Official Gazette of the Republic of Slovenia, Nos. 72/06 [official consolidated version] and 59/11), the Governing Board of the Bank of Slovenia hereby issues the following</w:t>
      </w:r>
      <w:proofErr w:type="gramEnd"/>
    </w:p>
    <w:p w:rsidR="00C2775B" w:rsidRPr="00DD5CAF" w:rsidRDefault="00C2775B"/>
    <w:p w:rsidR="00AA21A2" w:rsidRPr="00DD5CAF" w:rsidRDefault="00B6600E" w:rsidP="00B6600E">
      <w:pPr>
        <w:jc w:val="center"/>
        <w:rPr>
          <w:b/>
        </w:rPr>
      </w:pPr>
      <w:r>
        <w:rPr>
          <w:b/>
          <w:bCs/>
          <w:lang w:val="en-GB"/>
        </w:rPr>
        <w:t xml:space="preserve">REGULATION </w:t>
      </w:r>
    </w:p>
    <w:p w:rsidR="00111869" w:rsidRPr="00DD5CAF" w:rsidRDefault="00B6600E" w:rsidP="00111869">
      <w:pPr>
        <w:autoSpaceDE w:val="0"/>
        <w:autoSpaceDN w:val="0"/>
        <w:adjustRightInd w:val="0"/>
        <w:jc w:val="center"/>
        <w:rPr>
          <w:b/>
        </w:rPr>
      </w:pPr>
      <w:proofErr w:type="gramStart"/>
      <w:r>
        <w:rPr>
          <w:b/>
          <w:bCs/>
          <w:lang w:val="en-GB"/>
        </w:rPr>
        <w:t>on</w:t>
      </w:r>
      <w:proofErr w:type="gramEnd"/>
      <w:r>
        <w:rPr>
          <w:b/>
          <w:bCs/>
          <w:lang w:val="en-GB"/>
        </w:rPr>
        <w:t xml:space="preserve"> the application of the Guidelines on passport notifications for credit intermediaries under the Mortgage Credit Directive</w:t>
      </w:r>
    </w:p>
    <w:p w:rsidR="00C4547D" w:rsidRPr="00DD5CAF" w:rsidRDefault="00C4547D" w:rsidP="00E10478">
      <w:pPr>
        <w:rPr>
          <w:b/>
        </w:rPr>
      </w:pPr>
    </w:p>
    <w:p w:rsidR="00D76FC7" w:rsidRPr="00E36F0C" w:rsidRDefault="00D76FC7" w:rsidP="00E36F0C">
      <w:pPr>
        <w:jc w:val="center"/>
        <w:rPr>
          <w:b/>
        </w:rPr>
      </w:pPr>
      <w:r w:rsidRPr="00E36F0C">
        <w:rPr>
          <w:b/>
          <w:bCs/>
          <w:lang w:val="en-GB"/>
        </w:rPr>
        <w:t>Article 1</w:t>
      </w:r>
    </w:p>
    <w:p w:rsidR="00AA21A2" w:rsidRPr="00DD5CAF" w:rsidRDefault="00AA21A2" w:rsidP="00D76FC7">
      <w:pPr>
        <w:pStyle w:val="Odstavekseznama"/>
        <w:ind w:left="0"/>
        <w:jc w:val="center"/>
        <w:rPr>
          <w:b/>
        </w:rPr>
      </w:pPr>
      <w:r>
        <w:rPr>
          <w:b/>
          <w:bCs/>
          <w:lang w:val="en-GB"/>
        </w:rPr>
        <w:t>(</w:t>
      </w:r>
      <w:proofErr w:type="gramStart"/>
      <w:r>
        <w:rPr>
          <w:b/>
          <w:bCs/>
          <w:lang w:val="en-GB"/>
        </w:rPr>
        <w:t>purpose</w:t>
      </w:r>
      <w:proofErr w:type="gramEnd"/>
      <w:r>
        <w:rPr>
          <w:b/>
          <w:bCs/>
          <w:lang w:val="en-GB"/>
        </w:rPr>
        <w:t xml:space="preserve"> and field of application)</w:t>
      </w:r>
    </w:p>
    <w:p w:rsidR="008B7774" w:rsidRPr="00DD5CAF" w:rsidRDefault="008B7774"/>
    <w:p w:rsidR="00AA21A2" w:rsidRPr="00DD5CAF" w:rsidRDefault="00864C50" w:rsidP="00B74523">
      <w:pPr>
        <w:pStyle w:val="Odstavekseznama"/>
        <w:numPr>
          <w:ilvl w:val="0"/>
          <w:numId w:val="6"/>
        </w:numPr>
        <w:tabs>
          <w:tab w:val="left" w:pos="426"/>
        </w:tabs>
        <w:ind w:left="0" w:firstLine="0"/>
        <w:jc w:val="both"/>
      </w:pPr>
      <w:proofErr w:type="gramStart"/>
      <w:r>
        <w:rPr>
          <w:color w:val="000000"/>
          <w:lang w:val="en-GB"/>
        </w:rPr>
        <w:t>Pursuant to Article 16(1) of Regulation (EU) No 1093/2010 of the European Parliament and of the Council of 24 November 2010 establishing a European Supervisory Authority (European Banking Authority), amending Decision No 716/2009/EC and repealing Commission Decision 2009/78/EC (OJ L 331 of 15 December 2010, p 12; hereinafter: Regulation (EU) No 1093/2010), on 19 October 2015 the European Banking Authority issued the Guidelines on passport notifications for credit intermediaries under the Mortgage Credit Directive (hereinafter: the guidelines), which are published on its website.</w:t>
      </w:r>
      <w:proofErr w:type="gramEnd"/>
      <w:r>
        <w:rPr>
          <w:lang w:val="en-GB"/>
        </w:rPr>
        <w:t xml:space="preserve"> </w:t>
      </w:r>
    </w:p>
    <w:p w:rsidR="00AA21A2" w:rsidRPr="00DD5CAF" w:rsidRDefault="00AA21A2" w:rsidP="00B74523">
      <w:pPr>
        <w:pStyle w:val="Odstavekseznama"/>
        <w:tabs>
          <w:tab w:val="left" w:pos="426"/>
        </w:tabs>
        <w:ind w:left="0"/>
        <w:jc w:val="both"/>
      </w:pPr>
    </w:p>
    <w:p w:rsidR="007C3A5A" w:rsidRDefault="0039062C" w:rsidP="007C3A5A">
      <w:pPr>
        <w:pStyle w:val="Odstavekseznama"/>
        <w:numPr>
          <w:ilvl w:val="0"/>
          <w:numId w:val="6"/>
        </w:numPr>
        <w:tabs>
          <w:tab w:val="left" w:pos="426"/>
        </w:tabs>
        <w:ind w:left="0" w:firstLine="0"/>
        <w:jc w:val="both"/>
      </w:pPr>
      <w:proofErr w:type="gramStart"/>
      <w:r>
        <w:rPr>
          <w:lang w:val="en-GB"/>
        </w:rPr>
        <w:t>The guidelines referred to in the first paragraph of this article deal with the requirement for competent authorities of home Member States to notify the competent authorities of host Member States in relation to credit intermediaries intending to carry out business in another Member State, and the requirements to update the public register for credit intermediaries related to the passport notification.</w:t>
      </w:r>
      <w:proofErr w:type="gramEnd"/>
    </w:p>
    <w:p w:rsidR="00F71AAA" w:rsidRPr="00F71AAA" w:rsidRDefault="00F71AAA" w:rsidP="00B74523">
      <w:pPr>
        <w:autoSpaceDE w:val="0"/>
        <w:autoSpaceDN w:val="0"/>
        <w:adjustRightInd w:val="0"/>
        <w:jc w:val="both"/>
        <w:rPr>
          <w:color w:val="000000"/>
          <w:sz w:val="24"/>
          <w:szCs w:val="24"/>
        </w:rPr>
      </w:pPr>
    </w:p>
    <w:p w:rsidR="00F71AAA" w:rsidRPr="007F241A" w:rsidRDefault="007F241A" w:rsidP="007F241A">
      <w:pPr>
        <w:pStyle w:val="Odstavekseznama"/>
        <w:numPr>
          <w:ilvl w:val="0"/>
          <w:numId w:val="6"/>
        </w:numPr>
        <w:tabs>
          <w:tab w:val="left" w:pos="426"/>
        </w:tabs>
        <w:ind w:left="0" w:firstLine="0"/>
        <w:jc w:val="both"/>
        <w:rPr>
          <w:color w:val="000000"/>
        </w:rPr>
      </w:pPr>
      <w:proofErr w:type="gramStart"/>
      <w:r>
        <w:rPr>
          <w:color w:val="000000"/>
          <w:lang w:val="en-GB"/>
        </w:rPr>
        <w:t>The guidelines apply to competent authorities as defined in Article 4(2) of Regulation (EU) No 1093/2010</w:t>
      </w:r>
      <w:r>
        <w:rPr>
          <w:lang w:val="en-GB"/>
        </w:rPr>
        <w:t xml:space="preserve"> and as defined in point (22) of Article 4 of </w:t>
      </w:r>
      <w:r>
        <w:rPr>
          <w:color w:val="000000"/>
          <w:lang w:val="en-GB"/>
        </w:rPr>
        <w:t>Directive</w:t>
      </w:r>
      <w:r>
        <w:rPr>
          <w:lang w:val="en-GB"/>
        </w:rPr>
        <w:t xml:space="preserve"> 2014/17/EU of the European Parliament and of the Council of 4 February 2014 on credit agreements for consumers relating to residential immovable property and amending Directives 2008/48/EC and 2013/36/EU and Regulation (EU) No 1093/2010 (OJ L 60 of 28 February 2014, p 34).</w:t>
      </w:r>
      <w:proofErr w:type="gramEnd"/>
      <w:r>
        <w:rPr>
          <w:color w:val="000000"/>
          <w:lang w:val="en-GB"/>
        </w:rPr>
        <w:t xml:space="preserve"> </w:t>
      </w:r>
    </w:p>
    <w:p w:rsidR="00F71AAA" w:rsidRPr="00DD5CAF" w:rsidRDefault="00F71AAA" w:rsidP="00330EF7">
      <w:pPr>
        <w:jc w:val="both"/>
      </w:pPr>
    </w:p>
    <w:p w:rsidR="00AA21A2" w:rsidRPr="00E36F0C" w:rsidRDefault="00AA21A2" w:rsidP="00E36F0C">
      <w:pPr>
        <w:jc w:val="center"/>
        <w:rPr>
          <w:b/>
        </w:rPr>
      </w:pPr>
      <w:r w:rsidRPr="00E36F0C">
        <w:rPr>
          <w:b/>
          <w:bCs/>
          <w:lang w:val="en-GB"/>
        </w:rPr>
        <w:t>Article 2</w:t>
      </w:r>
    </w:p>
    <w:p w:rsidR="00AA21A2" w:rsidRPr="00DD5CAF" w:rsidRDefault="00AA21A2" w:rsidP="00D76FC7">
      <w:pPr>
        <w:pStyle w:val="Odstavekseznama"/>
        <w:ind w:left="0"/>
        <w:jc w:val="center"/>
        <w:rPr>
          <w:b/>
        </w:rPr>
      </w:pPr>
      <w:r>
        <w:rPr>
          <w:b/>
          <w:bCs/>
          <w:lang w:val="en-GB"/>
        </w:rPr>
        <w:t>(</w:t>
      </w:r>
      <w:proofErr w:type="gramStart"/>
      <w:r>
        <w:rPr>
          <w:b/>
          <w:bCs/>
          <w:lang w:val="en-GB"/>
        </w:rPr>
        <w:t>content</w:t>
      </w:r>
      <w:proofErr w:type="gramEnd"/>
      <w:r>
        <w:rPr>
          <w:b/>
          <w:bCs/>
          <w:lang w:val="en-GB"/>
        </w:rPr>
        <w:t xml:space="preserve"> of regulation and scope of application of guidelines)</w:t>
      </w:r>
    </w:p>
    <w:p w:rsidR="00F71AAA" w:rsidRPr="00F71AAA" w:rsidRDefault="00F71AAA" w:rsidP="00B74523">
      <w:pPr>
        <w:autoSpaceDE w:val="0"/>
        <w:autoSpaceDN w:val="0"/>
        <w:adjustRightInd w:val="0"/>
        <w:jc w:val="both"/>
        <w:rPr>
          <w:color w:val="000000"/>
          <w:sz w:val="24"/>
          <w:szCs w:val="24"/>
        </w:rPr>
      </w:pPr>
    </w:p>
    <w:p w:rsidR="00763BAD" w:rsidRDefault="007F241A" w:rsidP="00763BAD">
      <w:pPr>
        <w:tabs>
          <w:tab w:val="left" w:pos="426"/>
        </w:tabs>
        <w:jc w:val="both"/>
      </w:pPr>
      <w:proofErr w:type="gramStart"/>
      <w:r>
        <w:rPr>
          <w:color w:val="000000"/>
          <w:lang w:val="en-GB"/>
        </w:rPr>
        <w:t xml:space="preserve">(1) By virtue of this regulation the Bank of Slovenia sets out the application of the guidelines to the Bank of Slovenia, when in its role as the </w:t>
      </w:r>
      <w:r>
        <w:rPr>
          <w:lang w:val="en-GB"/>
        </w:rPr>
        <w:t>competent authority it is exercising supervisory powers and tasks over credit intermediaries in the provision of services of consumer credit intermediation for real estate or advisory services in connection with such credit in accordance with the law governing consumer credit.</w:t>
      </w:r>
      <w:proofErr w:type="gramEnd"/>
    </w:p>
    <w:p w:rsidR="008301BE" w:rsidRDefault="008301BE" w:rsidP="00B74523">
      <w:pPr>
        <w:autoSpaceDE w:val="0"/>
        <w:autoSpaceDN w:val="0"/>
        <w:adjustRightInd w:val="0"/>
        <w:jc w:val="both"/>
        <w:rPr>
          <w:color w:val="000000"/>
        </w:rPr>
      </w:pPr>
    </w:p>
    <w:p w:rsidR="008301BE" w:rsidRDefault="008301BE" w:rsidP="007F241A">
      <w:pPr>
        <w:autoSpaceDE w:val="0"/>
        <w:autoSpaceDN w:val="0"/>
        <w:adjustRightInd w:val="0"/>
        <w:jc w:val="both"/>
        <w:rPr>
          <w:color w:val="000000"/>
          <w:lang w:val="en-GB"/>
        </w:rPr>
      </w:pPr>
      <w:r>
        <w:rPr>
          <w:color w:val="000000"/>
          <w:lang w:val="en-GB"/>
        </w:rPr>
        <w:t>(2) In exercising its supervisory powers and tasks in accordance with the ZPotK-2, the Bank of Slovenia shall take full account of the provisions of the guidelines in the parts relating to the exercise of the powers and tasks of the competent authority.</w:t>
      </w:r>
    </w:p>
    <w:p w:rsidR="00891279" w:rsidRDefault="00891279" w:rsidP="007F241A">
      <w:pPr>
        <w:autoSpaceDE w:val="0"/>
        <w:autoSpaceDN w:val="0"/>
        <w:adjustRightInd w:val="0"/>
        <w:jc w:val="both"/>
        <w:rPr>
          <w:color w:val="000000"/>
          <w:lang w:val="en-GB"/>
        </w:rPr>
      </w:pPr>
    </w:p>
    <w:p w:rsidR="00891279" w:rsidRDefault="00891279" w:rsidP="007F241A">
      <w:pPr>
        <w:autoSpaceDE w:val="0"/>
        <w:autoSpaceDN w:val="0"/>
        <w:adjustRightInd w:val="0"/>
        <w:jc w:val="both"/>
        <w:rPr>
          <w:color w:val="000000"/>
          <w:lang w:val="en-GB"/>
        </w:rPr>
      </w:pPr>
    </w:p>
    <w:p w:rsidR="00891279" w:rsidRDefault="00891279" w:rsidP="007F241A">
      <w:pPr>
        <w:autoSpaceDE w:val="0"/>
        <w:autoSpaceDN w:val="0"/>
        <w:adjustRightInd w:val="0"/>
        <w:jc w:val="both"/>
        <w:rPr>
          <w:color w:val="000000"/>
          <w:lang w:val="en-GB"/>
        </w:rPr>
      </w:pPr>
    </w:p>
    <w:p w:rsidR="00891279" w:rsidRDefault="00891279" w:rsidP="007F241A">
      <w:pPr>
        <w:autoSpaceDE w:val="0"/>
        <w:autoSpaceDN w:val="0"/>
        <w:adjustRightInd w:val="0"/>
        <w:jc w:val="both"/>
        <w:rPr>
          <w:color w:val="000000"/>
          <w:lang w:val="en-GB"/>
        </w:rPr>
      </w:pPr>
    </w:p>
    <w:p w:rsidR="00891279" w:rsidRDefault="00891279" w:rsidP="007F241A">
      <w:pPr>
        <w:autoSpaceDE w:val="0"/>
        <w:autoSpaceDN w:val="0"/>
        <w:adjustRightInd w:val="0"/>
        <w:jc w:val="both"/>
        <w:rPr>
          <w:color w:val="000000"/>
          <w:lang w:val="en-GB"/>
        </w:rPr>
      </w:pPr>
    </w:p>
    <w:p w:rsidR="008301BE" w:rsidRPr="008301BE" w:rsidRDefault="00384FC8" w:rsidP="00384FC8">
      <w:pPr>
        <w:tabs>
          <w:tab w:val="left" w:pos="6221"/>
        </w:tabs>
        <w:autoSpaceDE w:val="0"/>
        <w:autoSpaceDN w:val="0"/>
        <w:adjustRightInd w:val="0"/>
        <w:jc w:val="both"/>
        <w:rPr>
          <w:color w:val="000000"/>
        </w:rPr>
      </w:pPr>
      <w:r>
        <w:rPr>
          <w:lang w:val="en-GB"/>
        </w:rPr>
        <w:tab/>
      </w:r>
    </w:p>
    <w:p w:rsidR="00B6600E" w:rsidRPr="00E36F0C" w:rsidRDefault="00B6600E" w:rsidP="00E36F0C">
      <w:pPr>
        <w:jc w:val="center"/>
        <w:rPr>
          <w:b/>
        </w:rPr>
      </w:pPr>
      <w:r w:rsidRPr="00E36F0C">
        <w:rPr>
          <w:b/>
          <w:bCs/>
          <w:lang w:val="en-GB"/>
        </w:rPr>
        <w:t>Article 3</w:t>
      </w:r>
    </w:p>
    <w:p w:rsidR="00B6317A" w:rsidRPr="00DD5CAF" w:rsidRDefault="00B6317A" w:rsidP="00B6317A">
      <w:pPr>
        <w:pStyle w:val="Odstavekseznama"/>
        <w:ind w:left="0"/>
        <w:jc w:val="center"/>
        <w:rPr>
          <w:b/>
        </w:rPr>
      </w:pPr>
      <w:r>
        <w:rPr>
          <w:b/>
          <w:bCs/>
          <w:lang w:val="en-GB"/>
        </w:rPr>
        <w:t>(</w:t>
      </w:r>
      <w:proofErr w:type="gramStart"/>
      <w:r>
        <w:rPr>
          <w:b/>
          <w:bCs/>
          <w:lang w:val="en-GB"/>
        </w:rPr>
        <w:t>entry</w:t>
      </w:r>
      <w:proofErr w:type="gramEnd"/>
      <w:r>
        <w:rPr>
          <w:b/>
          <w:bCs/>
          <w:lang w:val="en-GB"/>
        </w:rPr>
        <w:t xml:space="preserve"> into force)</w:t>
      </w:r>
    </w:p>
    <w:p w:rsidR="00B6600E" w:rsidRPr="00DD5CAF" w:rsidRDefault="00B6600E" w:rsidP="00B6600E"/>
    <w:p w:rsidR="00B6600E" w:rsidRDefault="00E27746" w:rsidP="005C1F2B">
      <w:pPr>
        <w:tabs>
          <w:tab w:val="left" w:pos="426"/>
        </w:tabs>
        <w:jc w:val="both"/>
      </w:pPr>
      <w:r>
        <w:rPr>
          <w:lang w:val="en-GB"/>
        </w:rPr>
        <w:t>This regulation shall enter into force on the day after its publication in the Official Gazette of the Republic of Slovenia.</w:t>
      </w:r>
    </w:p>
    <w:p w:rsidR="00B6600E" w:rsidRDefault="00B6600E" w:rsidP="00B6600E"/>
    <w:p w:rsidR="0054496E" w:rsidRDefault="0054496E" w:rsidP="00B6600E"/>
    <w:p w:rsidR="0054496E" w:rsidRPr="00DD5CAF" w:rsidRDefault="0054496E" w:rsidP="00B6600E"/>
    <w:p w:rsidR="006C4B4D" w:rsidRPr="00DD5CAF" w:rsidRDefault="00B6600E" w:rsidP="00B6600E">
      <w:r>
        <w:rPr>
          <w:lang w:val="en-GB"/>
        </w:rPr>
        <w:t xml:space="preserve">Ljubljana, 7 March 2017 </w:t>
      </w:r>
    </w:p>
    <w:p w:rsidR="00B6600E" w:rsidRPr="00DD5CAF" w:rsidRDefault="00B6600E" w:rsidP="000034D5">
      <w:pPr>
        <w:ind w:left="6379"/>
        <w:jc w:val="center"/>
      </w:pPr>
      <w:r>
        <w:rPr>
          <w:lang w:val="en-GB"/>
        </w:rPr>
        <w:t>Boštjan Jazbec</w:t>
      </w:r>
    </w:p>
    <w:p w:rsidR="00B6600E" w:rsidRPr="00DD5CAF" w:rsidRDefault="00AC6279" w:rsidP="000034D5">
      <w:pPr>
        <w:ind w:left="6379"/>
        <w:jc w:val="center"/>
      </w:pPr>
      <w:r>
        <w:rPr>
          <w:lang w:val="en-GB"/>
        </w:rPr>
        <w:t>President,</w:t>
      </w:r>
    </w:p>
    <w:p w:rsidR="00B6600E" w:rsidRDefault="00BF08C3" w:rsidP="000034D5">
      <w:pPr>
        <w:ind w:left="6379"/>
        <w:jc w:val="center"/>
      </w:pPr>
      <w:r>
        <w:rPr>
          <w:lang w:val="en-GB"/>
        </w:rPr>
        <w:t>Governing Board of the Bank of Slovenia</w:t>
      </w:r>
    </w:p>
    <w:sectPr w:rsidR="00B6600E" w:rsidSect="001A3A7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470" w:rsidRDefault="00132470" w:rsidP="00D76FC7">
      <w:r>
        <w:separator/>
      </w:r>
    </w:p>
  </w:endnote>
  <w:endnote w:type="continuationSeparator" w:id="0">
    <w:p w:rsidR="00132470" w:rsidRDefault="00132470" w:rsidP="00D7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1CD" w:rsidRDefault="008A01CD">
    <w:pPr>
      <w:pStyle w:val="Noga"/>
      <w:jc w:val="center"/>
    </w:pPr>
  </w:p>
  <w:p w:rsidR="008A01CD" w:rsidRDefault="008A01C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470" w:rsidRDefault="00132470" w:rsidP="00D76FC7">
      <w:r>
        <w:separator/>
      </w:r>
    </w:p>
  </w:footnote>
  <w:footnote w:type="continuationSeparator" w:id="0">
    <w:p w:rsidR="00132470" w:rsidRDefault="00132470" w:rsidP="00D76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49" w:rsidRDefault="006C2449" w:rsidP="006C2449">
    <w:pPr>
      <w:pStyle w:val="Glava"/>
      <w:jc w:val="center"/>
      <w:rPr>
        <w:b/>
        <w:noProof/>
        <w:lang w:val="en-GB"/>
      </w:rPr>
    </w:pPr>
    <w:r>
      <w:rPr>
        <w:b/>
        <w:noProof/>
        <w:lang w:val="en-GB"/>
      </w:rPr>
      <w:t>THIS TEXT IS UNOFFICIAL TRANSLATION AND MAY NOT BE USED AS A BASIS FOR</w:t>
    </w:r>
  </w:p>
  <w:p w:rsidR="006C2449" w:rsidRDefault="006C2449" w:rsidP="006C2449">
    <w:pPr>
      <w:pStyle w:val="Glava"/>
      <w:jc w:val="center"/>
    </w:pPr>
    <w:r>
      <w:rPr>
        <w:b/>
        <w:noProof/>
        <w:lang w:val="en-GB"/>
      </w:rPr>
      <w:t>SOLVING ANY DISPUTE</w:t>
    </w:r>
  </w:p>
  <w:p w:rsidR="006C2449" w:rsidRDefault="006C2449">
    <w:pPr>
      <w:pStyle w:val="Glava"/>
    </w:pPr>
  </w:p>
  <w:p w:rsidR="004C4132" w:rsidRDefault="004C413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923"/>
    <w:multiLevelType w:val="hybridMultilevel"/>
    <w:tmpl w:val="E5942566"/>
    <w:lvl w:ilvl="0" w:tplc="DCA8D36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76734D9"/>
    <w:multiLevelType w:val="hybridMultilevel"/>
    <w:tmpl w:val="3C282308"/>
    <w:lvl w:ilvl="0" w:tplc="DCA8D364">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6C1AAE"/>
    <w:multiLevelType w:val="hybridMultilevel"/>
    <w:tmpl w:val="C0028C2C"/>
    <w:lvl w:ilvl="0" w:tplc="2230FB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F929A1"/>
    <w:multiLevelType w:val="hybridMultilevel"/>
    <w:tmpl w:val="89261A52"/>
    <w:lvl w:ilvl="0" w:tplc="D7D4906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66D12BA"/>
    <w:multiLevelType w:val="hybridMultilevel"/>
    <w:tmpl w:val="3C282308"/>
    <w:lvl w:ilvl="0" w:tplc="DCA8D36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D3C31"/>
    <w:multiLevelType w:val="hybridMultilevel"/>
    <w:tmpl w:val="3E827880"/>
    <w:lvl w:ilvl="0" w:tplc="C6B23C0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2D1D4A"/>
    <w:multiLevelType w:val="hybridMultilevel"/>
    <w:tmpl w:val="37565A50"/>
    <w:lvl w:ilvl="0" w:tplc="04240015">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DB13684"/>
    <w:multiLevelType w:val="hybridMultilevel"/>
    <w:tmpl w:val="B40CDA90"/>
    <w:lvl w:ilvl="0" w:tplc="9AFEA8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E4860E7"/>
    <w:multiLevelType w:val="hybridMultilevel"/>
    <w:tmpl w:val="B4E2CDAC"/>
    <w:lvl w:ilvl="0" w:tplc="50647AD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22B81D73"/>
    <w:multiLevelType w:val="hybridMultilevel"/>
    <w:tmpl w:val="534E4EA0"/>
    <w:lvl w:ilvl="0" w:tplc="65A006C0">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833784D"/>
    <w:multiLevelType w:val="hybridMultilevel"/>
    <w:tmpl w:val="2416D1C6"/>
    <w:lvl w:ilvl="0" w:tplc="1E9C9FD4">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83A7137"/>
    <w:multiLevelType w:val="hybridMultilevel"/>
    <w:tmpl w:val="630641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0F26431"/>
    <w:multiLevelType w:val="hybridMultilevel"/>
    <w:tmpl w:val="07709C92"/>
    <w:lvl w:ilvl="0" w:tplc="8B46734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49453A1"/>
    <w:multiLevelType w:val="hybridMultilevel"/>
    <w:tmpl w:val="FA02E916"/>
    <w:lvl w:ilvl="0" w:tplc="DCA8D364">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A1D2265"/>
    <w:multiLevelType w:val="hybridMultilevel"/>
    <w:tmpl w:val="6C84923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5" w15:restartNumberingAfterBreak="0">
    <w:nsid w:val="46281E96"/>
    <w:multiLevelType w:val="hybridMultilevel"/>
    <w:tmpl w:val="EF2C18C2"/>
    <w:lvl w:ilvl="0" w:tplc="DCA8D3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F7336FB"/>
    <w:multiLevelType w:val="hybridMultilevel"/>
    <w:tmpl w:val="A31ACB3A"/>
    <w:lvl w:ilvl="0" w:tplc="EAA079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0D66CF0"/>
    <w:multiLevelType w:val="hybridMultilevel"/>
    <w:tmpl w:val="B40CDA90"/>
    <w:lvl w:ilvl="0" w:tplc="9AFEA8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8B02F4D"/>
    <w:multiLevelType w:val="hybridMultilevel"/>
    <w:tmpl w:val="418ABAB8"/>
    <w:lvl w:ilvl="0" w:tplc="7B04A8C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5D00116E"/>
    <w:multiLevelType w:val="hybridMultilevel"/>
    <w:tmpl w:val="11FA1A2E"/>
    <w:lvl w:ilvl="0" w:tplc="D382D12C">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D926315"/>
    <w:multiLevelType w:val="hybridMultilevel"/>
    <w:tmpl w:val="D2C45D52"/>
    <w:lvl w:ilvl="0" w:tplc="769E1EFA">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08C3398"/>
    <w:multiLevelType w:val="hybridMultilevel"/>
    <w:tmpl w:val="92F2C8EA"/>
    <w:lvl w:ilvl="0" w:tplc="F1DAC10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649274C1"/>
    <w:multiLevelType w:val="hybridMultilevel"/>
    <w:tmpl w:val="C5E8CE8E"/>
    <w:lvl w:ilvl="0" w:tplc="C8B2067A">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2BB3928"/>
    <w:multiLevelType w:val="hybridMultilevel"/>
    <w:tmpl w:val="A31ACB3A"/>
    <w:lvl w:ilvl="0" w:tplc="EAA079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4E95814"/>
    <w:multiLevelType w:val="hybridMultilevel"/>
    <w:tmpl w:val="D02E1026"/>
    <w:lvl w:ilvl="0" w:tplc="D82E1A0E">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5" w15:restartNumberingAfterBreak="0">
    <w:nsid w:val="74FF1B06"/>
    <w:multiLevelType w:val="hybridMultilevel"/>
    <w:tmpl w:val="6AB29D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5BE44ED"/>
    <w:multiLevelType w:val="hybridMultilevel"/>
    <w:tmpl w:val="C0028C2C"/>
    <w:lvl w:ilvl="0" w:tplc="2230FB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BAA0371"/>
    <w:multiLevelType w:val="hybridMultilevel"/>
    <w:tmpl w:val="3C282308"/>
    <w:lvl w:ilvl="0" w:tplc="DCA8D364">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5"/>
  </w:num>
  <w:num w:numId="2">
    <w:abstractNumId w:val="21"/>
  </w:num>
  <w:num w:numId="3">
    <w:abstractNumId w:val="19"/>
  </w:num>
  <w:num w:numId="4">
    <w:abstractNumId w:val="20"/>
  </w:num>
  <w:num w:numId="5">
    <w:abstractNumId w:val="9"/>
  </w:num>
  <w:num w:numId="6">
    <w:abstractNumId w:val="27"/>
  </w:num>
  <w:num w:numId="7">
    <w:abstractNumId w:val="4"/>
  </w:num>
  <w:num w:numId="8">
    <w:abstractNumId w:val="7"/>
  </w:num>
  <w:num w:numId="9">
    <w:abstractNumId w:val="6"/>
  </w:num>
  <w:num w:numId="10">
    <w:abstractNumId w:val="2"/>
  </w:num>
  <w:num w:numId="11">
    <w:abstractNumId w:val="17"/>
  </w:num>
  <w:num w:numId="12">
    <w:abstractNumId w:val="23"/>
  </w:num>
  <w:num w:numId="13">
    <w:abstractNumId w:val="15"/>
  </w:num>
  <w:num w:numId="14">
    <w:abstractNumId w:val="0"/>
  </w:num>
  <w:num w:numId="15">
    <w:abstractNumId w:val="12"/>
  </w:num>
  <w:num w:numId="16">
    <w:abstractNumId w:val="10"/>
  </w:num>
  <w:num w:numId="17">
    <w:abstractNumId w:val="11"/>
  </w:num>
  <w:num w:numId="18">
    <w:abstractNumId w:val="16"/>
  </w:num>
  <w:num w:numId="19">
    <w:abstractNumId w:val="3"/>
  </w:num>
  <w:num w:numId="20">
    <w:abstractNumId w:val="18"/>
  </w:num>
  <w:num w:numId="21">
    <w:abstractNumId w:val="26"/>
  </w:num>
  <w:num w:numId="22">
    <w:abstractNumId w:val="5"/>
  </w:num>
  <w:num w:numId="23">
    <w:abstractNumId w:val="13"/>
  </w:num>
  <w:num w:numId="24">
    <w:abstractNumId w:val="24"/>
  </w:num>
  <w:num w:numId="25">
    <w:abstractNumId w:val="1"/>
  </w:num>
  <w:num w:numId="26">
    <w:abstractNumId w:val="22"/>
  </w:num>
  <w:num w:numId="27">
    <w:abstractNumId w:val="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600E"/>
    <w:rsid w:val="000034D5"/>
    <w:rsid w:val="0001123D"/>
    <w:rsid w:val="000260FF"/>
    <w:rsid w:val="00040D06"/>
    <w:rsid w:val="00042D0D"/>
    <w:rsid w:val="0007261A"/>
    <w:rsid w:val="000C0C4D"/>
    <w:rsid w:val="000C2A54"/>
    <w:rsid w:val="000D3E8E"/>
    <w:rsid w:val="000F76F2"/>
    <w:rsid w:val="00111869"/>
    <w:rsid w:val="00113D31"/>
    <w:rsid w:val="00124621"/>
    <w:rsid w:val="00132470"/>
    <w:rsid w:val="0015302F"/>
    <w:rsid w:val="00155F89"/>
    <w:rsid w:val="00171035"/>
    <w:rsid w:val="001736CB"/>
    <w:rsid w:val="001846AC"/>
    <w:rsid w:val="00184A5F"/>
    <w:rsid w:val="001A3A71"/>
    <w:rsid w:val="001A62DA"/>
    <w:rsid w:val="001E27C0"/>
    <w:rsid w:val="001F0B8C"/>
    <w:rsid w:val="001F19C5"/>
    <w:rsid w:val="001F4617"/>
    <w:rsid w:val="00201FF0"/>
    <w:rsid w:val="00206C37"/>
    <w:rsid w:val="00214DA1"/>
    <w:rsid w:val="00223F71"/>
    <w:rsid w:val="0025276E"/>
    <w:rsid w:val="002534A8"/>
    <w:rsid w:val="00277FD5"/>
    <w:rsid w:val="00281761"/>
    <w:rsid w:val="00285A2A"/>
    <w:rsid w:val="00287697"/>
    <w:rsid w:val="002901A6"/>
    <w:rsid w:val="002A5D74"/>
    <w:rsid w:val="002C1AAE"/>
    <w:rsid w:val="002D0163"/>
    <w:rsid w:val="002D6316"/>
    <w:rsid w:val="002E0658"/>
    <w:rsid w:val="00301D4F"/>
    <w:rsid w:val="003117E3"/>
    <w:rsid w:val="00313CE3"/>
    <w:rsid w:val="00317BBC"/>
    <w:rsid w:val="00322DEA"/>
    <w:rsid w:val="00330EF7"/>
    <w:rsid w:val="00334FBB"/>
    <w:rsid w:val="00340EEB"/>
    <w:rsid w:val="00343815"/>
    <w:rsid w:val="00346053"/>
    <w:rsid w:val="003525A3"/>
    <w:rsid w:val="003635DA"/>
    <w:rsid w:val="00363EA3"/>
    <w:rsid w:val="00366259"/>
    <w:rsid w:val="00372214"/>
    <w:rsid w:val="00376CDE"/>
    <w:rsid w:val="00384FC8"/>
    <w:rsid w:val="0038602A"/>
    <w:rsid w:val="0039062C"/>
    <w:rsid w:val="003A0E2A"/>
    <w:rsid w:val="003A39EA"/>
    <w:rsid w:val="003C4BD5"/>
    <w:rsid w:val="003C76BA"/>
    <w:rsid w:val="003D27B2"/>
    <w:rsid w:val="003E2D67"/>
    <w:rsid w:val="003F430A"/>
    <w:rsid w:val="0040061F"/>
    <w:rsid w:val="00407FCF"/>
    <w:rsid w:val="004121C7"/>
    <w:rsid w:val="00417385"/>
    <w:rsid w:val="004550BB"/>
    <w:rsid w:val="00470DE2"/>
    <w:rsid w:val="00476558"/>
    <w:rsid w:val="00484965"/>
    <w:rsid w:val="0049547A"/>
    <w:rsid w:val="004A160B"/>
    <w:rsid w:val="004B5CF5"/>
    <w:rsid w:val="004C0C58"/>
    <w:rsid w:val="004C3895"/>
    <w:rsid w:val="004C4132"/>
    <w:rsid w:val="004C6723"/>
    <w:rsid w:val="004E0DF5"/>
    <w:rsid w:val="004E2975"/>
    <w:rsid w:val="004E416E"/>
    <w:rsid w:val="004E7689"/>
    <w:rsid w:val="0050184A"/>
    <w:rsid w:val="0050578C"/>
    <w:rsid w:val="00527E25"/>
    <w:rsid w:val="00531D04"/>
    <w:rsid w:val="00532484"/>
    <w:rsid w:val="00543856"/>
    <w:rsid w:val="0054496E"/>
    <w:rsid w:val="00552C3D"/>
    <w:rsid w:val="00552CFF"/>
    <w:rsid w:val="005A4516"/>
    <w:rsid w:val="005B1A78"/>
    <w:rsid w:val="005C1F2B"/>
    <w:rsid w:val="005E56E9"/>
    <w:rsid w:val="005E6F1A"/>
    <w:rsid w:val="005F0AC4"/>
    <w:rsid w:val="005F1B03"/>
    <w:rsid w:val="005F514C"/>
    <w:rsid w:val="00601F0B"/>
    <w:rsid w:val="00605299"/>
    <w:rsid w:val="0060629E"/>
    <w:rsid w:val="00616F6B"/>
    <w:rsid w:val="006205BC"/>
    <w:rsid w:val="0063409C"/>
    <w:rsid w:val="006440CC"/>
    <w:rsid w:val="00655167"/>
    <w:rsid w:val="00664C04"/>
    <w:rsid w:val="006761A7"/>
    <w:rsid w:val="006774A6"/>
    <w:rsid w:val="00681B53"/>
    <w:rsid w:val="00683D12"/>
    <w:rsid w:val="006A2BAA"/>
    <w:rsid w:val="006A52A2"/>
    <w:rsid w:val="006B06D8"/>
    <w:rsid w:val="006B1C8B"/>
    <w:rsid w:val="006C2449"/>
    <w:rsid w:val="006C4B4D"/>
    <w:rsid w:val="006E2FC3"/>
    <w:rsid w:val="00723312"/>
    <w:rsid w:val="00723998"/>
    <w:rsid w:val="00727B4A"/>
    <w:rsid w:val="00736BB1"/>
    <w:rsid w:val="007550D8"/>
    <w:rsid w:val="00763BAD"/>
    <w:rsid w:val="00771A0B"/>
    <w:rsid w:val="00777434"/>
    <w:rsid w:val="00780347"/>
    <w:rsid w:val="007871E2"/>
    <w:rsid w:val="00791B41"/>
    <w:rsid w:val="0079648D"/>
    <w:rsid w:val="007A119D"/>
    <w:rsid w:val="007A3306"/>
    <w:rsid w:val="007B0CE9"/>
    <w:rsid w:val="007B76C6"/>
    <w:rsid w:val="007C3A5A"/>
    <w:rsid w:val="007C3C16"/>
    <w:rsid w:val="007C62F2"/>
    <w:rsid w:val="007D1443"/>
    <w:rsid w:val="007D4048"/>
    <w:rsid w:val="007D7CEC"/>
    <w:rsid w:val="007E11D8"/>
    <w:rsid w:val="007F241A"/>
    <w:rsid w:val="00801BA9"/>
    <w:rsid w:val="00815CCD"/>
    <w:rsid w:val="00816DFF"/>
    <w:rsid w:val="00821FAA"/>
    <w:rsid w:val="008301BE"/>
    <w:rsid w:val="00836DD1"/>
    <w:rsid w:val="0086279A"/>
    <w:rsid w:val="00864C50"/>
    <w:rsid w:val="00872D7F"/>
    <w:rsid w:val="008844EF"/>
    <w:rsid w:val="00891279"/>
    <w:rsid w:val="008A01CD"/>
    <w:rsid w:val="008B7774"/>
    <w:rsid w:val="008C5634"/>
    <w:rsid w:val="008C739C"/>
    <w:rsid w:val="008D02F9"/>
    <w:rsid w:val="008D5B3E"/>
    <w:rsid w:val="00916D1A"/>
    <w:rsid w:val="0094532C"/>
    <w:rsid w:val="00946D83"/>
    <w:rsid w:val="00952D84"/>
    <w:rsid w:val="00953D3B"/>
    <w:rsid w:val="00964599"/>
    <w:rsid w:val="00966BFF"/>
    <w:rsid w:val="0098387C"/>
    <w:rsid w:val="009B0EB8"/>
    <w:rsid w:val="009C03E1"/>
    <w:rsid w:val="009F04AA"/>
    <w:rsid w:val="009F223E"/>
    <w:rsid w:val="009F2F85"/>
    <w:rsid w:val="00A02504"/>
    <w:rsid w:val="00A134AE"/>
    <w:rsid w:val="00A14982"/>
    <w:rsid w:val="00A27F0B"/>
    <w:rsid w:val="00A4530A"/>
    <w:rsid w:val="00A54366"/>
    <w:rsid w:val="00A82F83"/>
    <w:rsid w:val="00A85FAE"/>
    <w:rsid w:val="00A92DF9"/>
    <w:rsid w:val="00A951CA"/>
    <w:rsid w:val="00A951CD"/>
    <w:rsid w:val="00AA21A2"/>
    <w:rsid w:val="00AA314E"/>
    <w:rsid w:val="00AA5E19"/>
    <w:rsid w:val="00AC6279"/>
    <w:rsid w:val="00AF64B6"/>
    <w:rsid w:val="00B06BDA"/>
    <w:rsid w:val="00B07DE5"/>
    <w:rsid w:val="00B1656F"/>
    <w:rsid w:val="00B43488"/>
    <w:rsid w:val="00B470F9"/>
    <w:rsid w:val="00B56861"/>
    <w:rsid w:val="00B6317A"/>
    <w:rsid w:val="00B6600E"/>
    <w:rsid w:val="00B72206"/>
    <w:rsid w:val="00B74523"/>
    <w:rsid w:val="00B74B5D"/>
    <w:rsid w:val="00B87EEE"/>
    <w:rsid w:val="00BA0384"/>
    <w:rsid w:val="00BA2718"/>
    <w:rsid w:val="00BA5E14"/>
    <w:rsid w:val="00BB1A94"/>
    <w:rsid w:val="00BD6662"/>
    <w:rsid w:val="00BE3312"/>
    <w:rsid w:val="00BF08C3"/>
    <w:rsid w:val="00BF1A5B"/>
    <w:rsid w:val="00BF2E1B"/>
    <w:rsid w:val="00C014A7"/>
    <w:rsid w:val="00C0248C"/>
    <w:rsid w:val="00C104DA"/>
    <w:rsid w:val="00C16DF8"/>
    <w:rsid w:val="00C17C55"/>
    <w:rsid w:val="00C2399C"/>
    <w:rsid w:val="00C2775B"/>
    <w:rsid w:val="00C33487"/>
    <w:rsid w:val="00C33BD7"/>
    <w:rsid w:val="00C34708"/>
    <w:rsid w:val="00C4547D"/>
    <w:rsid w:val="00C63643"/>
    <w:rsid w:val="00C67A09"/>
    <w:rsid w:val="00C72973"/>
    <w:rsid w:val="00C72D57"/>
    <w:rsid w:val="00C82CAF"/>
    <w:rsid w:val="00C83F45"/>
    <w:rsid w:val="00C869D6"/>
    <w:rsid w:val="00C92A95"/>
    <w:rsid w:val="00CA62FD"/>
    <w:rsid w:val="00CA756A"/>
    <w:rsid w:val="00CB53A2"/>
    <w:rsid w:val="00CC0462"/>
    <w:rsid w:val="00CD3AFB"/>
    <w:rsid w:val="00CE0798"/>
    <w:rsid w:val="00CE5871"/>
    <w:rsid w:val="00D0161B"/>
    <w:rsid w:val="00D01D5D"/>
    <w:rsid w:val="00D02D5E"/>
    <w:rsid w:val="00D71C24"/>
    <w:rsid w:val="00D76FC7"/>
    <w:rsid w:val="00D832F5"/>
    <w:rsid w:val="00D90F9E"/>
    <w:rsid w:val="00D96C19"/>
    <w:rsid w:val="00DD5CAF"/>
    <w:rsid w:val="00E10478"/>
    <w:rsid w:val="00E15D3D"/>
    <w:rsid w:val="00E251C9"/>
    <w:rsid w:val="00E27746"/>
    <w:rsid w:val="00E34B4A"/>
    <w:rsid w:val="00E36F0C"/>
    <w:rsid w:val="00E374AF"/>
    <w:rsid w:val="00E4177E"/>
    <w:rsid w:val="00E44504"/>
    <w:rsid w:val="00E44DBB"/>
    <w:rsid w:val="00E7206F"/>
    <w:rsid w:val="00E75150"/>
    <w:rsid w:val="00E753BC"/>
    <w:rsid w:val="00E8063B"/>
    <w:rsid w:val="00E85A99"/>
    <w:rsid w:val="00E9562B"/>
    <w:rsid w:val="00E96FF4"/>
    <w:rsid w:val="00EA0494"/>
    <w:rsid w:val="00ED3B36"/>
    <w:rsid w:val="00ED47C2"/>
    <w:rsid w:val="00ED628C"/>
    <w:rsid w:val="00EE0BF4"/>
    <w:rsid w:val="00EE4EA3"/>
    <w:rsid w:val="00EF1619"/>
    <w:rsid w:val="00EF6157"/>
    <w:rsid w:val="00EF6575"/>
    <w:rsid w:val="00F0251C"/>
    <w:rsid w:val="00F30BE3"/>
    <w:rsid w:val="00F328B2"/>
    <w:rsid w:val="00F32FD4"/>
    <w:rsid w:val="00F34B8B"/>
    <w:rsid w:val="00F3579B"/>
    <w:rsid w:val="00F369F4"/>
    <w:rsid w:val="00F470E1"/>
    <w:rsid w:val="00F517D4"/>
    <w:rsid w:val="00F533D6"/>
    <w:rsid w:val="00F71AAA"/>
    <w:rsid w:val="00F76ED7"/>
    <w:rsid w:val="00FD7E81"/>
    <w:rsid w:val="00FE779F"/>
    <w:rsid w:val="00FF31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38293B-7FB4-4B79-82CC-4138FBBA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71A0B"/>
    <w:pPr>
      <w:spacing w:after="0" w:line="240" w:lineRule="auto"/>
    </w:pPr>
    <w:rPr>
      <w:rFonts w:ascii="Times New Roman" w:hAnsi="Times New Roman" w:cs="Times New Roman"/>
    </w:rPr>
  </w:style>
  <w:style w:type="paragraph" w:styleId="Naslov1">
    <w:name w:val="heading 1"/>
    <w:basedOn w:val="Navaden"/>
    <w:next w:val="Navaden"/>
    <w:link w:val="Naslov1Znak"/>
    <w:uiPriority w:val="9"/>
    <w:qFormat/>
    <w:rsid w:val="0098387C"/>
    <w:pPr>
      <w:keepNext/>
      <w:keepLines/>
      <w:spacing w:before="480"/>
      <w:outlineLvl w:val="0"/>
    </w:pPr>
    <w:rPr>
      <w:rFonts w:eastAsiaTheme="majorEastAsia"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B1C8B"/>
    <w:pPr>
      <w:keepNext/>
      <w:keepLines/>
      <w:spacing w:before="20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98387C"/>
    <w:pPr>
      <w:keepNext/>
      <w:keepLines/>
      <w:spacing w:before="20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98387C"/>
    <w:pPr>
      <w:keepNext/>
      <w:keepLines/>
      <w:spacing w:before="20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unhideWhenUsed/>
    <w:qFormat/>
    <w:rsid w:val="0098387C"/>
    <w:pPr>
      <w:keepNext/>
      <w:keepLines/>
      <w:spacing w:before="200"/>
      <w:outlineLvl w:val="4"/>
    </w:pPr>
    <w:rPr>
      <w:rFonts w:eastAsiaTheme="majorEastAsia" w:cstheme="majorBidi"/>
      <w:color w:val="243F60" w:themeColor="accent1" w:themeShade="7F"/>
    </w:rPr>
  </w:style>
  <w:style w:type="paragraph" w:styleId="Naslov6">
    <w:name w:val="heading 6"/>
    <w:basedOn w:val="Navaden"/>
    <w:next w:val="Navaden"/>
    <w:link w:val="Naslov6Znak"/>
    <w:uiPriority w:val="9"/>
    <w:unhideWhenUsed/>
    <w:qFormat/>
    <w:rsid w:val="00301D4F"/>
    <w:pPr>
      <w:keepNext/>
      <w:keepLines/>
      <w:spacing w:before="200"/>
      <w:outlineLvl w:val="5"/>
    </w:pPr>
    <w:rPr>
      <w:rFonts w:eastAsiaTheme="majorEastAsia" w:cstheme="majorBidi"/>
      <w:i/>
      <w:iCs/>
      <w:color w:val="243F60" w:themeColor="accent1" w:themeShade="7F"/>
    </w:rPr>
  </w:style>
  <w:style w:type="paragraph" w:styleId="Naslov7">
    <w:name w:val="heading 7"/>
    <w:basedOn w:val="Navaden"/>
    <w:next w:val="Navaden"/>
    <w:link w:val="Naslov7Znak"/>
    <w:uiPriority w:val="9"/>
    <w:semiHidden/>
    <w:unhideWhenUsed/>
    <w:qFormat/>
    <w:rsid w:val="00301D4F"/>
    <w:pPr>
      <w:keepNext/>
      <w:keepLines/>
      <w:spacing w:before="200"/>
      <w:outlineLvl w:val="6"/>
    </w:pPr>
    <w:rPr>
      <w:rFonts w:eastAsiaTheme="majorEastAsia" w:cstheme="majorBidi"/>
      <w:i/>
      <w:iCs/>
      <w:color w:val="404040" w:themeColor="text1" w:themeTint="BF"/>
    </w:rPr>
  </w:style>
  <w:style w:type="paragraph" w:styleId="Naslov8">
    <w:name w:val="heading 8"/>
    <w:basedOn w:val="Navaden"/>
    <w:next w:val="Navaden"/>
    <w:link w:val="Naslov8Znak"/>
    <w:uiPriority w:val="9"/>
    <w:unhideWhenUsed/>
    <w:qFormat/>
    <w:rsid w:val="0063409C"/>
    <w:pPr>
      <w:keepNext/>
      <w:keepLines/>
      <w:spacing w:before="200"/>
      <w:outlineLvl w:val="7"/>
    </w:pPr>
    <w:rPr>
      <w:rFonts w:eastAsiaTheme="majorEastAsia" w:cstheme="majorBidi"/>
      <w:color w:val="404040" w:themeColor="text1" w:themeTint="BF"/>
      <w:sz w:val="20"/>
      <w:szCs w:val="20"/>
    </w:rPr>
  </w:style>
  <w:style w:type="paragraph" w:styleId="Naslov9">
    <w:name w:val="heading 9"/>
    <w:basedOn w:val="Navaden"/>
    <w:next w:val="Navaden"/>
    <w:link w:val="Naslov9Znak"/>
    <w:uiPriority w:val="9"/>
    <w:unhideWhenUsed/>
    <w:qFormat/>
    <w:rsid w:val="0063409C"/>
    <w:pPr>
      <w:keepNext/>
      <w:keepLines/>
      <w:spacing w:before="200"/>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CC0462"/>
    <w:pPr>
      <w:spacing w:after="0" w:line="240" w:lineRule="auto"/>
    </w:pPr>
    <w:rPr>
      <w:rFonts w:ascii="Times New Roman" w:hAnsi="Times New Roman" w:cs="Times New Roman"/>
    </w:rPr>
  </w:style>
  <w:style w:type="character" w:customStyle="1" w:styleId="Naslov1Znak">
    <w:name w:val="Naslov 1 Znak"/>
    <w:basedOn w:val="Privzetapisavaodstavka"/>
    <w:link w:val="Naslov1"/>
    <w:uiPriority w:val="9"/>
    <w:rsid w:val="0098387C"/>
    <w:rPr>
      <w:rFonts w:ascii="Times New Roman" w:eastAsiaTheme="majorEastAsia" w:hAnsi="Times New Roman" w:cstheme="majorBidi"/>
      <w:b/>
      <w:bCs/>
      <w:color w:val="365F91" w:themeColor="accent1" w:themeShade="BF"/>
      <w:sz w:val="28"/>
      <w:szCs w:val="28"/>
    </w:rPr>
  </w:style>
  <w:style w:type="character" w:customStyle="1" w:styleId="Naslov3Znak">
    <w:name w:val="Naslov 3 Znak"/>
    <w:basedOn w:val="Privzetapisavaodstavka"/>
    <w:link w:val="Naslov3"/>
    <w:uiPriority w:val="9"/>
    <w:semiHidden/>
    <w:rsid w:val="0098387C"/>
    <w:rPr>
      <w:rFonts w:ascii="Times New Roman" w:eastAsiaTheme="majorEastAsia" w:hAnsi="Times New Roman" w:cstheme="majorBidi"/>
      <w:b/>
      <w:bCs/>
      <w:color w:val="4F81BD" w:themeColor="accent1"/>
    </w:rPr>
  </w:style>
  <w:style w:type="character" w:customStyle="1" w:styleId="Naslov4Znak">
    <w:name w:val="Naslov 4 Znak"/>
    <w:basedOn w:val="Privzetapisavaodstavka"/>
    <w:link w:val="Naslov4"/>
    <w:uiPriority w:val="9"/>
    <w:rsid w:val="0098387C"/>
    <w:rPr>
      <w:rFonts w:ascii="Times New Roman" w:eastAsiaTheme="majorEastAsia" w:hAnsi="Times New Roman" w:cstheme="majorBidi"/>
      <w:b/>
      <w:bCs/>
      <w:i/>
      <w:iCs/>
      <w:color w:val="4F81BD" w:themeColor="accent1"/>
    </w:rPr>
  </w:style>
  <w:style w:type="character" w:customStyle="1" w:styleId="Naslov5Znak">
    <w:name w:val="Naslov 5 Znak"/>
    <w:basedOn w:val="Privzetapisavaodstavka"/>
    <w:link w:val="Naslov5"/>
    <w:uiPriority w:val="9"/>
    <w:rsid w:val="0098387C"/>
    <w:rPr>
      <w:rFonts w:ascii="Times New Roman" w:eastAsiaTheme="majorEastAsia" w:hAnsi="Times New Roman" w:cstheme="majorBidi"/>
      <w:color w:val="243F60" w:themeColor="accent1" w:themeShade="7F"/>
    </w:rPr>
  </w:style>
  <w:style w:type="character" w:customStyle="1" w:styleId="Naslov2Znak">
    <w:name w:val="Naslov 2 Znak"/>
    <w:basedOn w:val="Privzetapisavaodstavka"/>
    <w:link w:val="Naslov2"/>
    <w:uiPriority w:val="9"/>
    <w:rsid w:val="006B1C8B"/>
    <w:rPr>
      <w:rFonts w:ascii="Times New Roman" w:eastAsiaTheme="majorEastAsia" w:hAnsi="Times New Roman" w:cstheme="majorBidi"/>
      <w:b/>
      <w:bCs/>
      <w:color w:val="4F81BD" w:themeColor="accent1"/>
      <w:sz w:val="26"/>
      <w:szCs w:val="26"/>
    </w:rPr>
  </w:style>
  <w:style w:type="character" w:customStyle="1" w:styleId="Naslov6Znak">
    <w:name w:val="Naslov 6 Znak"/>
    <w:basedOn w:val="Privzetapisavaodstavka"/>
    <w:link w:val="Naslov6"/>
    <w:uiPriority w:val="9"/>
    <w:rsid w:val="00301D4F"/>
    <w:rPr>
      <w:rFonts w:ascii="Times New Roman" w:eastAsiaTheme="majorEastAsia" w:hAnsi="Times New Roman" w:cstheme="majorBidi"/>
      <w:i/>
      <w:iCs/>
      <w:color w:val="243F60" w:themeColor="accent1" w:themeShade="7F"/>
    </w:rPr>
  </w:style>
  <w:style w:type="character" w:customStyle="1" w:styleId="Naslov7Znak">
    <w:name w:val="Naslov 7 Znak"/>
    <w:basedOn w:val="Privzetapisavaodstavka"/>
    <w:link w:val="Naslov7"/>
    <w:uiPriority w:val="9"/>
    <w:semiHidden/>
    <w:rsid w:val="00301D4F"/>
    <w:rPr>
      <w:rFonts w:ascii="Times New Roman" w:eastAsiaTheme="majorEastAsia" w:hAnsi="Times New Roman" w:cstheme="majorBidi"/>
      <w:i/>
      <w:iCs/>
      <w:color w:val="404040" w:themeColor="text1" w:themeTint="BF"/>
    </w:rPr>
  </w:style>
  <w:style w:type="paragraph" w:styleId="Naslov">
    <w:name w:val="Title"/>
    <w:basedOn w:val="Navaden"/>
    <w:next w:val="Navaden"/>
    <w:link w:val="NaslovZnak"/>
    <w:uiPriority w:val="10"/>
    <w:qFormat/>
    <w:rsid w:val="00301D4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01D4F"/>
    <w:rPr>
      <w:rFonts w:ascii="Times New Roman" w:eastAsiaTheme="majorEastAsia" w:hAnsi="Times New Roman"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301D4F"/>
    <w:pPr>
      <w:numPr>
        <w:ilvl w:val="1"/>
      </w:numPr>
    </w:pPr>
    <w:rPr>
      <w:rFonts w:eastAsiaTheme="majorEastAsia"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01D4F"/>
    <w:rPr>
      <w:rFonts w:ascii="Times New Roman" w:eastAsiaTheme="majorEastAsia" w:hAnsi="Times New Roman" w:cstheme="majorBidi"/>
      <w:i/>
      <w:iCs/>
      <w:color w:val="4F81BD" w:themeColor="accent1"/>
      <w:spacing w:val="15"/>
      <w:sz w:val="24"/>
      <w:szCs w:val="24"/>
    </w:rPr>
  </w:style>
  <w:style w:type="character" w:customStyle="1" w:styleId="Naslov8Znak">
    <w:name w:val="Naslov 8 Znak"/>
    <w:basedOn w:val="Privzetapisavaodstavka"/>
    <w:link w:val="Naslov8"/>
    <w:uiPriority w:val="9"/>
    <w:rsid w:val="0063409C"/>
    <w:rPr>
      <w:rFonts w:ascii="Times New Roman" w:eastAsiaTheme="majorEastAsia" w:hAnsi="Times New Roman" w:cstheme="majorBidi"/>
      <w:color w:val="404040" w:themeColor="text1" w:themeTint="BF"/>
      <w:sz w:val="20"/>
      <w:szCs w:val="20"/>
    </w:rPr>
  </w:style>
  <w:style w:type="character" w:customStyle="1" w:styleId="Naslov9Znak">
    <w:name w:val="Naslov 9 Znak"/>
    <w:basedOn w:val="Privzetapisavaodstavka"/>
    <w:link w:val="Naslov9"/>
    <w:uiPriority w:val="9"/>
    <w:rsid w:val="0063409C"/>
    <w:rPr>
      <w:rFonts w:ascii="Times New Roman" w:eastAsiaTheme="majorEastAsia" w:hAnsi="Times New Roman" w:cstheme="majorBidi"/>
      <w:i/>
      <w:iCs/>
      <w:color w:val="404040" w:themeColor="text1" w:themeTint="BF"/>
      <w:sz w:val="20"/>
      <w:szCs w:val="20"/>
    </w:rPr>
  </w:style>
  <w:style w:type="paragraph" w:styleId="Odstavekseznama">
    <w:name w:val="List Paragraph"/>
    <w:basedOn w:val="Navaden"/>
    <w:uiPriority w:val="34"/>
    <w:qFormat/>
    <w:rsid w:val="00B6600E"/>
    <w:pPr>
      <w:ind w:left="720"/>
      <w:contextualSpacing/>
    </w:pPr>
  </w:style>
  <w:style w:type="character" w:styleId="Pripombasklic">
    <w:name w:val="annotation reference"/>
    <w:basedOn w:val="Privzetapisavaodstavka"/>
    <w:uiPriority w:val="99"/>
    <w:semiHidden/>
    <w:unhideWhenUsed/>
    <w:rsid w:val="00532484"/>
    <w:rPr>
      <w:sz w:val="16"/>
      <w:szCs w:val="16"/>
    </w:rPr>
  </w:style>
  <w:style w:type="paragraph" w:styleId="Pripombabesedilo">
    <w:name w:val="annotation text"/>
    <w:basedOn w:val="Navaden"/>
    <w:link w:val="PripombabesediloZnak"/>
    <w:uiPriority w:val="99"/>
    <w:semiHidden/>
    <w:unhideWhenUsed/>
    <w:rsid w:val="00532484"/>
    <w:rPr>
      <w:sz w:val="20"/>
      <w:szCs w:val="20"/>
    </w:rPr>
  </w:style>
  <w:style w:type="character" w:customStyle="1" w:styleId="PripombabesediloZnak">
    <w:name w:val="Pripomba – besedilo Znak"/>
    <w:basedOn w:val="Privzetapisavaodstavka"/>
    <w:link w:val="Pripombabesedilo"/>
    <w:uiPriority w:val="99"/>
    <w:semiHidden/>
    <w:rsid w:val="00532484"/>
    <w:rPr>
      <w:rFonts w:ascii="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532484"/>
    <w:rPr>
      <w:b/>
      <w:bCs/>
    </w:rPr>
  </w:style>
  <w:style w:type="character" w:customStyle="1" w:styleId="ZadevapripombeZnak">
    <w:name w:val="Zadeva pripombe Znak"/>
    <w:basedOn w:val="PripombabesediloZnak"/>
    <w:link w:val="Zadevapripombe"/>
    <w:uiPriority w:val="99"/>
    <w:semiHidden/>
    <w:rsid w:val="00532484"/>
    <w:rPr>
      <w:rFonts w:ascii="Times New Roman" w:hAnsi="Times New Roman" w:cs="Times New Roman"/>
      <w:b/>
      <w:bCs/>
      <w:sz w:val="20"/>
      <w:szCs w:val="20"/>
    </w:rPr>
  </w:style>
  <w:style w:type="paragraph" w:styleId="Besedilooblaka">
    <w:name w:val="Balloon Text"/>
    <w:basedOn w:val="Navaden"/>
    <w:link w:val="BesedilooblakaZnak"/>
    <w:uiPriority w:val="99"/>
    <w:semiHidden/>
    <w:unhideWhenUsed/>
    <w:rsid w:val="0053248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32484"/>
    <w:rPr>
      <w:rFonts w:ascii="Tahoma" w:hAnsi="Tahoma" w:cs="Tahoma"/>
      <w:sz w:val="16"/>
      <w:szCs w:val="16"/>
    </w:rPr>
  </w:style>
  <w:style w:type="paragraph" w:customStyle="1" w:styleId="Default">
    <w:name w:val="Default"/>
    <w:rsid w:val="001846AC"/>
    <w:pPr>
      <w:autoSpaceDE w:val="0"/>
      <w:autoSpaceDN w:val="0"/>
      <w:adjustRightInd w:val="0"/>
      <w:spacing w:after="0" w:line="240" w:lineRule="auto"/>
    </w:pPr>
    <w:rPr>
      <w:rFonts w:ascii="EUAlbertina" w:hAnsi="EUAlbertina" w:cs="EUAlbertina"/>
      <w:color w:val="000000"/>
      <w:sz w:val="24"/>
      <w:szCs w:val="24"/>
    </w:rPr>
  </w:style>
  <w:style w:type="paragraph" w:styleId="Glava">
    <w:name w:val="header"/>
    <w:basedOn w:val="Navaden"/>
    <w:link w:val="GlavaZnak"/>
    <w:uiPriority w:val="99"/>
    <w:unhideWhenUsed/>
    <w:rsid w:val="00D76FC7"/>
    <w:pPr>
      <w:tabs>
        <w:tab w:val="center" w:pos="4536"/>
        <w:tab w:val="right" w:pos="9072"/>
      </w:tabs>
    </w:pPr>
  </w:style>
  <w:style w:type="character" w:customStyle="1" w:styleId="GlavaZnak">
    <w:name w:val="Glava Znak"/>
    <w:basedOn w:val="Privzetapisavaodstavka"/>
    <w:link w:val="Glava"/>
    <w:uiPriority w:val="99"/>
    <w:rsid w:val="00D76FC7"/>
    <w:rPr>
      <w:rFonts w:ascii="Times New Roman" w:hAnsi="Times New Roman" w:cs="Times New Roman"/>
    </w:rPr>
  </w:style>
  <w:style w:type="paragraph" w:styleId="Noga">
    <w:name w:val="footer"/>
    <w:basedOn w:val="Navaden"/>
    <w:link w:val="NogaZnak"/>
    <w:uiPriority w:val="99"/>
    <w:unhideWhenUsed/>
    <w:rsid w:val="00D76FC7"/>
    <w:pPr>
      <w:tabs>
        <w:tab w:val="center" w:pos="4536"/>
        <w:tab w:val="right" w:pos="9072"/>
      </w:tabs>
    </w:pPr>
  </w:style>
  <w:style w:type="character" w:customStyle="1" w:styleId="NogaZnak">
    <w:name w:val="Noga Znak"/>
    <w:basedOn w:val="Privzetapisavaodstavka"/>
    <w:link w:val="Noga"/>
    <w:uiPriority w:val="99"/>
    <w:rsid w:val="00D76FC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557591">
      <w:bodyDiv w:val="1"/>
      <w:marLeft w:val="0"/>
      <w:marRight w:val="0"/>
      <w:marTop w:val="0"/>
      <w:marBottom w:val="0"/>
      <w:divBdr>
        <w:top w:val="none" w:sz="0" w:space="0" w:color="auto"/>
        <w:left w:val="none" w:sz="0" w:space="0" w:color="auto"/>
        <w:bottom w:val="none" w:sz="0" w:space="0" w:color="auto"/>
        <w:right w:val="none" w:sz="0" w:space="0" w:color="auto"/>
      </w:divBdr>
    </w:div>
    <w:div w:id="490799248">
      <w:bodyDiv w:val="1"/>
      <w:marLeft w:val="0"/>
      <w:marRight w:val="0"/>
      <w:marTop w:val="0"/>
      <w:marBottom w:val="0"/>
      <w:divBdr>
        <w:top w:val="none" w:sz="0" w:space="0" w:color="auto"/>
        <w:left w:val="none" w:sz="0" w:space="0" w:color="auto"/>
        <w:bottom w:val="none" w:sz="0" w:space="0" w:color="auto"/>
        <w:right w:val="none" w:sz="0" w:space="0" w:color="auto"/>
      </w:divBdr>
      <w:divsChild>
        <w:div w:id="1291789782">
          <w:marLeft w:val="0"/>
          <w:marRight w:val="0"/>
          <w:marTop w:val="0"/>
          <w:marBottom w:val="0"/>
          <w:divBdr>
            <w:top w:val="none" w:sz="0" w:space="0" w:color="auto"/>
            <w:left w:val="none" w:sz="0" w:space="0" w:color="auto"/>
            <w:bottom w:val="none" w:sz="0" w:space="0" w:color="auto"/>
            <w:right w:val="none" w:sz="0" w:space="0" w:color="auto"/>
          </w:divBdr>
          <w:divsChild>
            <w:div w:id="1019357269">
              <w:marLeft w:val="0"/>
              <w:marRight w:val="0"/>
              <w:marTop w:val="0"/>
              <w:marBottom w:val="0"/>
              <w:divBdr>
                <w:top w:val="none" w:sz="0" w:space="0" w:color="auto"/>
                <w:left w:val="none" w:sz="0" w:space="0" w:color="auto"/>
                <w:bottom w:val="none" w:sz="0" w:space="0" w:color="auto"/>
                <w:right w:val="none" w:sz="0" w:space="0" w:color="auto"/>
              </w:divBdr>
              <w:divsChild>
                <w:div w:id="808859476">
                  <w:marLeft w:val="0"/>
                  <w:marRight w:val="0"/>
                  <w:marTop w:val="0"/>
                  <w:marBottom w:val="0"/>
                  <w:divBdr>
                    <w:top w:val="none" w:sz="0" w:space="0" w:color="auto"/>
                    <w:left w:val="none" w:sz="0" w:space="0" w:color="auto"/>
                    <w:bottom w:val="none" w:sz="0" w:space="0" w:color="auto"/>
                    <w:right w:val="none" w:sz="0" w:space="0" w:color="auto"/>
                  </w:divBdr>
                  <w:divsChild>
                    <w:div w:id="579410313">
                      <w:marLeft w:val="0"/>
                      <w:marRight w:val="0"/>
                      <w:marTop w:val="0"/>
                      <w:marBottom w:val="0"/>
                      <w:divBdr>
                        <w:top w:val="none" w:sz="0" w:space="0" w:color="auto"/>
                        <w:left w:val="none" w:sz="0" w:space="0" w:color="auto"/>
                        <w:bottom w:val="none" w:sz="0" w:space="0" w:color="auto"/>
                        <w:right w:val="none" w:sz="0" w:space="0" w:color="auto"/>
                      </w:divBdr>
                      <w:divsChild>
                        <w:div w:id="192890432">
                          <w:marLeft w:val="0"/>
                          <w:marRight w:val="0"/>
                          <w:marTop w:val="0"/>
                          <w:marBottom w:val="0"/>
                          <w:divBdr>
                            <w:top w:val="none" w:sz="0" w:space="0" w:color="auto"/>
                            <w:left w:val="none" w:sz="0" w:space="0" w:color="auto"/>
                            <w:bottom w:val="none" w:sz="0" w:space="0" w:color="auto"/>
                            <w:right w:val="none" w:sz="0" w:space="0" w:color="auto"/>
                          </w:divBdr>
                          <w:divsChild>
                            <w:div w:id="2136214546">
                              <w:marLeft w:val="0"/>
                              <w:marRight w:val="0"/>
                              <w:marTop w:val="0"/>
                              <w:marBottom w:val="0"/>
                              <w:divBdr>
                                <w:top w:val="none" w:sz="0" w:space="0" w:color="auto"/>
                                <w:left w:val="none" w:sz="0" w:space="0" w:color="auto"/>
                                <w:bottom w:val="none" w:sz="0" w:space="0" w:color="auto"/>
                                <w:right w:val="none" w:sz="0" w:space="0" w:color="auto"/>
                              </w:divBdr>
                              <w:divsChild>
                                <w:div w:id="532622446">
                                  <w:marLeft w:val="0"/>
                                  <w:marRight w:val="0"/>
                                  <w:marTop w:val="0"/>
                                  <w:marBottom w:val="0"/>
                                  <w:divBdr>
                                    <w:top w:val="none" w:sz="0" w:space="0" w:color="auto"/>
                                    <w:left w:val="none" w:sz="0" w:space="0" w:color="auto"/>
                                    <w:bottom w:val="none" w:sz="0" w:space="0" w:color="auto"/>
                                    <w:right w:val="none" w:sz="0" w:space="0" w:color="auto"/>
                                  </w:divBdr>
                                </w:div>
                                <w:div w:id="2097434009">
                                  <w:marLeft w:val="0"/>
                                  <w:marRight w:val="0"/>
                                  <w:marTop w:val="0"/>
                                  <w:marBottom w:val="0"/>
                                  <w:divBdr>
                                    <w:top w:val="none" w:sz="0" w:space="0" w:color="auto"/>
                                    <w:left w:val="none" w:sz="0" w:space="0" w:color="auto"/>
                                    <w:bottom w:val="none" w:sz="0" w:space="0" w:color="auto"/>
                                    <w:right w:val="none" w:sz="0" w:space="0" w:color="auto"/>
                                  </w:divBdr>
                                </w:div>
                                <w:div w:id="458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61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F61E5-585E-4127-8BAD-8E0B86F66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2643</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Banka Slovenije</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 Rubin</dc:creator>
  <cp:lastModifiedBy>Banfi Boštjan</cp:lastModifiedBy>
  <cp:revision>1</cp:revision>
  <cp:lastPrinted>2017-03-07T13:55:00Z</cp:lastPrinted>
  <dcterms:created xsi:type="dcterms:W3CDTF">2017-10-23T12:38:00Z</dcterms:created>
  <dcterms:modified xsi:type="dcterms:W3CDTF">2017-10-23T12:38:00Z</dcterms:modified>
</cp:coreProperties>
</file>