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86F" w:rsidRPr="008C35C7" w:rsidRDefault="006B286F" w:rsidP="00A13C11">
      <w:pPr>
        <w:jc w:val="both"/>
        <w:rPr>
          <w:b/>
        </w:rPr>
      </w:pPr>
      <w:r w:rsidRPr="008C35C7">
        <w:rPr>
          <w:b/>
        </w:rPr>
        <w:t>(</w:t>
      </w:r>
      <w:proofErr w:type="spellStart"/>
      <w:r>
        <w:rPr>
          <w:b/>
        </w:rPr>
        <w:t>unofficial</w:t>
      </w:r>
      <w:proofErr w:type="spellEnd"/>
      <w:r>
        <w:rPr>
          <w:b/>
        </w:rPr>
        <w:t xml:space="preserve"> </w:t>
      </w:r>
      <w:proofErr w:type="spellStart"/>
      <w:r>
        <w:rPr>
          <w:b/>
        </w:rPr>
        <w:t>consolidated</w:t>
      </w:r>
      <w:proofErr w:type="spellEnd"/>
      <w:r>
        <w:rPr>
          <w:b/>
        </w:rPr>
        <w:t xml:space="preserve"> </w:t>
      </w:r>
      <w:proofErr w:type="spellStart"/>
      <w:r w:rsidR="00CC5CF0">
        <w:rPr>
          <w:b/>
        </w:rPr>
        <w:t>text</w:t>
      </w:r>
      <w:proofErr w:type="spellEnd"/>
      <w:r w:rsidRPr="008C35C7">
        <w:rPr>
          <w:b/>
        </w:rPr>
        <w:t>)</w:t>
      </w:r>
    </w:p>
    <w:p w:rsidR="006B286F" w:rsidRPr="00F33E42" w:rsidRDefault="006B286F" w:rsidP="006B286F">
      <w:pPr>
        <w:pStyle w:val="Odstavekseznama"/>
        <w:numPr>
          <w:ilvl w:val="0"/>
          <w:numId w:val="26"/>
        </w:numPr>
        <w:jc w:val="both"/>
        <w:rPr>
          <w:szCs w:val="24"/>
          <w:lang w:val="en-GB"/>
        </w:rPr>
      </w:pPr>
      <w:r w:rsidRPr="00F33E42">
        <w:rPr>
          <w:szCs w:val="24"/>
          <w:lang w:val="en-GB"/>
        </w:rPr>
        <w:t xml:space="preserve">Official Gazette of the Republic of Slovenia, No. </w:t>
      </w:r>
      <w:r w:rsidRPr="004A1484">
        <w:rPr>
          <w:color w:val="000000"/>
        </w:rPr>
        <w:t xml:space="preserve">81/16 </w:t>
      </w:r>
      <w:r w:rsidRPr="00F33E42">
        <w:rPr>
          <w:szCs w:val="24"/>
          <w:lang w:val="en-GB"/>
        </w:rPr>
        <w:t xml:space="preserve">of </w:t>
      </w:r>
      <w:r>
        <w:rPr>
          <w:szCs w:val="24"/>
          <w:lang w:val="en-GB"/>
        </w:rPr>
        <w:t>16 December 2</w:t>
      </w:r>
      <w:r w:rsidRPr="00F33E42">
        <w:rPr>
          <w:szCs w:val="24"/>
          <w:lang w:val="en-GB"/>
        </w:rPr>
        <w:t>01</w:t>
      </w:r>
      <w:r>
        <w:rPr>
          <w:szCs w:val="24"/>
          <w:lang w:val="en-GB"/>
        </w:rPr>
        <w:t>6</w:t>
      </w:r>
      <w:r w:rsidRPr="00F33E42">
        <w:rPr>
          <w:szCs w:val="24"/>
          <w:lang w:val="en-GB"/>
        </w:rPr>
        <w:t xml:space="preserve"> </w:t>
      </w:r>
      <w:r>
        <w:rPr>
          <w:szCs w:val="24"/>
          <w:lang w:val="en-GB"/>
        </w:rPr>
        <w:t xml:space="preserve">– </w:t>
      </w:r>
      <w:r w:rsidR="00F73241">
        <w:rPr>
          <w:szCs w:val="24"/>
          <w:lang w:val="en-GB"/>
        </w:rPr>
        <w:t>basic</w:t>
      </w:r>
      <w:r>
        <w:rPr>
          <w:szCs w:val="24"/>
          <w:lang w:val="en-GB"/>
        </w:rPr>
        <w:t xml:space="preserve"> text </w:t>
      </w:r>
      <w:r w:rsidRPr="00F33E42">
        <w:rPr>
          <w:szCs w:val="24"/>
          <w:lang w:val="en-GB"/>
        </w:rPr>
        <w:t xml:space="preserve">(in force since </w:t>
      </w:r>
      <w:r>
        <w:rPr>
          <w:szCs w:val="24"/>
          <w:lang w:val="en-GB"/>
        </w:rPr>
        <w:t xml:space="preserve">17 December </w:t>
      </w:r>
      <w:r w:rsidRPr="00F33E42">
        <w:rPr>
          <w:szCs w:val="24"/>
          <w:lang w:val="en-GB"/>
        </w:rPr>
        <w:t>2017)</w:t>
      </w:r>
    </w:p>
    <w:p w:rsidR="006B286F" w:rsidRPr="00F33E42" w:rsidRDefault="006B286F" w:rsidP="006B286F">
      <w:pPr>
        <w:pStyle w:val="Odstavekseznama"/>
        <w:numPr>
          <w:ilvl w:val="0"/>
          <w:numId w:val="26"/>
        </w:numPr>
        <w:jc w:val="both"/>
        <w:rPr>
          <w:szCs w:val="24"/>
          <w:lang w:val="en-GB"/>
        </w:rPr>
      </w:pPr>
      <w:r w:rsidRPr="006F4FA5">
        <w:rPr>
          <w:szCs w:val="24"/>
          <w:highlight w:val="yellow"/>
          <w:lang w:val="en-GB"/>
        </w:rPr>
        <w:t xml:space="preserve">Official Gazette of the Republic of Slovenia, No. </w:t>
      </w:r>
      <w:r w:rsidRPr="006F4FA5">
        <w:rPr>
          <w:highlight w:val="yellow"/>
        </w:rPr>
        <w:t xml:space="preserve">12/17 </w:t>
      </w:r>
      <w:r w:rsidRPr="006F4FA5">
        <w:rPr>
          <w:szCs w:val="24"/>
          <w:highlight w:val="yellow"/>
          <w:lang w:val="en-GB"/>
        </w:rPr>
        <w:t>of 10 March 2017</w:t>
      </w:r>
      <w:r w:rsidR="00D41C38" w:rsidRPr="00D41C38">
        <w:rPr>
          <w:szCs w:val="24"/>
          <w:highlight w:val="yellow"/>
          <w:lang w:val="en-GB"/>
        </w:rPr>
        <w:t>–</w:t>
      </w:r>
      <w:r w:rsidRPr="006F4FA5">
        <w:rPr>
          <w:szCs w:val="24"/>
          <w:highlight w:val="yellow"/>
          <w:lang w:val="en-GB"/>
        </w:rPr>
        <w:t xml:space="preserve"> amendments (in force since 11 March 2017)</w:t>
      </w:r>
    </w:p>
    <w:p w:rsidR="006B286F" w:rsidRDefault="006B286F" w:rsidP="006B286F">
      <w:pPr>
        <w:pBdr>
          <w:bottom w:val="single" w:sz="4" w:space="1" w:color="auto"/>
        </w:pBdr>
        <w:jc w:val="both"/>
      </w:pPr>
    </w:p>
    <w:p w:rsidR="001A3A71" w:rsidRPr="00DD5CAF" w:rsidRDefault="00521F21" w:rsidP="00B6600E">
      <w:pPr>
        <w:jc w:val="both"/>
      </w:pPr>
      <w:proofErr w:type="gramStart"/>
      <w:r>
        <w:rPr>
          <w:lang w:val="en-GB"/>
        </w:rPr>
        <w:t xml:space="preserve">Pursuant to the third paragraph of Article 13 of the Banking Act (Official Gazette of the Republic of Slovenia, Nos. 25/15, 44/16 [ZRPPB] and 77/16 [ZCKR]; hereinafter: the ZBan-2), the eleventh paragraph of Article 182 of the Payment Services and Systems Act (Official Gazette of the Republic of Slovenia, Nos. 58/09, 34/10, 9/11, 32/12, 81/15 and 47/16; hereinafter: the </w:t>
      </w:r>
      <w:proofErr w:type="spellStart"/>
      <w:r>
        <w:rPr>
          <w:lang w:val="en-GB"/>
        </w:rPr>
        <w:t>ZPlaSS</w:t>
      </w:r>
      <w:proofErr w:type="spellEnd"/>
      <w:r>
        <w:rPr>
          <w:lang w:val="en-GB"/>
        </w:rPr>
        <w:t>), Article 83 of the Consumer Credit Act (Official Gazette of the Republic of Slovenia, No. 77/16; hereinafter: the ZPotK-2) and the first paragraph of Article 31 of the Bank of Slovenia Act (Official Gazette of the Republic of Slovenia, Nos. 72/06 [official consolidated version] and 59/11), the Governing Board of the Bank of Slovenia hereby issues the following</w:t>
      </w:r>
      <w:proofErr w:type="gramEnd"/>
    </w:p>
    <w:p w:rsidR="00B6600E" w:rsidRDefault="00B6600E"/>
    <w:p w:rsidR="00BD1E17" w:rsidRPr="00DD5CAF" w:rsidRDefault="00BD1E17"/>
    <w:p w:rsidR="00AA21A2" w:rsidRPr="00DD5CAF" w:rsidRDefault="00B6600E" w:rsidP="00B6600E">
      <w:pPr>
        <w:jc w:val="center"/>
        <w:rPr>
          <w:b/>
        </w:rPr>
      </w:pPr>
      <w:r>
        <w:rPr>
          <w:b/>
          <w:bCs/>
          <w:lang w:val="en-GB"/>
        </w:rPr>
        <w:t xml:space="preserve">REGULATION </w:t>
      </w:r>
    </w:p>
    <w:p w:rsidR="00111869" w:rsidRPr="00DD5CAF" w:rsidRDefault="00B6600E" w:rsidP="00111869">
      <w:pPr>
        <w:autoSpaceDE w:val="0"/>
        <w:autoSpaceDN w:val="0"/>
        <w:adjustRightInd w:val="0"/>
        <w:jc w:val="center"/>
        <w:rPr>
          <w:b/>
        </w:rPr>
      </w:pPr>
      <w:r>
        <w:rPr>
          <w:b/>
          <w:bCs/>
          <w:lang w:val="en-GB"/>
        </w:rPr>
        <w:t>on the application of the Guidelines on product oversight and governance arrangements for retail banking products</w:t>
      </w:r>
    </w:p>
    <w:p w:rsidR="00C4547D" w:rsidRPr="00DD5CAF" w:rsidRDefault="00C4547D" w:rsidP="00E10478">
      <w:pPr>
        <w:rPr>
          <w:b/>
        </w:rPr>
      </w:pPr>
    </w:p>
    <w:p w:rsidR="00D76FC7" w:rsidRPr="00BD1E17" w:rsidRDefault="00D76FC7" w:rsidP="00BD1E17">
      <w:pPr>
        <w:jc w:val="center"/>
        <w:rPr>
          <w:b/>
        </w:rPr>
      </w:pPr>
      <w:r w:rsidRPr="00BD1E17">
        <w:rPr>
          <w:b/>
          <w:bCs/>
          <w:lang w:val="en-GB"/>
        </w:rPr>
        <w:t>Article 1</w:t>
      </w:r>
    </w:p>
    <w:p w:rsidR="00AA21A2" w:rsidRPr="00DD5CAF" w:rsidRDefault="00AA21A2" w:rsidP="00D76FC7">
      <w:pPr>
        <w:pStyle w:val="Odstavekseznama"/>
        <w:ind w:left="0"/>
        <w:jc w:val="center"/>
        <w:rPr>
          <w:b/>
        </w:rPr>
      </w:pPr>
      <w:r>
        <w:rPr>
          <w:b/>
          <w:bCs/>
          <w:lang w:val="en-GB"/>
        </w:rPr>
        <w:t>(</w:t>
      </w:r>
      <w:proofErr w:type="gramStart"/>
      <w:r>
        <w:rPr>
          <w:b/>
          <w:bCs/>
          <w:lang w:val="en-GB"/>
        </w:rPr>
        <w:t>purpose</w:t>
      </w:r>
      <w:proofErr w:type="gramEnd"/>
      <w:r>
        <w:rPr>
          <w:b/>
          <w:bCs/>
          <w:lang w:val="en-GB"/>
        </w:rPr>
        <w:t xml:space="preserve"> and field of application)</w:t>
      </w:r>
    </w:p>
    <w:p w:rsidR="008B7774" w:rsidRPr="00DD5CAF" w:rsidRDefault="008B7774"/>
    <w:p w:rsidR="00AA21A2" w:rsidRPr="00DD5CAF" w:rsidRDefault="008B7774" w:rsidP="00B74523">
      <w:pPr>
        <w:pStyle w:val="Odstavekseznama"/>
        <w:numPr>
          <w:ilvl w:val="0"/>
          <w:numId w:val="6"/>
        </w:numPr>
        <w:tabs>
          <w:tab w:val="left" w:pos="426"/>
        </w:tabs>
        <w:ind w:left="0" w:firstLine="0"/>
        <w:jc w:val="both"/>
      </w:pPr>
      <w:r>
        <w:rPr>
          <w:lang w:val="en-GB"/>
        </w:rPr>
        <w:t xml:space="preserve">Pursuant to Article 16(1) of Regulation (EU) No 1093/2010 of the European Parliament and of the Council of 24 November 2010 establishing a European Supervisory Authority (European Banking Authority), amending Decision No 716/2009/EC and repealing Commission Decision 2009/78/EC, on 22 March 2016 the European Banking Authority issued the Guidelines on product oversight and governance arrangements for retail banking products (hereinafter: the guidelines), which are published on its website. </w:t>
      </w:r>
    </w:p>
    <w:p w:rsidR="00AA21A2" w:rsidRPr="00DD5CAF" w:rsidRDefault="00AA21A2" w:rsidP="00B74523">
      <w:pPr>
        <w:pStyle w:val="Odstavekseznama"/>
        <w:tabs>
          <w:tab w:val="left" w:pos="426"/>
        </w:tabs>
        <w:ind w:left="0"/>
        <w:jc w:val="both"/>
      </w:pPr>
    </w:p>
    <w:p w:rsidR="00F71AAA" w:rsidRDefault="0039062C" w:rsidP="00B74523">
      <w:pPr>
        <w:pStyle w:val="Odstavekseznama"/>
        <w:numPr>
          <w:ilvl w:val="0"/>
          <w:numId w:val="6"/>
        </w:numPr>
        <w:tabs>
          <w:tab w:val="left" w:pos="426"/>
        </w:tabs>
        <w:ind w:left="0" w:firstLine="0"/>
        <w:jc w:val="both"/>
      </w:pPr>
      <w:r>
        <w:rPr>
          <w:lang w:val="en-GB"/>
        </w:rPr>
        <w:t xml:space="preserve">The guidelines referred to in the first paragraph of this article </w:t>
      </w:r>
      <w:r>
        <w:rPr>
          <w:color w:val="000000"/>
          <w:lang w:val="en-GB"/>
        </w:rPr>
        <w:t>deal with</w:t>
      </w:r>
      <w:r>
        <w:rPr>
          <w:lang w:val="en-GB"/>
        </w:rPr>
        <w:t xml:space="preserve"> the establishment of product oversight and governance arrangements for both manufacturers and distributors as an integral part of the general organisational requirements linked to internal control systems, and refer to internal processes, functions and strategies aimed at designing products, bringing them to the market, and reviewing them over their life cycle.</w:t>
      </w:r>
    </w:p>
    <w:p w:rsidR="00F71AAA" w:rsidRPr="00F71AAA" w:rsidRDefault="00F71AAA" w:rsidP="00B74523">
      <w:pPr>
        <w:autoSpaceDE w:val="0"/>
        <w:autoSpaceDN w:val="0"/>
        <w:adjustRightInd w:val="0"/>
        <w:jc w:val="both"/>
        <w:rPr>
          <w:color w:val="000000"/>
          <w:sz w:val="24"/>
          <w:szCs w:val="24"/>
        </w:rPr>
      </w:pPr>
    </w:p>
    <w:p w:rsidR="00F71AAA" w:rsidRPr="00F71AAA" w:rsidRDefault="00F71AAA" w:rsidP="00B74523">
      <w:pPr>
        <w:autoSpaceDE w:val="0"/>
        <w:autoSpaceDN w:val="0"/>
        <w:adjustRightInd w:val="0"/>
        <w:jc w:val="both"/>
        <w:rPr>
          <w:color w:val="000000"/>
        </w:rPr>
      </w:pPr>
      <w:r>
        <w:rPr>
          <w:color w:val="000000"/>
          <w:lang w:val="en-GB"/>
        </w:rPr>
        <w:t xml:space="preserve">(3) The guidelines apply to: </w:t>
      </w:r>
    </w:p>
    <w:p w:rsidR="00F71AAA" w:rsidRPr="00F71AAA" w:rsidRDefault="00F71AAA" w:rsidP="00B74523">
      <w:pPr>
        <w:autoSpaceDE w:val="0"/>
        <w:autoSpaceDN w:val="0"/>
        <w:adjustRightInd w:val="0"/>
        <w:spacing w:after="21"/>
        <w:jc w:val="both"/>
        <w:rPr>
          <w:color w:val="000000"/>
        </w:rPr>
      </w:pPr>
      <w:r>
        <w:rPr>
          <w:color w:val="000000"/>
          <w:lang w:val="en-GB"/>
        </w:rPr>
        <w:t xml:space="preserve">1. financial institutions as defined in Article 4(1) of Regulation (EU) No 1093/2010; and </w:t>
      </w:r>
    </w:p>
    <w:p w:rsidR="00F71AAA" w:rsidRPr="00F71AAA" w:rsidRDefault="00F71AAA" w:rsidP="00B74523">
      <w:pPr>
        <w:autoSpaceDE w:val="0"/>
        <w:autoSpaceDN w:val="0"/>
        <w:adjustRightInd w:val="0"/>
        <w:jc w:val="both"/>
        <w:rPr>
          <w:color w:val="000000"/>
        </w:rPr>
      </w:pPr>
      <w:r>
        <w:rPr>
          <w:color w:val="000000"/>
          <w:lang w:val="en-GB"/>
        </w:rPr>
        <w:t xml:space="preserve">2. competent authorities as defined in Article 4(2) of Regulation (EU) No 1093/2010. </w:t>
      </w:r>
    </w:p>
    <w:p w:rsidR="00F71AAA" w:rsidRDefault="00F71AAA" w:rsidP="00330EF7">
      <w:pPr>
        <w:jc w:val="both"/>
      </w:pPr>
    </w:p>
    <w:p w:rsidR="00BD1E17" w:rsidRPr="00DD5CAF" w:rsidRDefault="00BD1E17" w:rsidP="00330EF7">
      <w:pPr>
        <w:jc w:val="both"/>
      </w:pPr>
    </w:p>
    <w:p w:rsidR="00AA21A2" w:rsidRPr="00BD1E17" w:rsidRDefault="00AA21A2" w:rsidP="00BD1E17">
      <w:pPr>
        <w:jc w:val="center"/>
        <w:rPr>
          <w:b/>
        </w:rPr>
      </w:pPr>
      <w:r w:rsidRPr="00BD1E17">
        <w:rPr>
          <w:b/>
          <w:bCs/>
          <w:lang w:val="en-GB"/>
        </w:rPr>
        <w:t>Article 2</w:t>
      </w:r>
    </w:p>
    <w:p w:rsidR="00AA21A2" w:rsidRPr="00DD5CAF" w:rsidRDefault="00AA21A2" w:rsidP="00D76FC7">
      <w:pPr>
        <w:pStyle w:val="Odstavekseznama"/>
        <w:ind w:left="0"/>
        <w:jc w:val="center"/>
        <w:rPr>
          <w:b/>
        </w:rPr>
      </w:pPr>
      <w:r>
        <w:rPr>
          <w:b/>
          <w:bCs/>
          <w:lang w:val="en-GB"/>
        </w:rPr>
        <w:t>(</w:t>
      </w:r>
      <w:proofErr w:type="gramStart"/>
      <w:r>
        <w:rPr>
          <w:b/>
          <w:bCs/>
          <w:lang w:val="en-GB"/>
        </w:rPr>
        <w:t>content</w:t>
      </w:r>
      <w:proofErr w:type="gramEnd"/>
      <w:r>
        <w:rPr>
          <w:b/>
          <w:bCs/>
          <w:lang w:val="en-GB"/>
        </w:rPr>
        <w:t xml:space="preserve"> of regulation and scope of application of guidelines)</w:t>
      </w:r>
    </w:p>
    <w:p w:rsidR="00F71AAA" w:rsidRPr="00F71AAA" w:rsidRDefault="00F71AAA" w:rsidP="00B74523">
      <w:pPr>
        <w:autoSpaceDE w:val="0"/>
        <w:autoSpaceDN w:val="0"/>
        <w:adjustRightInd w:val="0"/>
        <w:jc w:val="both"/>
        <w:rPr>
          <w:color w:val="000000"/>
          <w:sz w:val="24"/>
          <w:szCs w:val="24"/>
        </w:rPr>
      </w:pPr>
    </w:p>
    <w:p w:rsidR="00392512" w:rsidRPr="00392512" w:rsidRDefault="00392512" w:rsidP="00392512">
      <w:pPr>
        <w:autoSpaceDE w:val="0"/>
        <w:autoSpaceDN w:val="0"/>
        <w:adjustRightInd w:val="0"/>
        <w:jc w:val="both"/>
        <w:rPr>
          <w:color w:val="000000"/>
          <w:highlight w:val="yellow"/>
        </w:rPr>
      </w:pPr>
      <w:proofErr w:type="gramStart"/>
      <w:r w:rsidRPr="00392512">
        <w:rPr>
          <w:color w:val="000000"/>
          <w:highlight w:val="yellow"/>
          <w:lang w:val="en-GB"/>
        </w:rPr>
        <w:t>(1) By virtue of this regulation</w:t>
      </w:r>
      <w:proofErr w:type="gramEnd"/>
      <w:r w:rsidRPr="00392512">
        <w:rPr>
          <w:color w:val="000000"/>
          <w:highlight w:val="yellow"/>
          <w:lang w:val="en-GB"/>
        </w:rPr>
        <w:t xml:space="preserve"> the Bank of Slovenia sets out the application of the guidelines to: </w:t>
      </w:r>
    </w:p>
    <w:p w:rsidR="00392512" w:rsidRPr="00392512" w:rsidRDefault="00392512" w:rsidP="00392512">
      <w:pPr>
        <w:autoSpaceDE w:val="0"/>
        <w:autoSpaceDN w:val="0"/>
        <w:adjustRightInd w:val="0"/>
        <w:spacing w:after="21"/>
        <w:jc w:val="both"/>
        <w:rPr>
          <w:color w:val="000000"/>
          <w:highlight w:val="yellow"/>
        </w:rPr>
      </w:pPr>
      <w:r w:rsidRPr="00392512">
        <w:rPr>
          <w:color w:val="000000"/>
          <w:highlight w:val="yellow"/>
          <w:lang w:val="en-GB"/>
        </w:rPr>
        <w:t>1. banks and savings banks that in accordance with the ZBan-2 have obtained an authorisation to provide banking services in the Republic of Slovenia (hereinafter: banks);</w:t>
      </w:r>
    </w:p>
    <w:p w:rsidR="00392512" w:rsidRPr="00392512" w:rsidRDefault="00392512" w:rsidP="00392512">
      <w:pPr>
        <w:autoSpaceDE w:val="0"/>
        <w:autoSpaceDN w:val="0"/>
        <w:adjustRightInd w:val="0"/>
        <w:spacing w:after="21"/>
        <w:jc w:val="both"/>
        <w:rPr>
          <w:highlight w:val="yellow"/>
        </w:rPr>
      </w:pPr>
      <w:r w:rsidRPr="00392512">
        <w:rPr>
          <w:color w:val="000000"/>
          <w:highlight w:val="yellow"/>
          <w:lang w:val="en-GB"/>
        </w:rPr>
        <w:t xml:space="preserve">2. payment institutions that in accordance with the </w:t>
      </w:r>
      <w:proofErr w:type="spellStart"/>
      <w:r w:rsidRPr="00392512">
        <w:rPr>
          <w:color w:val="000000"/>
          <w:highlight w:val="yellow"/>
          <w:lang w:val="en-GB"/>
        </w:rPr>
        <w:t>ZPlaSS</w:t>
      </w:r>
      <w:proofErr w:type="spellEnd"/>
      <w:r w:rsidRPr="00392512">
        <w:rPr>
          <w:color w:val="000000"/>
          <w:highlight w:val="yellow"/>
          <w:lang w:val="en-GB"/>
        </w:rPr>
        <w:t xml:space="preserve"> have obtained an authorisation to provide payment services</w:t>
      </w:r>
      <w:r w:rsidRPr="00392512">
        <w:rPr>
          <w:highlight w:val="yellow"/>
          <w:lang w:val="en-GB"/>
        </w:rPr>
        <w:t xml:space="preserve"> as a payment institution in the Republic of Slovenia, and electronic money issuers that in accordance with the </w:t>
      </w:r>
      <w:proofErr w:type="spellStart"/>
      <w:r w:rsidRPr="00392512">
        <w:rPr>
          <w:highlight w:val="yellow"/>
          <w:lang w:val="en-GB"/>
        </w:rPr>
        <w:t>ZPlaSS</w:t>
      </w:r>
      <w:proofErr w:type="spellEnd"/>
      <w:r w:rsidRPr="00392512">
        <w:rPr>
          <w:highlight w:val="yellow"/>
          <w:lang w:val="en-GB"/>
        </w:rPr>
        <w:t xml:space="preserve"> have obtained an authorisation to provide services of electronic money issuance in the Republic of Slovenia;</w:t>
      </w:r>
    </w:p>
    <w:p w:rsidR="00392512" w:rsidRPr="00392512" w:rsidRDefault="00392512" w:rsidP="00392512">
      <w:pPr>
        <w:autoSpaceDE w:val="0"/>
        <w:autoSpaceDN w:val="0"/>
        <w:adjustRightInd w:val="0"/>
        <w:spacing w:after="21"/>
        <w:jc w:val="both"/>
        <w:rPr>
          <w:highlight w:val="yellow"/>
        </w:rPr>
      </w:pPr>
      <w:r w:rsidRPr="00392512">
        <w:rPr>
          <w:highlight w:val="yellow"/>
          <w:lang w:val="en-GB"/>
        </w:rPr>
        <w:t>3. creditors that provide real estate finance leasing services in accordance with the ZPotK-2, and credit intermediaries in the provision of services of consumer credit intermediation for real estate in accordance with the ZPotK-2; and</w:t>
      </w:r>
    </w:p>
    <w:p w:rsidR="00392512" w:rsidRPr="00392512" w:rsidRDefault="00392512" w:rsidP="00392512">
      <w:pPr>
        <w:autoSpaceDE w:val="0"/>
        <w:autoSpaceDN w:val="0"/>
        <w:adjustRightInd w:val="0"/>
        <w:jc w:val="both"/>
        <w:rPr>
          <w:color w:val="000000"/>
          <w:highlight w:val="yellow"/>
        </w:rPr>
      </w:pPr>
      <w:proofErr w:type="gramStart"/>
      <w:r w:rsidRPr="00392512">
        <w:rPr>
          <w:color w:val="000000"/>
          <w:highlight w:val="yellow"/>
          <w:lang w:val="en-GB"/>
        </w:rPr>
        <w:t xml:space="preserve">4. the Bank of Slovenia, when, in accordance with the ZBan-2, Regulation (EU) No 575/2013 of the European Parliament and of the Council of 26 June 2013 on prudential requirements for credit institutions and investment firms and amending Regulation (EU) No 648/2012 (OJ L 176, of 27 June 2013, p 1; hereinafter: Regulation (EU) No 575/2013), the </w:t>
      </w:r>
      <w:proofErr w:type="spellStart"/>
      <w:r w:rsidRPr="00392512">
        <w:rPr>
          <w:color w:val="000000"/>
          <w:highlight w:val="yellow"/>
          <w:lang w:val="en-GB"/>
        </w:rPr>
        <w:t>ZPlaSS</w:t>
      </w:r>
      <w:proofErr w:type="spellEnd"/>
      <w:r w:rsidRPr="00392512">
        <w:rPr>
          <w:color w:val="000000"/>
          <w:highlight w:val="yellow"/>
          <w:lang w:val="en-GB"/>
        </w:rPr>
        <w:t xml:space="preserve"> and the ZPotK-2, in its role as the competent authority it is exercising supervisory powers and tasks over entities referred to in points 1, 2 and 3 of this paragraph.</w:t>
      </w:r>
      <w:proofErr w:type="gramEnd"/>
      <w:r w:rsidRPr="00392512">
        <w:rPr>
          <w:color w:val="000000"/>
          <w:highlight w:val="yellow"/>
          <w:lang w:val="en-GB"/>
        </w:rPr>
        <w:t xml:space="preserve"> </w:t>
      </w:r>
    </w:p>
    <w:p w:rsidR="00392512" w:rsidRPr="00392512" w:rsidRDefault="00392512" w:rsidP="00392512">
      <w:pPr>
        <w:autoSpaceDE w:val="0"/>
        <w:autoSpaceDN w:val="0"/>
        <w:adjustRightInd w:val="0"/>
        <w:jc w:val="both"/>
        <w:rPr>
          <w:color w:val="000000"/>
          <w:highlight w:val="yellow"/>
        </w:rPr>
      </w:pPr>
    </w:p>
    <w:p w:rsidR="00392512" w:rsidRPr="00392512" w:rsidRDefault="00392512" w:rsidP="00392512">
      <w:pPr>
        <w:autoSpaceDE w:val="0"/>
        <w:autoSpaceDN w:val="0"/>
        <w:adjustRightInd w:val="0"/>
        <w:jc w:val="both"/>
        <w:rPr>
          <w:color w:val="000000"/>
          <w:highlight w:val="yellow"/>
        </w:rPr>
      </w:pPr>
      <w:r w:rsidRPr="00392512">
        <w:rPr>
          <w:color w:val="000000"/>
          <w:highlight w:val="yellow"/>
          <w:lang w:val="en-GB"/>
        </w:rPr>
        <w:t xml:space="preserve">(2) In the design of products for consumers, the bringing of such products to the market and the review of such products, the entities referred to in points 1, 2 and 3 of the first paragraph of this article shall take full account of the provisions of the guidelines. The entities referred to in points 1, 2 and 3 of the first paragraph of this article shall ensure that </w:t>
      </w:r>
      <w:proofErr w:type="gramStart"/>
      <w:r w:rsidRPr="00392512">
        <w:rPr>
          <w:color w:val="000000"/>
          <w:highlight w:val="yellow"/>
          <w:lang w:val="en-GB"/>
        </w:rPr>
        <w:t>the provisions of the guidelines are also taken into account by their distributors and external providers</w:t>
      </w:r>
      <w:proofErr w:type="gramEnd"/>
      <w:r w:rsidRPr="00392512">
        <w:rPr>
          <w:color w:val="000000"/>
          <w:highlight w:val="yellow"/>
          <w:lang w:val="en-GB"/>
        </w:rPr>
        <w:t xml:space="preserve">. </w:t>
      </w:r>
    </w:p>
    <w:p w:rsidR="00392512" w:rsidRPr="00392512" w:rsidRDefault="00392512" w:rsidP="00392512">
      <w:pPr>
        <w:autoSpaceDE w:val="0"/>
        <w:autoSpaceDN w:val="0"/>
        <w:adjustRightInd w:val="0"/>
        <w:jc w:val="both"/>
        <w:rPr>
          <w:color w:val="000000"/>
          <w:highlight w:val="yellow"/>
        </w:rPr>
      </w:pPr>
    </w:p>
    <w:p w:rsidR="00392512" w:rsidRDefault="00392512" w:rsidP="00392512">
      <w:pPr>
        <w:autoSpaceDE w:val="0"/>
        <w:autoSpaceDN w:val="0"/>
        <w:adjustRightInd w:val="0"/>
        <w:jc w:val="both"/>
      </w:pPr>
      <w:r w:rsidRPr="00392512">
        <w:rPr>
          <w:color w:val="000000"/>
          <w:highlight w:val="yellow"/>
          <w:lang w:val="en-GB"/>
        </w:rPr>
        <w:t xml:space="preserve">(3) In exercising its supervisory powers and tasks in accordance with the ZBan-2, Regulation (EU) No 575/2013, the </w:t>
      </w:r>
      <w:proofErr w:type="spellStart"/>
      <w:r w:rsidRPr="00392512">
        <w:rPr>
          <w:color w:val="000000"/>
          <w:highlight w:val="yellow"/>
          <w:lang w:val="en-GB"/>
        </w:rPr>
        <w:t>ZPlaSS</w:t>
      </w:r>
      <w:proofErr w:type="spellEnd"/>
      <w:r w:rsidRPr="00392512">
        <w:rPr>
          <w:color w:val="000000"/>
          <w:highlight w:val="yellow"/>
          <w:lang w:val="en-GB"/>
        </w:rPr>
        <w:t xml:space="preserve"> and the ZPotK-2, the Bank of Slovenia shall take full account of the provisions of the guidelines in the parts relating to the exercise of the powers and tasks of the competent authority.</w:t>
      </w:r>
    </w:p>
    <w:p w:rsidR="0070367D" w:rsidRPr="008301BE" w:rsidRDefault="0070367D" w:rsidP="00B74523">
      <w:pPr>
        <w:pStyle w:val="Odstavekseznama"/>
        <w:tabs>
          <w:tab w:val="left" w:pos="426"/>
        </w:tabs>
        <w:ind w:left="0"/>
        <w:jc w:val="both"/>
      </w:pPr>
    </w:p>
    <w:p w:rsidR="008301BE" w:rsidRPr="008301BE" w:rsidRDefault="008301BE" w:rsidP="00B74523">
      <w:pPr>
        <w:autoSpaceDE w:val="0"/>
        <w:autoSpaceDN w:val="0"/>
        <w:adjustRightInd w:val="0"/>
        <w:jc w:val="both"/>
        <w:rPr>
          <w:color w:val="000000"/>
        </w:rPr>
      </w:pPr>
    </w:p>
    <w:p w:rsidR="00B6600E" w:rsidRPr="00BD1E17" w:rsidRDefault="00B6600E" w:rsidP="00BD1E17">
      <w:pPr>
        <w:jc w:val="center"/>
        <w:rPr>
          <w:b/>
        </w:rPr>
      </w:pPr>
      <w:r w:rsidRPr="00BD1E17">
        <w:rPr>
          <w:b/>
          <w:bCs/>
          <w:lang w:val="en-GB"/>
        </w:rPr>
        <w:t>Article 3</w:t>
      </w:r>
    </w:p>
    <w:p w:rsidR="00B6317A" w:rsidRPr="00DD5CAF" w:rsidRDefault="00B6317A" w:rsidP="00B6317A">
      <w:pPr>
        <w:pStyle w:val="Odstavekseznama"/>
        <w:ind w:left="0"/>
        <w:jc w:val="center"/>
        <w:rPr>
          <w:b/>
        </w:rPr>
      </w:pPr>
      <w:r>
        <w:rPr>
          <w:b/>
          <w:bCs/>
          <w:lang w:val="en-GB"/>
        </w:rPr>
        <w:t>(</w:t>
      </w:r>
      <w:proofErr w:type="gramStart"/>
      <w:r>
        <w:rPr>
          <w:b/>
          <w:bCs/>
          <w:lang w:val="en-GB"/>
        </w:rPr>
        <w:t>entry</w:t>
      </w:r>
      <w:proofErr w:type="gramEnd"/>
      <w:r>
        <w:rPr>
          <w:b/>
          <w:bCs/>
          <w:lang w:val="en-GB"/>
        </w:rPr>
        <w:t xml:space="preserve"> into force)</w:t>
      </w:r>
    </w:p>
    <w:p w:rsidR="00B6600E" w:rsidRPr="00DD5CAF" w:rsidRDefault="00B6600E" w:rsidP="00B6600E"/>
    <w:p w:rsidR="00B6600E" w:rsidRPr="00DD5CAF" w:rsidRDefault="00B6600E" w:rsidP="005C1F2B">
      <w:pPr>
        <w:tabs>
          <w:tab w:val="left" w:pos="426"/>
        </w:tabs>
        <w:jc w:val="both"/>
      </w:pPr>
      <w:r>
        <w:rPr>
          <w:lang w:val="en-GB"/>
        </w:rPr>
        <w:t>This regulation shall enter into force on the day after its publication in the Official Gazette of the Republic of Slovenia, and shall begin to be applied on 3 January 2017.</w:t>
      </w:r>
    </w:p>
    <w:p w:rsidR="00B6600E" w:rsidRDefault="00B6600E" w:rsidP="00B6600E"/>
    <w:p w:rsidR="00BD1E17" w:rsidRPr="00DD5CAF" w:rsidRDefault="00BD1E17" w:rsidP="00B6600E"/>
    <w:p w:rsidR="00B6600E" w:rsidRDefault="00B6600E" w:rsidP="00B6600E">
      <w:pPr>
        <w:rPr>
          <w:lang w:val="en-GB"/>
        </w:rPr>
      </w:pPr>
      <w:r>
        <w:rPr>
          <w:lang w:val="en-GB"/>
        </w:rPr>
        <w:t xml:space="preserve">Ljubljana, 8 December 2016 </w:t>
      </w:r>
    </w:p>
    <w:p w:rsidR="00BD1E17" w:rsidRDefault="00BD1E17" w:rsidP="00B6600E">
      <w:pPr>
        <w:rPr>
          <w:lang w:val="en-GB"/>
        </w:rPr>
      </w:pPr>
    </w:p>
    <w:p w:rsidR="00BD1E17" w:rsidRPr="00DD5CAF" w:rsidRDefault="00BD1E17" w:rsidP="00B6600E"/>
    <w:p w:rsidR="00B6600E" w:rsidRPr="00DD5CAF" w:rsidRDefault="00B6600E" w:rsidP="00DC62BB">
      <w:pPr>
        <w:ind w:left="6379"/>
        <w:jc w:val="center"/>
      </w:pPr>
      <w:r>
        <w:rPr>
          <w:lang w:val="en-GB"/>
        </w:rPr>
        <w:t>Boštjan Jazbec</w:t>
      </w:r>
    </w:p>
    <w:p w:rsidR="00B6600E" w:rsidRPr="00DD5CAF" w:rsidRDefault="00AC6279" w:rsidP="00DC62BB">
      <w:pPr>
        <w:ind w:left="6379"/>
        <w:jc w:val="center"/>
      </w:pPr>
      <w:r>
        <w:rPr>
          <w:lang w:val="en-GB"/>
        </w:rPr>
        <w:t>President,</w:t>
      </w:r>
    </w:p>
    <w:p w:rsidR="00B6600E" w:rsidRDefault="00BF08C3" w:rsidP="00DC62BB">
      <w:pPr>
        <w:ind w:left="6379"/>
        <w:jc w:val="center"/>
        <w:rPr>
          <w:lang w:val="en-GB"/>
        </w:rPr>
      </w:pPr>
      <w:r>
        <w:rPr>
          <w:lang w:val="en-GB"/>
        </w:rPr>
        <w:t>Governing Board of the Bank of Slovenia</w:t>
      </w:r>
    </w:p>
    <w:p w:rsidR="002614EE" w:rsidRDefault="002614EE" w:rsidP="00DC62BB">
      <w:pPr>
        <w:ind w:left="6379"/>
        <w:jc w:val="center"/>
        <w:rPr>
          <w:lang w:val="en-GB"/>
        </w:rPr>
      </w:pPr>
    </w:p>
    <w:p w:rsidR="002614EE" w:rsidRDefault="002614EE" w:rsidP="002614EE">
      <w:pPr>
        <w:pBdr>
          <w:bottom w:val="single" w:sz="4" w:space="1" w:color="auto"/>
        </w:pBdr>
      </w:pPr>
    </w:p>
    <w:p w:rsidR="002614EE" w:rsidRDefault="002614EE" w:rsidP="002614EE"/>
    <w:p w:rsidR="002614EE" w:rsidRDefault="002614EE" w:rsidP="002614EE">
      <w:pPr>
        <w:jc w:val="both"/>
        <w:rPr>
          <w:highlight w:val="yellow"/>
        </w:rPr>
      </w:pPr>
      <w:proofErr w:type="spellStart"/>
      <w:r>
        <w:rPr>
          <w:b/>
          <w:highlight w:val="yellow"/>
        </w:rPr>
        <w:t>Regulation</w:t>
      </w:r>
      <w:proofErr w:type="spellEnd"/>
      <w:r>
        <w:rPr>
          <w:b/>
          <w:highlight w:val="yellow"/>
        </w:rPr>
        <w:t xml:space="preserve"> </w:t>
      </w:r>
      <w:proofErr w:type="spellStart"/>
      <w:r>
        <w:rPr>
          <w:b/>
          <w:highlight w:val="yellow"/>
        </w:rPr>
        <w:t>amending</w:t>
      </w:r>
      <w:proofErr w:type="spellEnd"/>
      <w:r>
        <w:rPr>
          <w:b/>
          <w:highlight w:val="yellow"/>
        </w:rPr>
        <w:t xml:space="preserve"> </w:t>
      </w:r>
      <w:proofErr w:type="spellStart"/>
      <w:r>
        <w:rPr>
          <w:b/>
          <w:highlight w:val="yellow"/>
        </w:rPr>
        <w:t>the</w:t>
      </w:r>
      <w:proofErr w:type="spellEnd"/>
      <w:r>
        <w:rPr>
          <w:b/>
          <w:highlight w:val="yellow"/>
        </w:rPr>
        <w:t xml:space="preserve"> </w:t>
      </w:r>
      <w:proofErr w:type="spellStart"/>
      <w:r>
        <w:rPr>
          <w:b/>
          <w:highlight w:val="yellow"/>
        </w:rPr>
        <w:t>Regulation</w:t>
      </w:r>
      <w:proofErr w:type="spellEnd"/>
      <w:r>
        <w:rPr>
          <w:b/>
          <w:highlight w:val="yellow"/>
        </w:rPr>
        <w:t xml:space="preserve"> on </w:t>
      </w:r>
      <w:proofErr w:type="spellStart"/>
      <w:r>
        <w:rPr>
          <w:b/>
          <w:highlight w:val="yellow"/>
        </w:rPr>
        <w:t>the</w:t>
      </w:r>
      <w:proofErr w:type="spellEnd"/>
      <w:r>
        <w:rPr>
          <w:b/>
          <w:highlight w:val="yellow"/>
        </w:rPr>
        <w:t xml:space="preserve"> </w:t>
      </w:r>
      <w:proofErr w:type="spellStart"/>
      <w:r>
        <w:rPr>
          <w:b/>
          <w:highlight w:val="yellow"/>
        </w:rPr>
        <w:t>application</w:t>
      </w:r>
      <w:proofErr w:type="spellEnd"/>
      <w:r>
        <w:rPr>
          <w:b/>
          <w:highlight w:val="yellow"/>
        </w:rPr>
        <w:t xml:space="preserve"> </w:t>
      </w:r>
      <w:proofErr w:type="spellStart"/>
      <w:r>
        <w:rPr>
          <w:b/>
          <w:highlight w:val="yellow"/>
        </w:rPr>
        <w:t>of</w:t>
      </w:r>
      <w:proofErr w:type="spellEnd"/>
      <w:r>
        <w:rPr>
          <w:b/>
          <w:highlight w:val="yellow"/>
        </w:rPr>
        <w:t xml:space="preserve"> </w:t>
      </w:r>
      <w:proofErr w:type="spellStart"/>
      <w:r>
        <w:rPr>
          <w:b/>
          <w:highlight w:val="yellow"/>
        </w:rPr>
        <w:t>the</w:t>
      </w:r>
      <w:proofErr w:type="spellEnd"/>
      <w:r>
        <w:rPr>
          <w:b/>
          <w:highlight w:val="yellow"/>
        </w:rPr>
        <w:t xml:space="preserve"> </w:t>
      </w:r>
      <w:proofErr w:type="spellStart"/>
      <w:r>
        <w:rPr>
          <w:b/>
          <w:highlight w:val="yellow"/>
        </w:rPr>
        <w:t>Guidelines</w:t>
      </w:r>
      <w:proofErr w:type="spellEnd"/>
      <w:r>
        <w:rPr>
          <w:b/>
          <w:highlight w:val="yellow"/>
        </w:rPr>
        <w:t xml:space="preserve"> on </w:t>
      </w:r>
      <w:proofErr w:type="spellStart"/>
      <w:r>
        <w:rPr>
          <w:b/>
          <w:highlight w:val="yellow"/>
        </w:rPr>
        <w:t>product</w:t>
      </w:r>
      <w:proofErr w:type="spellEnd"/>
      <w:r>
        <w:rPr>
          <w:b/>
          <w:highlight w:val="yellow"/>
        </w:rPr>
        <w:t xml:space="preserve"> </w:t>
      </w:r>
      <w:proofErr w:type="spellStart"/>
      <w:r>
        <w:rPr>
          <w:b/>
          <w:highlight w:val="yellow"/>
        </w:rPr>
        <w:t>oversight</w:t>
      </w:r>
      <w:proofErr w:type="spellEnd"/>
      <w:r>
        <w:rPr>
          <w:b/>
          <w:highlight w:val="yellow"/>
        </w:rPr>
        <w:t xml:space="preserve"> </w:t>
      </w:r>
      <w:proofErr w:type="spellStart"/>
      <w:r>
        <w:rPr>
          <w:b/>
          <w:highlight w:val="yellow"/>
        </w:rPr>
        <w:t>and</w:t>
      </w:r>
      <w:proofErr w:type="spellEnd"/>
      <w:r>
        <w:rPr>
          <w:b/>
          <w:highlight w:val="yellow"/>
        </w:rPr>
        <w:t xml:space="preserve"> </w:t>
      </w:r>
      <w:proofErr w:type="spellStart"/>
      <w:r>
        <w:rPr>
          <w:b/>
          <w:highlight w:val="yellow"/>
        </w:rPr>
        <w:t>governance</w:t>
      </w:r>
      <w:proofErr w:type="spellEnd"/>
      <w:r>
        <w:rPr>
          <w:b/>
          <w:highlight w:val="yellow"/>
        </w:rPr>
        <w:t xml:space="preserve"> </w:t>
      </w:r>
      <w:proofErr w:type="spellStart"/>
      <w:r>
        <w:rPr>
          <w:b/>
          <w:highlight w:val="yellow"/>
        </w:rPr>
        <w:t>arrangements</w:t>
      </w:r>
      <w:proofErr w:type="spellEnd"/>
      <w:r>
        <w:rPr>
          <w:b/>
          <w:highlight w:val="yellow"/>
        </w:rPr>
        <w:t xml:space="preserve"> </w:t>
      </w:r>
      <w:proofErr w:type="spellStart"/>
      <w:r>
        <w:rPr>
          <w:b/>
          <w:highlight w:val="yellow"/>
        </w:rPr>
        <w:t>for</w:t>
      </w:r>
      <w:proofErr w:type="spellEnd"/>
      <w:r>
        <w:rPr>
          <w:b/>
          <w:highlight w:val="yellow"/>
        </w:rPr>
        <w:t xml:space="preserve"> </w:t>
      </w:r>
      <w:proofErr w:type="spellStart"/>
      <w:r>
        <w:rPr>
          <w:b/>
          <w:highlight w:val="yellow"/>
        </w:rPr>
        <w:t>retail</w:t>
      </w:r>
      <w:proofErr w:type="spellEnd"/>
      <w:r>
        <w:rPr>
          <w:b/>
          <w:highlight w:val="yellow"/>
        </w:rPr>
        <w:t xml:space="preserve"> </w:t>
      </w:r>
      <w:proofErr w:type="spellStart"/>
      <w:r>
        <w:rPr>
          <w:b/>
          <w:highlight w:val="yellow"/>
        </w:rPr>
        <w:t>banking</w:t>
      </w:r>
      <w:proofErr w:type="spellEnd"/>
      <w:r>
        <w:rPr>
          <w:b/>
          <w:highlight w:val="yellow"/>
        </w:rPr>
        <w:t xml:space="preserve"> </w:t>
      </w:r>
      <w:proofErr w:type="spellStart"/>
      <w:r>
        <w:rPr>
          <w:b/>
          <w:highlight w:val="yellow"/>
        </w:rPr>
        <w:t>products</w:t>
      </w:r>
      <w:proofErr w:type="spellEnd"/>
      <w:r>
        <w:rPr>
          <w:b/>
          <w:highlight w:val="yellow"/>
        </w:rPr>
        <w:t xml:space="preserve"> </w:t>
      </w:r>
      <w:r w:rsidRPr="00DE6BB5">
        <w:rPr>
          <w:highlight w:val="yellow"/>
        </w:rPr>
        <w:t>(</w:t>
      </w:r>
      <w:proofErr w:type="spellStart"/>
      <w:r w:rsidRPr="00DE6BB5">
        <w:rPr>
          <w:highlight w:val="yellow"/>
        </w:rPr>
        <w:t>Official</w:t>
      </w:r>
      <w:proofErr w:type="spellEnd"/>
      <w:r w:rsidRPr="00DE6BB5">
        <w:rPr>
          <w:highlight w:val="yellow"/>
        </w:rPr>
        <w:t xml:space="preserve"> </w:t>
      </w:r>
      <w:proofErr w:type="spellStart"/>
      <w:r w:rsidRPr="00DE6BB5">
        <w:rPr>
          <w:highlight w:val="yellow"/>
        </w:rPr>
        <w:t>Gazette</w:t>
      </w:r>
      <w:proofErr w:type="spellEnd"/>
      <w:r w:rsidRPr="00DE6BB5">
        <w:rPr>
          <w:highlight w:val="yellow"/>
        </w:rPr>
        <w:t xml:space="preserve"> </w:t>
      </w:r>
      <w:proofErr w:type="spellStart"/>
      <w:r w:rsidRPr="00DE6BB5">
        <w:rPr>
          <w:highlight w:val="yellow"/>
        </w:rPr>
        <w:t>of</w:t>
      </w:r>
      <w:proofErr w:type="spellEnd"/>
      <w:r w:rsidRPr="00DE6BB5">
        <w:rPr>
          <w:highlight w:val="yellow"/>
        </w:rPr>
        <w:t xml:space="preserve"> </w:t>
      </w:r>
      <w:proofErr w:type="spellStart"/>
      <w:r w:rsidRPr="00DE6BB5">
        <w:rPr>
          <w:highlight w:val="yellow"/>
        </w:rPr>
        <w:t>the</w:t>
      </w:r>
      <w:proofErr w:type="spellEnd"/>
      <w:r w:rsidRPr="00DE6BB5">
        <w:rPr>
          <w:highlight w:val="yellow"/>
        </w:rPr>
        <w:t xml:space="preserve"> </w:t>
      </w:r>
      <w:r w:rsidRPr="00DE6BB5">
        <w:rPr>
          <w:szCs w:val="24"/>
          <w:highlight w:val="yellow"/>
          <w:lang w:val="en-GB"/>
        </w:rPr>
        <w:t xml:space="preserve">Republic of Slovenia, No. </w:t>
      </w:r>
      <w:r w:rsidRPr="00DE6BB5">
        <w:rPr>
          <w:highlight w:val="yellow"/>
        </w:rPr>
        <w:t>12/17)</w:t>
      </w:r>
      <w:r>
        <w:rPr>
          <w:highlight w:val="yellow"/>
        </w:rPr>
        <w:t xml:space="preserve"> </w:t>
      </w:r>
      <w:proofErr w:type="spellStart"/>
      <w:r>
        <w:rPr>
          <w:highlight w:val="yellow"/>
        </w:rPr>
        <w:t>contains</w:t>
      </w:r>
      <w:proofErr w:type="spellEnd"/>
      <w:r>
        <w:rPr>
          <w:highlight w:val="yellow"/>
        </w:rPr>
        <w:t xml:space="preserve"> </w:t>
      </w:r>
      <w:proofErr w:type="spellStart"/>
      <w:r>
        <w:rPr>
          <w:highlight w:val="yellow"/>
        </w:rPr>
        <w:t>the</w:t>
      </w:r>
      <w:proofErr w:type="spellEnd"/>
      <w:r>
        <w:rPr>
          <w:highlight w:val="yellow"/>
        </w:rPr>
        <w:t xml:space="preserve"> </w:t>
      </w:r>
      <w:proofErr w:type="spellStart"/>
      <w:r>
        <w:rPr>
          <w:highlight w:val="yellow"/>
        </w:rPr>
        <w:t>following</w:t>
      </w:r>
      <w:proofErr w:type="spellEnd"/>
      <w:r>
        <w:rPr>
          <w:highlight w:val="yellow"/>
        </w:rPr>
        <w:t xml:space="preserve"> </w:t>
      </w:r>
      <w:proofErr w:type="spellStart"/>
      <w:r w:rsidR="009765ED">
        <w:rPr>
          <w:highlight w:val="yellow"/>
        </w:rPr>
        <w:t>final</w:t>
      </w:r>
      <w:proofErr w:type="spellEnd"/>
      <w:r w:rsidR="009765ED">
        <w:rPr>
          <w:highlight w:val="yellow"/>
        </w:rPr>
        <w:t xml:space="preserve"> </w:t>
      </w:r>
      <w:proofErr w:type="spellStart"/>
      <w:r>
        <w:rPr>
          <w:highlight w:val="yellow"/>
        </w:rPr>
        <w:t>provision</w:t>
      </w:r>
      <w:proofErr w:type="spellEnd"/>
      <w:r w:rsidRPr="005E1E13">
        <w:rPr>
          <w:highlight w:val="yellow"/>
        </w:rPr>
        <w:t>:</w:t>
      </w:r>
    </w:p>
    <w:p w:rsidR="002614EE" w:rsidRPr="00D567D4" w:rsidRDefault="002614EE" w:rsidP="002614EE">
      <w:pPr>
        <w:jc w:val="both"/>
        <w:rPr>
          <w:highlight w:val="yellow"/>
        </w:rPr>
      </w:pPr>
    </w:p>
    <w:p w:rsidR="002614EE" w:rsidRPr="002614EE" w:rsidRDefault="002614EE" w:rsidP="002614EE">
      <w:pPr>
        <w:pStyle w:val="Default"/>
        <w:jc w:val="center"/>
        <w:rPr>
          <w:sz w:val="22"/>
          <w:szCs w:val="22"/>
          <w:highlight w:val="yellow"/>
        </w:rPr>
      </w:pPr>
      <w:r w:rsidRPr="00D567D4">
        <w:rPr>
          <w:highlight w:val="yellow"/>
        </w:rPr>
        <w:t>"</w:t>
      </w:r>
      <w:r w:rsidRPr="002614EE">
        <w:rPr>
          <w:b/>
          <w:bCs/>
          <w:sz w:val="22"/>
          <w:szCs w:val="22"/>
          <w:highlight w:val="yellow"/>
          <w:lang w:val="en-GB"/>
        </w:rPr>
        <w:t>Article 2</w:t>
      </w:r>
    </w:p>
    <w:p w:rsidR="002614EE" w:rsidRDefault="002614EE" w:rsidP="002614EE">
      <w:pPr>
        <w:pStyle w:val="Default"/>
        <w:jc w:val="center"/>
        <w:rPr>
          <w:b/>
          <w:bCs/>
          <w:sz w:val="22"/>
          <w:szCs w:val="22"/>
        </w:rPr>
      </w:pPr>
      <w:r w:rsidRPr="002614EE">
        <w:rPr>
          <w:b/>
          <w:bCs/>
          <w:sz w:val="22"/>
          <w:szCs w:val="22"/>
          <w:highlight w:val="yellow"/>
          <w:lang w:val="en-GB"/>
        </w:rPr>
        <w:t>(</w:t>
      </w:r>
      <w:proofErr w:type="gramStart"/>
      <w:r w:rsidRPr="002614EE">
        <w:rPr>
          <w:b/>
          <w:bCs/>
          <w:sz w:val="22"/>
          <w:szCs w:val="22"/>
          <w:highlight w:val="yellow"/>
          <w:lang w:val="en-GB"/>
        </w:rPr>
        <w:t>entry</w:t>
      </w:r>
      <w:proofErr w:type="gramEnd"/>
      <w:r w:rsidRPr="002614EE">
        <w:rPr>
          <w:b/>
          <w:bCs/>
          <w:sz w:val="22"/>
          <w:szCs w:val="22"/>
          <w:highlight w:val="yellow"/>
          <w:lang w:val="en-GB"/>
        </w:rPr>
        <w:t xml:space="preserve"> into force)</w:t>
      </w:r>
    </w:p>
    <w:p w:rsidR="002614EE" w:rsidRDefault="002614EE" w:rsidP="002614EE">
      <w:pPr>
        <w:pStyle w:val="Default"/>
        <w:jc w:val="center"/>
        <w:rPr>
          <w:sz w:val="22"/>
          <w:szCs w:val="22"/>
        </w:rPr>
      </w:pPr>
    </w:p>
    <w:p w:rsidR="002614EE" w:rsidRPr="006F55D5" w:rsidRDefault="002614EE" w:rsidP="002614EE">
      <w:pPr>
        <w:pStyle w:val="Odstavekseznama"/>
        <w:tabs>
          <w:tab w:val="left" w:pos="426"/>
        </w:tabs>
        <w:ind w:left="0"/>
        <w:jc w:val="both"/>
        <w:rPr>
          <w:highlight w:val="yellow"/>
        </w:rPr>
      </w:pPr>
      <w:r w:rsidRPr="002614EE">
        <w:rPr>
          <w:highlight w:val="yellow"/>
        </w:rPr>
        <w:t xml:space="preserve">This regulation shall enter into </w:t>
      </w:r>
      <w:proofErr w:type="spellStart"/>
      <w:r w:rsidRPr="002614EE">
        <w:rPr>
          <w:highlight w:val="yellow"/>
        </w:rPr>
        <w:t>force</w:t>
      </w:r>
      <w:proofErr w:type="spellEnd"/>
      <w:r w:rsidRPr="002614EE">
        <w:rPr>
          <w:highlight w:val="yellow"/>
        </w:rPr>
        <w:t xml:space="preserve"> on </w:t>
      </w:r>
      <w:proofErr w:type="spellStart"/>
      <w:r w:rsidRPr="002614EE">
        <w:rPr>
          <w:highlight w:val="yellow"/>
        </w:rPr>
        <w:t>the</w:t>
      </w:r>
      <w:proofErr w:type="spellEnd"/>
      <w:r w:rsidRPr="002614EE">
        <w:rPr>
          <w:highlight w:val="yellow"/>
        </w:rPr>
        <w:t xml:space="preserve"> </w:t>
      </w:r>
      <w:proofErr w:type="spellStart"/>
      <w:r w:rsidRPr="002614EE">
        <w:rPr>
          <w:highlight w:val="yellow"/>
        </w:rPr>
        <w:t>day</w:t>
      </w:r>
      <w:proofErr w:type="spellEnd"/>
      <w:r w:rsidRPr="002614EE">
        <w:rPr>
          <w:highlight w:val="yellow"/>
        </w:rPr>
        <w:t xml:space="preserve"> </w:t>
      </w:r>
      <w:proofErr w:type="spellStart"/>
      <w:r w:rsidRPr="002614EE">
        <w:rPr>
          <w:highlight w:val="yellow"/>
        </w:rPr>
        <w:t>after</w:t>
      </w:r>
      <w:proofErr w:type="spellEnd"/>
      <w:r w:rsidRPr="002614EE">
        <w:rPr>
          <w:highlight w:val="yellow"/>
        </w:rPr>
        <w:t xml:space="preserve"> </w:t>
      </w:r>
      <w:proofErr w:type="spellStart"/>
      <w:r w:rsidRPr="002614EE">
        <w:rPr>
          <w:highlight w:val="yellow"/>
        </w:rPr>
        <w:t>its</w:t>
      </w:r>
      <w:proofErr w:type="spellEnd"/>
      <w:r w:rsidRPr="002614EE">
        <w:rPr>
          <w:highlight w:val="yellow"/>
        </w:rPr>
        <w:t xml:space="preserve"> </w:t>
      </w:r>
      <w:proofErr w:type="spellStart"/>
      <w:r w:rsidRPr="002614EE">
        <w:rPr>
          <w:highlight w:val="yellow"/>
        </w:rPr>
        <w:t>publication</w:t>
      </w:r>
      <w:proofErr w:type="spellEnd"/>
      <w:r w:rsidRPr="002614EE">
        <w:rPr>
          <w:highlight w:val="yellow"/>
        </w:rPr>
        <w:t xml:space="preserve"> in </w:t>
      </w:r>
      <w:proofErr w:type="spellStart"/>
      <w:r w:rsidRPr="002614EE">
        <w:rPr>
          <w:highlight w:val="yellow"/>
        </w:rPr>
        <w:t>the</w:t>
      </w:r>
      <w:proofErr w:type="spellEnd"/>
      <w:r w:rsidRPr="002614EE">
        <w:rPr>
          <w:highlight w:val="yellow"/>
        </w:rPr>
        <w:t xml:space="preserve"> </w:t>
      </w:r>
      <w:proofErr w:type="spellStart"/>
      <w:r w:rsidRPr="002614EE">
        <w:rPr>
          <w:highlight w:val="yellow"/>
        </w:rPr>
        <w:t>Official</w:t>
      </w:r>
      <w:proofErr w:type="spellEnd"/>
      <w:r w:rsidRPr="002614EE">
        <w:rPr>
          <w:highlight w:val="yellow"/>
        </w:rPr>
        <w:t xml:space="preserve"> </w:t>
      </w:r>
      <w:proofErr w:type="spellStart"/>
      <w:r w:rsidRPr="002614EE">
        <w:rPr>
          <w:highlight w:val="yellow"/>
        </w:rPr>
        <w:t>Gazette</w:t>
      </w:r>
      <w:proofErr w:type="spellEnd"/>
      <w:r w:rsidRPr="002614EE">
        <w:rPr>
          <w:highlight w:val="yellow"/>
        </w:rPr>
        <w:t xml:space="preserve"> </w:t>
      </w:r>
      <w:proofErr w:type="spellStart"/>
      <w:r w:rsidRPr="002614EE">
        <w:rPr>
          <w:highlight w:val="yellow"/>
        </w:rPr>
        <w:t>of</w:t>
      </w:r>
      <w:proofErr w:type="spellEnd"/>
      <w:r w:rsidRPr="002614EE">
        <w:rPr>
          <w:highlight w:val="yellow"/>
        </w:rPr>
        <w:t xml:space="preserve"> </w:t>
      </w:r>
      <w:proofErr w:type="spellStart"/>
      <w:r w:rsidRPr="002614EE">
        <w:rPr>
          <w:highlight w:val="yellow"/>
        </w:rPr>
        <w:t>the</w:t>
      </w:r>
      <w:proofErr w:type="spellEnd"/>
      <w:r w:rsidRPr="002614EE">
        <w:rPr>
          <w:highlight w:val="yellow"/>
        </w:rPr>
        <w:t xml:space="preserve"> </w:t>
      </w:r>
      <w:proofErr w:type="spellStart"/>
      <w:r w:rsidRPr="002614EE">
        <w:rPr>
          <w:highlight w:val="yellow"/>
        </w:rPr>
        <w:t>Republic</w:t>
      </w:r>
      <w:proofErr w:type="spellEnd"/>
      <w:r w:rsidRPr="002614EE">
        <w:rPr>
          <w:highlight w:val="yellow"/>
        </w:rPr>
        <w:t xml:space="preserve"> </w:t>
      </w:r>
      <w:proofErr w:type="spellStart"/>
      <w:r w:rsidRPr="002614EE">
        <w:rPr>
          <w:highlight w:val="yellow"/>
        </w:rPr>
        <w:t>of</w:t>
      </w:r>
      <w:proofErr w:type="spellEnd"/>
      <w:r w:rsidRPr="002614EE">
        <w:rPr>
          <w:highlight w:val="yellow"/>
        </w:rPr>
        <w:t xml:space="preserve"> </w:t>
      </w:r>
      <w:proofErr w:type="spellStart"/>
      <w:r w:rsidRPr="002614EE">
        <w:rPr>
          <w:highlight w:val="yellow"/>
        </w:rPr>
        <w:t>Slovenia</w:t>
      </w:r>
      <w:proofErr w:type="spellEnd"/>
      <w:r w:rsidRPr="002614EE">
        <w:rPr>
          <w:highlight w:val="yellow"/>
        </w:rPr>
        <w:t>.</w:t>
      </w:r>
      <w:r w:rsidRPr="00D567D4">
        <w:rPr>
          <w:highlight w:val="yellow"/>
        </w:rPr>
        <w:t>".</w:t>
      </w:r>
      <w:r w:rsidRPr="002614EE">
        <w:rPr>
          <w:highlight w:val="yellow"/>
        </w:rPr>
        <w:t xml:space="preserve"> </w:t>
      </w:r>
    </w:p>
    <w:p w:rsidR="002614EE" w:rsidRDefault="002614EE" w:rsidP="002614EE">
      <w:pPr>
        <w:pBdr>
          <w:bottom w:val="single" w:sz="4" w:space="1" w:color="auto"/>
        </w:pBdr>
      </w:pPr>
    </w:p>
    <w:p w:rsidR="002614EE" w:rsidRDefault="002614EE" w:rsidP="00DC62BB">
      <w:pPr>
        <w:ind w:left="6379"/>
        <w:jc w:val="center"/>
      </w:pPr>
    </w:p>
    <w:sectPr w:rsidR="002614EE" w:rsidSect="001A3A7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C11" w:rsidRDefault="00727C11" w:rsidP="00D76FC7">
      <w:r>
        <w:separator/>
      </w:r>
    </w:p>
  </w:endnote>
  <w:endnote w:type="continuationSeparator" w:id="0">
    <w:p w:rsidR="00727C11" w:rsidRDefault="00727C11" w:rsidP="00D7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1CD" w:rsidRDefault="008A01CD">
    <w:pPr>
      <w:pStyle w:val="Noga"/>
      <w:jc w:val="center"/>
    </w:pPr>
  </w:p>
  <w:p w:rsidR="008A01CD" w:rsidRDefault="008A01C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C11" w:rsidRDefault="00727C11" w:rsidP="00D76FC7">
      <w:r>
        <w:separator/>
      </w:r>
    </w:p>
  </w:footnote>
  <w:footnote w:type="continuationSeparator" w:id="0">
    <w:p w:rsidR="00727C11" w:rsidRDefault="00727C11" w:rsidP="00D76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362" w:rsidRDefault="00E75362" w:rsidP="00E75362">
    <w:pPr>
      <w:pStyle w:val="Glava"/>
      <w:jc w:val="center"/>
      <w:rPr>
        <w:b/>
        <w:noProof/>
        <w:lang w:val="en-GB"/>
      </w:rPr>
    </w:pPr>
    <w:r>
      <w:rPr>
        <w:b/>
        <w:noProof/>
        <w:lang w:val="en-GB"/>
      </w:rPr>
      <w:t>THIS TEXT IS UNOFFICIAL TRANSLATION AND MAY NOT BE USED AS A BASIS FOR</w:t>
    </w:r>
  </w:p>
  <w:p w:rsidR="00E75362" w:rsidRDefault="00E75362" w:rsidP="00E75362">
    <w:pPr>
      <w:pStyle w:val="Glava"/>
      <w:jc w:val="center"/>
    </w:pPr>
    <w:r>
      <w:rPr>
        <w:b/>
        <w:noProof/>
        <w:lang w:val="en-GB"/>
      </w:rPr>
      <w:t>SOLVING ANY DISPUTE</w:t>
    </w:r>
  </w:p>
  <w:p w:rsidR="00E75362" w:rsidRDefault="00E75362">
    <w:pPr>
      <w:pStyle w:val="Glava"/>
    </w:pPr>
  </w:p>
  <w:p w:rsidR="00E75362" w:rsidRDefault="00E7536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923"/>
    <w:multiLevelType w:val="hybridMultilevel"/>
    <w:tmpl w:val="E5942566"/>
    <w:lvl w:ilvl="0" w:tplc="DCA8D36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76734D9"/>
    <w:multiLevelType w:val="hybridMultilevel"/>
    <w:tmpl w:val="3C282308"/>
    <w:lvl w:ilvl="0" w:tplc="DCA8D364">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6C1AAE"/>
    <w:multiLevelType w:val="hybridMultilevel"/>
    <w:tmpl w:val="C0028C2C"/>
    <w:lvl w:ilvl="0" w:tplc="2230FB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F929A1"/>
    <w:multiLevelType w:val="hybridMultilevel"/>
    <w:tmpl w:val="89261A52"/>
    <w:lvl w:ilvl="0" w:tplc="D7D4906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66D12BA"/>
    <w:multiLevelType w:val="hybridMultilevel"/>
    <w:tmpl w:val="3C282308"/>
    <w:lvl w:ilvl="0" w:tplc="DCA8D36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D3C31"/>
    <w:multiLevelType w:val="hybridMultilevel"/>
    <w:tmpl w:val="3E827880"/>
    <w:lvl w:ilvl="0" w:tplc="C6B23C0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2D1D4A"/>
    <w:multiLevelType w:val="hybridMultilevel"/>
    <w:tmpl w:val="37565A50"/>
    <w:lvl w:ilvl="0" w:tplc="04240015">
      <w:start w:val="1"/>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DB13684"/>
    <w:multiLevelType w:val="hybridMultilevel"/>
    <w:tmpl w:val="B40CDA90"/>
    <w:lvl w:ilvl="0" w:tplc="9AFEA8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2B81D73"/>
    <w:multiLevelType w:val="hybridMultilevel"/>
    <w:tmpl w:val="534E4EA0"/>
    <w:lvl w:ilvl="0" w:tplc="65A006C0">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833784D"/>
    <w:multiLevelType w:val="hybridMultilevel"/>
    <w:tmpl w:val="2416D1C6"/>
    <w:lvl w:ilvl="0" w:tplc="1E9C9FD4">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83A7137"/>
    <w:multiLevelType w:val="hybridMultilevel"/>
    <w:tmpl w:val="630641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0F26431"/>
    <w:multiLevelType w:val="hybridMultilevel"/>
    <w:tmpl w:val="07709C92"/>
    <w:lvl w:ilvl="0" w:tplc="8B46734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49453A1"/>
    <w:multiLevelType w:val="hybridMultilevel"/>
    <w:tmpl w:val="FA02E916"/>
    <w:lvl w:ilvl="0" w:tplc="DCA8D364">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A104013"/>
    <w:multiLevelType w:val="hybridMultilevel"/>
    <w:tmpl w:val="B122087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A1D2265"/>
    <w:multiLevelType w:val="hybridMultilevel"/>
    <w:tmpl w:val="6C84923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5" w15:restartNumberingAfterBreak="0">
    <w:nsid w:val="46281E96"/>
    <w:multiLevelType w:val="hybridMultilevel"/>
    <w:tmpl w:val="EF2C18C2"/>
    <w:lvl w:ilvl="0" w:tplc="DCA8D3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F7336FB"/>
    <w:multiLevelType w:val="hybridMultilevel"/>
    <w:tmpl w:val="A31ACB3A"/>
    <w:lvl w:ilvl="0" w:tplc="EAA079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0D66CF0"/>
    <w:multiLevelType w:val="hybridMultilevel"/>
    <w:tmpl w:val="B40CDA90"/>
    <w:lvl w:ilvl="0" w:tplc="9AFEA8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8B02F4D"/>
    <w:multiLevelType w:val="hybridMultilevel"/>
    <w:tmpl w:val="418ABAB8"/>
    <w:lvl w:ilvl="0" w:tplc="7B04A8C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5D00116E"/>
    <w:multiLevelType w:val="hybridMultilevel"/>
    <w:tmpl w:val="11FA1A2E"/>
    <w:lvl w:ilvl="0" w:tplc="D382D12C">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D926315"/>
    <w:multiLevelType w:val="hybridMultilevel"/>
    <w:tmpl w:val="D2C45D52"/>
    <w:lvl w:ilvl="0" w:tplc="769E1EFA">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08C3398"/>
    <w:multiLevelType w:val="hybridMultilevel"/>
    <w:tmpl w:val="92F2C8EA"/>
    <w:lvl w:ilvl="0" w:tplc="F1DAC10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72BB3928"/>
    <w:multiLevelType w:val="hybridMultilevel"/>
    <w:tmpl w:val="A31ACB3A"/>
    <w:lvl w:ilvl="0" w:tplc="EAA079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4E95814"/>
    <w:multiLevelType w:val="hybridMultilevel"/>
    <w:tmpl w:val="D02E1026"/>
    <w:lvl w:ilvl="0" w:tplc="D82E1A0E">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4" w15:restartNumberingAfterBreak="0">
    <w:nsid w:val="74FF1B06"/>
    <w:multiLevelType w:val="hybridMultilevel"/>
    <w:tmpl w:val="6AB29D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5BE44ED"/>
    <w:multiLevelType w:val="hybridMultilevel"/>
    <w:tmpl w:val="C0028C2C"/>
    <w:lvl w:ilvl="0" w:tplc="2230FB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BAA0371"/>
    <w:multiLevelType w:val="hybridMultilevel"/>
    <w:tmpl w:val="3C282308"/>
    <w:lvl w:ilvl="0" w:tplc="DCA8D364">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21"/>
  </w:num>
  <w:num w:numId="3">
    <w:abstractNumId w:val="19"/>
  </w:num>
  <w:num w:numId="4">
    <w:abstractNumId w:val="20"/>
  </w:num>
  <w:num w:numId="5">
    <w:abstractNumId w:val="8"/>
  </w:num>
  <w:num w:numId="6">
    <w:abstractNumId w:val="26"/>
  </w:num>
  <w:num w:numId="7">
    <w:abstractNumId w:val="4"/>
  </w:num>
  <w:num w:numId="8">
    <w:abstractNumId w:val="7"/>
  </w:num>
  <w:num w:numId="9">
    <w:abstractNumId w:val="6"/>
  </w:num>
  <w:num w:numId="10">
    <w:abstractNumId w:val="2"/>
  </w:num>
  <w:num w:numId="11">
    <w:abstractNumId w:val="17"/>
  </w:num>
  <w:num w:numId="12">
    <w:abstractNumId w:val="22"/>
  </w:num>
  <w:num w:numId="13">
    <w:abstractNumId w:val="15"/>
  </w:num>
  <w:num w:numId="14">
    <w:abstractNumId w:val="0"/>
  </w:num>
  <w:num w:numId="15">
    <w:abstractNumId w:val="11"/>
  </w:num>
  <w:num w:numId="16">
    <w:abstractNumId w:val="9"/>
  </w:num>
  <w:num w:numId="17">
    <w:abstractNumId w:val="10"/>
  </w:num>
  <w:num w:numId="18">
    <w:abstractNumId w:val="16"/>
  </w:num>
  <w:num w:numId="19">
    <w:abstractNumId w:val="3"/>
  </w:num>
  <w:num w:numId="20">
    <w:abstractNumId w:val="18"/>
  </w:num>
  <w:num w:numId="21">
    <w:abstractNumId w:val="25"/>
  </w:num>
  <w:num w:numId="22">
    <w:abstractNumId w:val="5"/>
  </w:num>
  <w:num w:numId="23">
    <w:abstractNumId w:val="12"/>
  </w:num>
  <w:num w:numId="24">
    <w:abstractNumId w:val="23"/>
  </w:num>
  <w:num w:numId="25">
    <w:abstractNumId w:val="1"/>
  </w:num>
  <w:num w:numId="26">
    <w:abstractNumId w:val="1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6600E"/>
    <w:rsid w:val="0001123D"/>
    <w:rsid w:val="000260FF"/>
    <w:rsid w:val="00040D06"/>
    <w:rsid w:val="0007261A"/>
    <w:rsid w:val="000C0C4D"/>
    <w:rsid w:val="000D3E8E"/>
    <w:rsid w:val="000F76F2"/>
    <w:rsid w:val="00111869"/>
    <w:rsid w:val="00113D31"/>
    <w:rsid w:val="00124621"/>
    <w:rsid w:val="0015302F"/>
    <w:rsid w:val="00155F89"/>
    <w:rsid w:val="00164A9F"/>
    <w:rsid w:val="00171035"/>
    <w:rsid w:val="001736CB"/>
    <w:rsid w:val="001846AC"/>
    <w:rsid w:val="00184A5F"/>
    <w:rsid w:val="001A3A71"/>
    <w:rsid w:val="001A62DA"/>
    <w:rsid w:val="001E27C0"/>
    <w:rsid w:val="001F0B8C"/>
    <w:rsid w:val="001F19C5"/>
    <w:rsid w:val="001F4617"/>
    <w:rsid w:val="00201FF0"/>
    <w:rsid w:val="00214DA1"/>
    <w:rsid w:val="00223F71"/>
    <w:rsid w:val="0025276E"/>
    <w:rsid w:val="002534A8"/>
    <w:rsid w:val="00260BFD"/>
    <w:rsid w:val="002614EE"/>
    <w:rsid w:val="00277FD5"/>
    <w:rsid w:val="00281761"/>
    <w:rsid w:val="00285A2A"/>
    <w:rsid w:val="00287697"/>
    <w:rsid w:val="002901A6"/>
    <w:rsid w:val="002A5D74"/>
    <w:rsid w:val="002D0163"/>
    <w:rsid w:val="002D520B"/>
    <w:rsid w:val="002D6316"/>
    <w:rsid w:val="002E3FFB"/>
    <w:rsid w:val="00301D4F"/>
    <w:rsid w:val="003117E3"/>
    <w:rsid w:val="00313CE3"/>
    <w:rsid w:val="00317BBC"/>
    <w:rsid w:val="00322DEA"/>
    <w:rsid w:val="00330EF7"/>
    <w:rsid w:val="00340EEB"/>
    <w:rsid w:val="00343815"/>
    <w:rsid w:val="00346053"/>
    <w:rsid w:val="003525A3"/>
    <w:rsid w:val="003635DA"/>
    <w:rsid w:val="00363EA3"/>
    <w:rsid w:val="00366259"/>
    <w:rsid w:val="00372214"/>
    <w:rsid w:val="00376CDE"/>
    <w:rsid w:val="0038602A"/>
    <w:rsid w:val="0039062C"/>
    <w:rsid w:val="00392512"/>
    <w:rsid w:val="003A0E2A"/>
    <w:rsid w:val="003A39EA"/>
    <w:rsid w:val="003C76BA"/>
    <w:rsid w:val="003D27B2"/>
    <w:rsid w:val="003E2D67"/>
    <w:rsid w:val="003F430A"/>
    <w:rsid w:val="0040061F"/>
    <w:rsid w:val="00407FCF"/>
    <w:rsid w:val="004121C7"/>
    <w:rsid w:val="00417385"/>
    <w:rsid w:val="0042511A"/>
    <w:rsid w:val="004550BB"/>
    <w:rsid w:val="00470DE2"/>
    <w:rsid w:val="0047231C"/>
    <w:rsid w:val="00476558"/>
    <w:rsid w:val="00481C41"/>
    <w:rsid w:val="00484965"/>
    <w:rsid w:val="0049547A"/>
    <w:rsid w:val="00497FB5"/>
    <w:rsid w:val="004A160B"/>
    <w:rsid w:val="004B5CF5"/>
    <w:rsid w:val="004C0C58"/>
    <w:rsid w:val="004C3895"/>
    <w:rsid w:val="004C6723"/>
    <w:rsid w:val="004E2975"/>
    <w:rsid w:val="004E416E"/>
    <w:rsid w:val="004E7689"/>
    <w:rsid w:val="0050184A"/>
    <w:rsid w:val="0050578C"/>
    <w:rsid w:val="00521F21"/>
    <w:rsid w:val="00531D04"/>
    <w:rsid w:val="00532484"/>
    <w:rsid w:val="00543856"/>
    <w:rsid w:val="00552C3D"/>
    <w:rsid w:val="00552CFF"/>
    <w:rsid w:val="005B1A78"/>
    <w:rsid w:val="005C1F2B"/>
    <w:rsid w:val="005E56E9"/>
    <w:rsid w:val="005E6F1A"/>
    <w:rsid w:val="005F0AC4"/>
    <w:rsid w:val="005F1B03"/>
    <w:rsid w:val="005F514C"/>
    <w:rsid w:val="00601F0B"/>
    <w:rsid w:val="00605299"/>
    <w:rsid w:val="0060629E"/>
    <w:rsid w:val="00616F6B"/>
    <w:rsid w:val="006205BC"/>
    <w:rsid w:val="0063409C"/>
    <w:rsid w:val="006440CC"/>
    <w:rsid w:val="00644DE4"/>
    <w:rsid w:val="00655167"/>
    <w:rsid w:val="00664C04"/>
    <w:rsid w:val="006761A7"/>
    <w:rsid w:val="006774A6"/>
    <w:rsid w:val="00681B53"/>
    <w:rsid w:val="00683D12"/>
    <w:rsid w:val="006A2BAA"/>
    <w:rsid w:val="006B06D8"/>
    <w:rsid w:val="006B1C8B"/>
    <w:rsid w:val="006B286F"/>
    <w:rsid w:val="006E2FC3"/>
    <w:rsid w:val="006F4FA5"/>
    <w:rsid w:val="006F5C4B"/>
    <w:rsid w:val="0070367D"/>
    <w:rsid w:val="00723998"/>
    <w:rsid w:val="00727C11"/>
    <w:rsid w:val="00736BB1"/>
    <w:rsid w:val="00753BB9"/>
    <w:rsid w:val="007550D8"/>
    <w:rsid w:val="00771A0B"/>
    <w:rsid w:val="00777434"/>
    <w:rsid w:val="00780347"/>
    <w:rsid w:val="007871E2"/>
    <w:rsid w:val="00791B41"/>
    <w:rsid w:val="0079648D"/>
    <w:rsid w:val="007A119D"/>
    <w:rsid w:val="007A3306"/>
    <w:rsid w:val="007B0CE9"/>
    <w:rsid w:val="007B76C6"/>
    <w:rsid w:val="007C62F2"/>
    <w:rsid w:val="007D1443"/>
    <w:rsid w:val="007D7CEC"/>
    <w:rsid w:val="007E11D8"/>
    <w:rsid w:val="00815CCD"/>
    <w:rsid w:val="00821FAA"/>
    <w:rsid w:val="008301BE"/>
    <w:rsid w:val="00836DD1"/>
    <w:rsid w:val="0086279A"/>
    <w:rsid w:val="00872D7F"/>
    <w:rsid w:val="008844EF"/>
    <w:rsid w:val="008A01CD"/>
    <w:rsid w:val="008B7774"/>
    <w:rsid w:val="008C5634"/>
    <w:rsid w:val="008C739C"/>
    <w:rsid w:val="008D5B3E"/>
    <w:rsid w:val="00916D1A"/>
    <w:rsid w:val="00946D83"/>
    <w:rsid w:val="00952D84"/>
    <w:rsid w:val="00953D3B"/>
    <w:rsid w:val="00964599"/>
    <w:rsid w:val="00966BFF"/>
    <w:rsid w:val="009765ED"/>
    <w:rsid w:val="0098387C"/>
    <w:rsid w:val="009B0EB8"/>
    <w:rsid w:val="009C03E1"/>
    <w:rsid w:val="009E198B"/>
    <w:rsid w:val="009F04AA"/>
    <w:rsid w:val="009F2F85"/>
    <w:rsid w:val="00A134AE"/>
    <w:rsid w:val="00A13C11"/>
    <w:rsid w:val="00A14982"/>
    <w:rsid w:val="00A27F0B"/>
    <w:rsid w:val="00A4530A"/>
    <w:rsid w:val="00A54366"/>
    <w:rsid w:val="00A82F83"/>
    <w:rsid w:val="00A92DF9"/>
    <w:rsid w:val="00A951CA"/>
    <w:rsid w:val="00AA21A2"/>
    <w:rsid w:val="00AA314E"/>
    <w:rsid w:val="00AA5E19"/>
    <w:rsid w:val="00AC6279"/>
    <w:rsid w:val="00AF64B6"/>
    <w:rsid w:val="00B06BDA"/>
    <w:rsid w:val="00B07DE5"/>
    <w:rsid w:val="00B1656F"/>
    <w:rsid w:val="00B470F9"/>
    <w:rsid w:val="00B56861"/>
    <w:rsid w:val="00B6317A"/>
    <w:rsid w:val="00B6600E"/>
    <w:rsid w:val="00B72206"/>
    <w:rsid w:val="00B74523"/>
    <w:rsid w:val="00B87EEE"/>
    <w:rsid w:val="00B92AFE"/>
    <w:rsid w:val="00BA2718"/>
    <w:rsid w:val="00BB1A94"/>
    <w:rsid w:val="00BD1E17"/>
    <w:rsid w:val="00BD6662"/>
    <w:rsid w:val="00BE3312"/>
    <w:rsid w:val="00BF08C3"/>
    <w:rsid w:val="00BF1A5B"/>
    <w:rsid w:val="00BF2E1B"/>
    <w:rsid w:val="00C014A7"/>
    <w:rsid w:val="00C0248C"/>
    <w:rsid w:val="00C104DA"/>
    <w:rsid w:val="00C16DF8"/>
    <w:rsid w:val="00C2399C"/>
    <w:rsid w:val="00C33487"/>
    <w:rsid w:val="00C34708"/>
    <w:rsid w:val="00C4547D"/>
    <w:rsid w:val="00C63643"/>
    <w:rsid w:val="00C67A09"/>
    <w:rsid w:val="00C72973"/>
    <w:rsid w:val="00C82CAF"/>
    <w:rsid w:val="00C83F45"/>
    <w:rsid w:val="00C869D6"/>
    <w:rsid w:val="00C92A95"/>
    <w:rsid w:val="00CA756A"/>
    <w:rsid w:val="00CC0462"/>
    <w:rsid w:val="00CC5CF0"/>
    <w:rsid w:val="00CD3AFB"/>
    <w:rsid w:val="00CE0798"/>
    <w:rsid w:val="00CE5871"/>
    <w:rsid w:val="00D0161B"/>
    <w:rsid w:val="00D01D5D"/>
    <w:rsid w:val="00D02D5E"/>
    <w:rsid w:val="00D41C38"/>
    <w:rsid w:val="00D579A7"/>
    <w:rsid w:val="00D76FC7"/>
    <w:rsid w:val="00D90F9E"/>
    <w:rsid w:val="00D94A15"/>
    <w:rsid w:val="00D96C19"/>
    <w:rsid w:val="00DC62BB"/>
    <w:rsid w:val="00DD5CAF"/>
    <w:rsid w:val="00DE6BB5"/>
    <w:rsid w:val="00E10478"/>
    <w:rsid w:val="00E15D3D"/>
    <w:rsid w:val="00E251C9"/>
    <w:rsid w:val="00E374AF"/>
    <w:rsid w:val="00E4177E"/>
    <w:rsid w:val="00E7206F"/>
    <w:rsid w:val="00E75150"/>
    <w:rsid w:val="00E75362"/>
    <w:rsid w:val="00E753BC"/>
    <w:rsid w:val="00E8063B"/>
    <w:rsid w:val="00E85A99"/>
    <w:rsid w:val="00E9562B"/>
    <w:rsid w:val="00E96FF4"/>
    <w:rsid w:val="00EA0494"/>
    <w:rsid w:val="00ED3B36"/>
    <w:rsid w:val="00ED47C2"/>
    <w:rsid w:val="00ED628C"/>
    <w:rsid w:val="00EF1619"/>
    <w:rsid w:val="00EF6157"/>
    <w:rsid w:val="00EF6575"/>
    <w:rsid w:val="00F0251C"/>
    <w:rsid w:val="00F30BE3"/>
    <w:rsid w:val="00F32FD4"/>
    <w:rsid w:val="00F34B8B"/>
    <w:rsid w:val="00F3579B"/>
    <w:rsid w:val="00F369F4"/>
    <w:rsid w:val="00F470E1"/>
    <w:rsid w:val="00F71AAA"/>
    <w:rsid w:val="00F73241"/>
    <w:rsid w:val="00F76ED7"/>
    <w:rsid w:val="00FD7E81"/>
    <w:rsid w:val="00FE01C5"/>
    <w:rsid w:val="00FE779F"/>
    <w:rsid w:val="00FF31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564CDE-5E26-41BC-B28B-248DDB5E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71A0B"/>
    <w:pPr>
      <w:spacing w:after="0" w:line="240" w:lineRule="auto"/>
    </w:pPr>
    <w:rPr>
      <w:rFonts w:ascii="Times New Roman" w:hAnsi="Times New Roman" w:cs="Times New Roman"/>
    </w:rPr>
  </w:style>
  <w:style w:type="paragraph" w:styleId="Naslov1">
    <w:name w:val="heading 1"/>
    <w:basedOn w:val="Navaden"/>
    <w:next w:val="Navaden"/>
    <w:link w:val="Naslov1Znak"/>
    <w:uiPriority w:val="9"/>
    <w:qFormat/>
    <w:rsid w:val="0098387C"/>
    <w:pPr>
      <w:keepNext/>
      <w:keepLines/>
      <w:spacing w:before="480"/>
      <w:outlineLvl w:val="0"/>
    </w:pPr>
    <w:rPr>
      <w:rFonts w:eastAsiaTheme="majorEastAsia"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B1C8B"/>
    <w:pPr>
      <w:keepNext/>
      <w:keepLines/>
      <w:spacing w:before="200"/>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98387C"/>
    <w:pPr>
      <w:keepNext/>
      <w:keepLines/>
      <w:spacing w:before="200"/>
      <w:outlineLvl w:val="2"/>
    </w:pPr>
    <w:rPr>
      <w:rFonts w:eastAsiaTheme="majorEastAsia" w:cstheme="majorBidi"/>
      <w:b/>
      <w:bCs/>
      <w:color w:val="4F81BD" w:themeColor="accent1"/>
    </w:rPr>
  </w:style>
  <w:style w:type="paragraph" w:styleId="Naslov4">
    <w:name w:val="heading 4"/>
    <w:basedOn w:val="Navaden"/>
    <w:next w:val="Navaden"/>
    <w:link w:val="Naslov4Znak"/>
    <w:uiPriority w:val="9"/>
    <w:unhideWhenUsed/>
    <w:qFormat/>
    <w:rsid w:val="0098387C"/>
    <w:pPr>
      <w:keepNext/>
      <w:keepLines/>
      <w:spacing w:before="200"/>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unhideWhenUsed/>
    <w:qFormat/>
    <w:rsid w:val="0098387C"/>
    <w:pPr>
      <w:keepNext/>
      <w:keepLines/>
      <w:spacing w:before="200"/>
      <w:outlineLvl w:val="4"/>
    </w:pPr>
    <w:rPr>
      <w:rFonts w:eastAsiaTheme="majorEastAsia" w:cstheme="majorBidi"/>
      <w:color w:val="243F60" w:themeColor="accent1" w:themeShade="7F"/>
    </w:rPr>
  </w:style>
  <w:style w:type="paragraph" w:styleId="Naslov6">
    <w:name w:val="heading 6"/>
    <w:basedOn w:val="Navaden"/>
    <w:next w:val="Navaden"/>
    <w:link w:val="Naslov6Znak"/>
    <w:uiPriority w:val="9"/>
    <w:unhideWhenUsed/>
    <w:qFormat/>
    <w:rsid w:val="00301D4F"/>
    <w:pPr>
      <w:keepNext/>
      <w:keepLines/>
      <w:spacing w:before="200"/>
      <w:outlineLvl w:val="5"/>
    </w:pPr>
    <w:rPr>
      <w:rFonts w:eastAsiaTheme="majorEastAsia" w:cstheme="majorBidi"/>
      <w:i/>
      <w:iCs/>
      <w:color w:val="243F60" w:themeColor="accent1" w:themeShade="7F"/>
    </w:rPr>
  </w:style>
  <w:style w:type="paragraph" w:styleId="Naslov7">
    <w:name w:val="heading 7"/>
    <w:basedOn w:val="Navaden"/>
    <w:next w:val="Navaden"/>
    <w:link w:val="Naslov7Znak"/>
    <w:uiPriority w:val="9"/>
    <w:semiHidden/>
    <w:unhideWhenUsed/>
    <w:qFormat/>
    <w:rsid w:val="00301D4F"/>
    <w:pPr>
      <w:keepNext/>
      <w:keepLines/>
      <w:spacing w:before="200"/>
      <w:outlineLvl w:val="6"/>
    </w:pPr>
    <w:rPr>
      <w:rFonts w:eastAsiaTheme="majorEastAsia" w:cstheme="majorBidi"/>
      <w:i/>
      <w:iCs/>
      <w:color w:val="404040" w:themeColor="text1" w:themeTint="BF"/>
    </w:rPr>
  </w:style>
  <w:style w:type="paragraph" w:styleId="Naslov8">
    <w:name w:val="heading 8"/>
    <w:basedOn w:val="Navaden"/>
    <w:next w:val="Navaden"/>
    <w:link w:val="Naslov8Znak"/>
    <w:uiPriority w:val="9"/>
    <w:unhideWhenUsed/>
    <w:qFormat/>
    <w:rsid w:val="0063409C"/>
    <w:pPr>
      <w:keepNext/>
      <w:keepLines/>
      <w:spacing w:before="200"/>
      <w:outlineLvl w:val="7"/>
    </w:pPr>
    <w:rPr>
      <w:rFonts w:eastAsiaTheme="majorEastAsia" w:cstheme="majorBidi"/>
      <w:color w:val="404040" w:themeColor="text1" w:themeTint="BF"/>
      <w:sz w:val="20"/>
      <w:szCs w:val="20"/>
    </w:rPr>
  </w:style>
  <w:style w:type="paragraph" w:styleId="Naslov9">
    <w:name w:val="heading 9"/>
    <w:basedOn w:val="Navaden"/>
    <w:next w:val="Navaden"/>
    <w:link w:val="Naslov9Znak"/>
    <w:uiPriority w:val="9"/>
    <w:unhideWhenUsed/>
    <w:qFormat/>
    <w:rsid w:val="0063409C"/>
    <w:pPr>
      <w:keepNext/>
      <w:keepLines/>
      <w:spacing w:before="200"/>
      <w:outlineLvl w:val="8"/>
    </w:pPr>
    <w:rPr>
      <w:rFonts w:eastAsiaTheme="majorEastAsia"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CC0462"/>
    <w:pPr>
      <w:spacing w:after="0" w:line="240" w:lineRule="auto"/>
    </w:pPr>
    <w:rPr>
      <w:rFonts w:ascii="Times New Roman" w:hAnsi="Times New Roman" w:cs="Times New Roman"/>
    </w:rPr>
  </w:style>
  <w:style w:type="character" w:customStyle="1" w:styleId="Naslov1Znak">
    <w:name w:val="Naslov 1 Znak"/>
    <w:basedOn w:val="Privzetapisavaodstavka"/>
    <w:link w:val="Naslov1"/>
    <w:uiPriority w:val="9"/>
    <w:rsid w:val="0098387C"/>
    <w:rPr>
      <w:rFonts w:ascii="Times New Roman" w:eastAsiaTheme="majorEastAsia" w:hAnsi="Times New Roman" w:cstheme="majorBidi"/>
      <w:b/>
      <w:bCs/>
      <w:color w:val="365F91" w:themeColor="accent1" w:themeShade="BF"/>
      <w:sz w:val="28"/>
      <w:szCs w:val="28"/>
    </w:rPr>
  </w:style>
  <w:style w:type="character" w:customStyle="1" w:styleId="Naslov3Znak">
    <w:name w:val="Naslov 3 Znak"/>
    <w:basedOn w:val="Privzetapisavaodstavka"/>
    <w:link w:val="Naslov3"/>
    <w:uiPriority w:val="9"/>
    <w:semiHidden/>
    <w:rsid w:val="0098387C"/>
    <w:rPr>
      <w:rFonts w:ascii="Times New Roman" w:eastAsiaTheme="majorEastAsia" w:hAnsi="Times New Roman" w:cstheme="majorBidi"/>
      <w:b/>
      <w:bCs/>
      <w:color w:val="4F81BD" w:themeColor="accent1"/>
    </w:rPr>
  </w:style>
  <w:style w:type="character" w:customStyle="1" w:styleId="Naslov4Znak">
    <w:name w:val="Naslov 4 Znak"/>
    <w:basedOn w:val="Privzetapisavaodstavka"/>
    <w:link w:val="Naslov4"/>
    <w:uiPriority w:val="9"/>
    <w:rsid w:val="0098387C"/>
    <w:rPr>
      <w:rFonts w:ascii="Times New Roman" w:eastAsiaTheme="majorEastAsia" w:hAnsi="Times New Roman" w:cstheme="majorBidi"/>
      <w:b/>
      <w:bCs/>
      <w:i/>
      <w:iCs/>
      <w:color w:val="4F81BD" w:themeColor="accent1"/>
    </w:rPr>
  </w:style>
  <w:style w:type="character" w:customStyle="1" w:styleId="Naslov5Znak">
    <w:name w:val="Naslov 5 Znak"/>
    <w:basedOn w:val="Privzetapisavaodstavka"/>
    <w:link w:val="Naslov5"/>
    <w:uiPriority w:val="9"/>
    <w:rsid w:val="0098387C"/>
    <w:rPr>
      <w:rFonts w:ascii="Times New Roman" w:eastAsiaTheme="majorEastAsia" w:hAnsi="Times New Roman" w:cstheme="majorBidi"/>
      <w:color w:val="243F60" w:themeColor="accent1" w:themeShade="7F"/>
    </w:rPr>
  </w:style>
  <w:style w:type="character" w:customStyle="1" w:styleId="Naslov2Znak">
    <w:name w:val="Naslov 2 Znak"/>
    <w:basedOn w:val="Privzetapisavaodstavka"/>
    <w:link w:val="Naslov2"/>
    <w:uiPriority w:val="9"/>
    <w:rsid w:val="006B1C8B"/>
    <w:rPr>
      <w:rFonts w:ascii="Times New Roman" w:eastAsiaTheme="majorEastAsia" w:hAnsi="Times New Roman" w:cstheme="majorBidi"/>
      <w:b/>
      <w:bCs/>
      <w:color w:val="4F81BD" w:themeColor="accent1"/>
      <w:sz w:val="26"/>
      <w:szCs w:val="26"/>
    </w:rPr>
  </w:style>
  <w:style w:type="character" w:customStyle="1" w:styleId="Naslov6Znak">
    <w:name w:val="Naslov 6 Znak"/>
    <w:basedOn w:val="Privzetapisavaodstavka"/>
    <w:link w:val="Naslov6"/>
    <w:uiPriority w:val="9"/>
    <w:rsid w:val="00301D4F"/>
    <w:rPr>
      <w:rFonts w:ascii="Times New Roman" w:eastAsiaTheme="majorEastAsia" w:hAnsi="Times New Roman" w:cstheme="majorBidi"/>
      <w:i/>
      <w:iCs/>
      <w:color w:val="243F60" w:themeColor="accent1" w:themeShade="7F"/>
    </w:rPr>
  </w:style>
  <w:style w:type="character" w:customStyle="1" w:styleId="Naslov7Znak">
    <w:name w:val="Naslov 7 Znak"/>
    <w:basedOn w:val="Privzetapisavaodstavka"/>
    <w:link w:val="Naslov7"/>
    <w:uiPriority w:val="9"/>
    <w:semiHidden/>
    <w:rsid w:val="00301D4F"/>
    <w:rPr>
      <w:rFonts w:ascii="Times New Roman" w:eastAsiaTheme="majorEastAsia" w:hAnsi="Times New Roman" w:cstheme="majorBidi"/>
      <w:i/>
      <w:iCs/>
      <w:color w:val="404040" w:themeColor="text1" w:themeTint="BF"/>
    </w:rPr>
  </w:style>
  <w:style w:type="paragraph" w:styleId="Naslov">
    <w:name w:val="Title"/>
    <w:basedOn w:val="Navaden"/>
    <w:next w:val="Navaden"/>
    <w:link w:val="NaslovZnak"/>
    <w:uiPriority w:val="10"/>
    <w:qFormat/>
    <w:rsid w:val="00301D4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01D4F"/>
    <w:rPr>
      <w:rFonts w:ascii="Times New Roman" w:eastAsiaTheme="majorEastAsia" w:hAnsi="Times New Roman"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301D4F"/>
    <w:pPr>
      <w:numPr>
        <w:ilvl w:val="1"/>
      </w:numPr>
    </w:pPr>
    <w:rPr>
      <w:rFonts w:eastAsiaTheme="majorEastAsia"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301D4F"/>
    <w:rPr>
      <w:rFonts w:ascii="Times New Roman" w:eastAsiaTheme="majorEastAsia" w:hAnsi="Times New Roman" w:cstheme="majorBidi"/>
      <w:i/>
      <w:iCs/>
      <w:color w:val="4F81BD" w:themeColor="accent1"/>
      <w:spacing w:val="15"/>
      <w:sz w:val="24"/>
      <w:szCs w:val="24"/>
    </w:rPr>
  </w:style>
  <w:style w:type="character" w:customStyle="1" w:styleId="Naslov8Znak">
    <w:name w:val="Naslov 8 Znak"/>
    <w:basedOn w:val="Privzetapisavaodstavka"/>
    <w:link w:val="Naslov8"/>
    <w:uiPriority w:val="9"/>
    <w:rsid w:val="0063409C"/>
    <w:rPr>
      <w:rFonts w:ascii="Times New Roman" w:eastAsiaTheme="majorEastAsia" w:hAnsi="Times New Roman" w:cstheme="majorBidi"/>
      <w:color w:val="404040" w:themeColor="text1" w:themeTint="BF"/>
      <w:sz w:val="20"/>
      <w:szCs w:val="20"/>
    </w:rPr>
  </w:style>
  <w:style w:type="character" w:customStyle="1" w:styleId="Naslov9Znak">
    <w:name w:val="Naslov 9 Znak"/>
    <w:basedOn w:val="Privzetapisavaodstavka"/>
    <w:link w:val="Naslov9"/>
    <w:uiPriority w:val="9"/>
    <w:rsid w:val="0063409C"/>
    <w:rPr>
      <w:rFonts w:ascii="Times New Roman" w:eastAsiaTheme="majorEastAsia" w:hAnsi="Times New Roman" w:cstheme="majorBidi"/>
      <w:i/>
      <w:iCs/>
      <w:color w:val="404040" w:themeColor="text1" w:themeTint="BF"/>
      <w:sz w:val="20"/>
      <w:szCs w:val="20"/>
    </w:rPr>
  </w:style>
  <w:style w:type="paragraph" w:styleId="Odstavekseznama">
    <w:name w:val="List Paragraph"/>
    <w:basedOn w:val="Navaden"/>
    <w:uiPriority w:val="34"/>
    <w:qFormat/>
    <w:rsid w:val="00B6600E"/>
    <w:pPr>
      <w:ind w:left="720"/>
      <w:contextualSpacing/>
    </w:pPr>
  </w:style>
  <w:style w:type="character" w:styleId="Pripombasklic">
    <w:name w:val="annotation reference"/>
    <w:basedOn w:val="Privzetapisavaodstavka"/>
    <w:uiPriority w:val="99"/>
    <w:semiHidden/>
    <w:unhideWhenUsed/>
    <w:rsid w:val="00532484"/>
    <w:rPr>
      <w:sz w:val="16"/>
      <w:szCs w:val="16"/>
    </w:rPr>
  </w:style>
  <w:style w:type="paragraph" w:styleId="Pripombabesedilo">
    <w:name w:val="annotation text"/>
    <w:basedOn w:val="Navaden"/>
    <w:link w:val="PripombabesediloZnak"/>
    <w:uiPriority w:val="99"/>
    <w:semiHidden/>
    <w:unhideWhenUsed/>
    <w:rsid w:val="00532484"/>
    <w:rPr>
      <w:sz w:val="20"/>
      <w:szCs w:val="20"/>
    </w:rPr>
  </w:style>
  <w:style w:type="character" w:customStyle="1" w:styleId="PripombabesediloZnak">
    <w:name w:val="Pripomba – besedilo Znak"/>
    <w:basedOn w:val="Privzetapisavaodstavka"/>
    <w:link w:val="Pripombabesedilo"/>
    <w:uiPriority w:val="99"/>
    <w:semiHidden/>
    <w:rsid w:val="00532484"/>
    <w:rPr>
      <w:rFonts w:ascii="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532484"/>
    <w:rPr>
      <w:b/>
      <w:bCs/>
    </w:rPr>
  </w:style>
  <w:style w:type="character" w:customStyle="1" w:styleId="ZadevapripombeZnak">
    <w:name w:val="Zadeva pripombe Znak"/>
    <w:basedOn w:val="PripombabesediloZnak"/>
    <w:link w:val="Zadevapripombe"/>
    <w:uiPriority w:val="99"/>
    <w:semiHidden/>
    <w:rsid w:val="00532484"/>
    <w:rPr>
      <w:rFonts w:ascii="Times New Roman" w:hAnsi="Times New Roman" w:cs="Times New Roman"/>
      <w:b/>
      <w:bCs/>
      <w:sz w:val="20"/>
      <w:szCs w:val="20"/>
    </w:rPr>
  </w:style>
  <w:style w:type="paragraph" w:styleId="Besedilooblaka">
    <w:name w:val="Balloon Text"/>
    <w:basedOn w:val="Navaden"/>
    <w:link w:val="BesedilooblakaZnak"/>
    <w:uiPriority w:val="99"/>
    <w:semiHidden/>
    <w:unhideWhenUsed/>
    <w:rsid w:val="0053248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32484"/>
    <w:rPr>
      <w:rFonts w:ascii="Tahoma" w:hAnsi="Tahoma" w:cs="Tahoma"/>
      <w:sz w:val="16"/>
      <w:szCs w:val="16"/>
    </w:rPr>
  </w:style>
  <w:style w:type="paragraph" w:customStyle="1" w:styleId="Default">
    <w:name w:val="Default"/>
    <w:rsid w:val="001846AC"/>
    <w:pPr>
      <w:autoSpaceDE w:val="0"/>
      <w:autoSpaceDN w:val="0"/>
      <w:adjustRightInd w:val="0"/>
      <w:spacing w:after="0" w:line="240" w:lineRule="auto"/>
    </w:pPr>
    <w:rPr>
      <w:rFonts w:ascii="EUAlbertina" w:hAnsi="EUAlbertina" w:cs="EUAlbertina"/>
      <w:color w:val="000000"/>
      <w:sz w:val="24"/>
      <w:szCs w:val="24"/>
    </w:rPr>
  </w:style>
  <w:style w:type="paragraph" w:styleId="Glava">
    <w:name w:val="header"/>
    <w:basedOn w:val="Navaden"/>
    <w:link w:val="GlavaZnak"/>
    <w:uiPriority w:val="99"/>
    <w:unhideWhenUsed/>
    <w:rsid w:val="00D76FC7"/>
    <w:pPr>
      <w:tabs>
        <w:tab w:val="center" w:pos="4536"/>
        <w:tab w:val="right" w:pos="9072"/>
      </w:tabs>
    </w:pPr>
  </w:style>
  <w:style w:type="character" w:customStyle="1" w:styleId="GlavaZnak">
    <w:name w:val="Glava Znak"/>
    <w:basedOn w:val="Privzetapisavaodstavka"/>
    <w:link w:val="Glava"/>
    <w:uiPriority w:val="99"/>
    <w:rsid w:val="00D76FC7"/>
    <w:rPr>
      <w:rFonts w:ascii="Times New Roman" w:hAnsi="Times New Roman" w:cs="Times New Roman"/>
    </w:rPr>
  </w:style>
  <w:style w:type="paragraph" w:styleId="Noga">
    <w:name w:val="footer"/>
    <w:basedOn w:val="Navaden"/>
    <w:link w:val="NogaZnak"/>
    <w:uiPriority w:val="99"/>
    <w:unhideWhenUsed/>
    <w:rsid w:val="00D76FC7"/>
    <w:pPr>
      <w:tabs>
        <w:tab w:val="center" w:pos="4536"/>
        <w:tab w:val="right" w:pos="9072"/>
      </w:tabs>
    </w:pPr>
  </w:style>
  <w:style w:type="character" w:customStyle="1" w:styleId="NogaZnak">
    <w:name w:val="Noga Znak"/>
    <w:basedOn w:val="Privzetapisavaodstavka"/>
    <w:link w:val="Noga"/>
    <w:uiPriority w:val="99"/>
    <w:rsid w:val="00D76FC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557591">
      <w:bodyDiv w:val="1"/>
      <w:marLeft w:val="0"/>
      <w:marRight w:val="0"/>
      <w:marTop w:val="0"/>
      <w:marBottom w:val="0"/>
      <w:divBdr>
        <w:top w:val="none" w:sz="0" w:space="0" w:color="auto"/>
        <w:left w:val="none" w:sz="0" w:space="0" w:color="auto"/>
        <w:bottom w:val="none" w:sz="0" w:space="0" w:color="auto"/>
        <w:right w:val="none" w:sz="0" w:space="0" w:color="auto"/>
      </w:divBdr>
    </w:div>
    <w:div w:id="92461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9CB45-6564-491C-BF38-C28CABA7D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789</Words>
  <Characters>4502</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Banka Slovenije</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Saša Rubin</dc:creator>
  <cp:lastModifiedBy>Banfi Boštjan</cp:lastModifiedBy>
  <cp:revision>1</cp:revision>
  <cp:lastPrinted>2016-12-08T10:32:00Z</cp:lastPrinted>
  <dcterms:created xsi:type="dcterms:W3CDTF">2017-10-23T12:51:00Z</dcterms:created>
  <dcterms:modified xsi:type="dcterms:W3CDTF">2017-10-23T12:51:00Z</dcterms:modified>
</cp:coreProperties>
</file>