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40DA" w14:textId="77777777" w:rsidR="008142B0" w:rsidRDefault="008142B0" w:rsidP="008142B0">
      <w:pPr>
        <w:jc w:val="center"/>
      </w:pPr>
      <w:r w:rsidRPr="008142B0">
        <w:rPr>
          <w:noProof/>
          <w:lang w:eastAsia="sl-SI"/>
        </w:rPr>
        <w:drawing>
          <wp:inline distT="0" distB="0" distL="0" distR="0" wp14:anchorId="0DBB412C" wp14:editId="0DBB412D">
            <wp:extent cx="1058346" cy="536787"/>
            <wp:effectExtent l="19050" t="0" r="8454"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58346" cy="536787"/>
                    </a:xfrm>
                    <a:prstGeom prst="rect">
                      <a:avLst/>
                    </a:prstGeom>
                    <a:noFill/>
                    <a:ln w="9525">
                      <a:noFill/>
                      <a:miter lim="800000"/>
                      <a:headEnd/>
                      <a:tailEnd/>
                    </a:ln>
                  </pic:spPr>
                </pic:pic>
              </a:graphicData>
            </a:graphic>
          </wp:inline>
        </w:drawing>
      </w:r>
    </w:p>
    <w:p w14:paraId="0DBB40DB" w14:textId="77777777" w:rsidR="008142B0" w:rsidRDefault="008142B0" w:rsidP="005B5915">
      <w:pPr>
        <w:jc w:val="both"/>
      </w:pPr>
    </w:p>
    <w:p w14:paraId="0DBB40DC" w14:textId="77777777" w:rsidR="00C87591" w:rsidRPr="00EE4673" w:rsidRDefault="000B1D40" w:rsidP="00C87591">
      <w:pPr>
        <w:jc w:val="center"/>
      </w:pPr>
      <w:r w:rsidRPr="00EE4673">
        <w:t>Če</w:t>
      </w:r>
      <w:r w:rsidR="00266A43">
        <w:t>t</w:t>
      </w:r>
      <w:r w:rsidRPr="00EE4673">
        <w:t>rtletna objava Banke Slovenije</w:t>
      </w:r>
    </w:p>
    <w:p w14:paraId="0DBB40DD" w14:textId="7CD89D6C" w:rsidR="00C87591" w:rsidRDefault="00FD276E" w:rsidP="00C87591">
      <w:pPr>
        <w:jc w:val="center"/>
      </w:pPr>
      <w:r>
        <w:t>3</w:t>
      </w:r>
      <w:r w:rsidR="00742F35">
        <w:t>0</w:t>
      </w:r>
      <w:r w:rsidR="009201B1" w:rsidRPr="009201B1">
        <w:t>.</w:t>
      </w:r>
      <w:r w:rsidR="00931815">
        <w:t xml:space="preserve"> </w:t>
      </w:r>
      <w:r w:rsidR="00742F35">
        <w:t>1</w:t>
      </w:r>
      <w:r w:rsidR="007F6E51" w:rsidRPr="009201B1">
        <w:t>.</w:t>
      </w:r>
      <w:r w:rsidR="00931815">
        <w:t xml:space="preserve"> </w:t>
      </w:r>
      <w:r w:rsidR="000B1D40" w:rsidRPr="009201B1">
        <w:t>201</w:t>
      </w:r>
      <w:r>
        <w:t>8</w:t>
      </w:r>
    </w:p>
    <w:p w14:paraId="0DBB40DE" w14:textId="77777777" w:rsidR="00C87591" w:rsidRDefault="00C87591" w:rsidP="00C87591">
      <w:pPr>
        <w:jc w:val="center"/>
      </w:pPr>
    </w:p>
    <w:p w14:paraId="0DBB40DF" w14:textId="77777777" w:rsidR="00C87591" w:rsidRDefault="00C87591" w:rsidP="00C87591">
      <w:pPr>
        <w:pStyle w:val="Naslov2"/>
        <w:jc w:val="center"/>
        <w:rPr>
          <w:color w:val="4F6228" w:themeColor="accent3" w:themeShade="80"/>
        </w:rPr>
      </w:pPr>
      <w:proofErr w:type="spellStart"/>
      <w:r>
        <w:rPr>
          <w:color w:val="4F6228" w:themeColor="accent3" w:themeShade="80"/>
        </w:rPr>
        <w:t>Makrobonitetni</w:t>
      </w:r>
      <w:proofErr w:type="spellEnd"/>
      <w:r>
        <w:rPr>
          <w:color w:val="4F6228" w:themeColor="accent3" w:themeShade="80"/>
        </w:rPr>
        <w:t xml:space="preserve"> instrument:</w:t>
      </w:r>
    </w:p>
    <w:p w14:paraId="0DBB40E0" w14:textId="191B9027" w:rsidR="008142B0" w:rsidRPr="008142B0" w:rsidRDefault="00936792" w:rsidP="008142B0">
      <w:pPr>
        <w:pStyle w:val="Naslov2"/>
        <w:jc w:val="center"/>
        <w:rPr>
          <w:color w:val="4F6228" w:themeColor="accent3" w:themeShade="80"/>
        </w:rPr>
      </w:pPr>
      <w:r>
        <w:rPr>
          <w:color w:val="4F6228" w:themeColor="accent3" w:themeShade="80"/>
        </w:rPr>
        <w:t>PROTICIKLIČN</w:t>
      </w:r>
      <w:r w:rsidR="00FF1B4C">
        <w:rPr>
          <w:color w:val="4F6228" w:themeColor="accent3" w:themeShade="80"/>
        </w:rPr>
        <w:t>I</w:t>
      </w:r>
      <w:r>
        <w:rPr>
          <w:color w:val="4F6228" w:themeColor="accent3" w:themeShade="80"/>
        </w:rPr>
        <w:t xml:space="preserve"> </w:t>
      </w:r>
      <w:r w:rsidR="009E6575">
        <w:rPr>
          <w:color w:val="4F6228" w:themeColor="accent3" w:themeShade="80"/>
        </w:rPr>
        <w:t xml:space="preserve">KAPITALSKI </w:t>
      </w:r>
      <w:r w:rsidR="008142B0" w:rsidRPr="008142B0">
        <w:rPr>
          <w:color w:val="4F6228" w:themeColor="accent3" w:themeShade="80"/>
        </w:rPr>
        <w:t xml:space="preserve">BLAŽILNIK </w:t>
      </w:r>
      <w:r w:rsidR="0010236C">
        <w:rPr>
          <w:color w:val="4F6228" w:themeColor="accent3" w:themeShade="80"/>
        </w:rPr>
        <w:t xml:space="preserve">– </w:t>
      </w:r>
      <w:r w:rsidR="00874030">
        <w:rPr>
          <w:color w:val="4F6228" w:themeColor="accent3" w:themeShade="80"/>
        </w:rPr>
        <w:t>4</w:t>
      </w:r>
      <w:r w:rsidR="00F94E54">
        <w:rPr>
          <w:color w:val="4F6228" w:themeColor="accent3" w:themeShade="80"/>
        </w:rPr>
        <w:t xml:space="preserve">. </w:t>
      </w:r>
      <w:r w:rsidR="00A15957">
        <w:rPr>
          <w:color w:val="4F6228" w:themeColor="accent3" w:themeShade="80"/>
        </w:rPr>
        <w:t xml:space="preserve">četrtletje </w:t>
      </w:r>
      <w:r w:rsidR="00810754">
        <w:rPr>
          <w:color w:val="4F6228" w:themeColor="accent3" w:themeShade="80"/>
        </w:rPr>
        <w:t>201</w:t>
      </w:r>
      <w:r w:rsidR="005B10AA">
        <w:rPr>
          <w:color w:val="4F6228" w:themeColor="accent3" w:themeShade="80"/>
        </w:rPr>
        <w:t>7</w:t>
      </w:r>
    </w:p>
    <w:p w14:paraId="0DBB40E1" w14:textId="77777777" w:rsidR="008142B0" w:rsidRDefault="008142B0" w:rsidP="005B5915">
      <w:pPr>
        <w:jc w:val="both"/>
      </w:pPr>
    </w:p>
    <w:p w14:paraId="0DBB40E2" w14:textId="77777777" w:rsidR="00E2359E" w:rsidRDefault="00E2359E" w:rsidP="00E2359E">
      <w:pPr>
        <w:jc w:val="both"/>
      </w:pPr>
      <w:r w:rsidRPr="00076251">
        <w:t xml:space="preserve">Na podlagi sklepa Sveta Banke Slovenije, sprejetega na </w:t>
      </w:r>
      <w:r w:rsidR="0068176D">
        <w:t>546</w:t>
      </w:r>
      <w:r w:rsidRPr="00076251">
        <w:t xml:space="preserve">. seji, dne 8. 12. 2015 </w:t>
      </w:r>
      <w:r w:rsidR="0032438D">
        <w:t xml:space="preserve">je </w:t>
      </w:r>
      <w:r w:rsidRPr="00076251">
        <w:t xml:space="preserve">Banka Slovenija </w:t>
      </w:r>
      <w:r w:rsidR="0032438D">
        <w:t>uvedla</w:t>
      </w:r>
      <w:r w:rsidR="0032438D" w:rsidRPr="00076251">
        <w:t xml:space="preserve"> </w:t>
      </w:r>
      <w:proofErr w:type="spellStart"/>
      <w:r w:rsidRPr="00076251">
        <w:t>makrobonitetni</w:t>
      </w:r>
      <w:proofErr w:type="spellEnd"/>
      <w:r w:rsidRPr="00076251">
        <w:t xml:space="preserve"> ukrep </w:t>
      </w:r>
      <w:proofErr w:type="spellStart"/>
      <w:r w:rsidR="00581E69" w:rsidRPr="00076251">
        <w:t>p</w:t>
      </w:r>
      <w:r w:rsidR="00936792" w:rsidRPr="00076251">
        <w:t>roticikličn</w:t>
      </w:r>
      <w:r w:rsidR="002871E1" w:rsidRPr="00076251">
        <w:t>i</w:t>
      </w:r>
      <w:proofErr w:type="spellEnd"/>
      <w:r w:rsidR="00936792" w:rsidRPr="00076251">
        <w:t xml:space="preserve"> </w:t>
      </w:r>
      <w:r w:rsidRPr="00076251">
        <w:t>kapitalski blažilnik</w:t>
      </w:r>
      <w:r w:rsidR="00A3292D" w:rsidRPr="00076251">
        <w:t xml:space="preserve"> (</w:t>
      </w:r>
      <w:r w:rsidR="006046F8" w:rsidRPr="00076251">
        <w:t>v nadaljevanju blažilnik</w:t>
      </w:r>
      <w:r w:rsidR="00A3292D" w:rsidRPr="00076251">
        <w:t>)</w:t>
      </w:r>
      <w:r w:rsidRPr="00076251">
        <w:t xml:space="preserve">. </w:t>
      </w:r>
      <w:r w:rsidR="00DB3135" w:rsidRPr="00076251">
        <w:t>Ukrep je v veljavi</w:t>
      </w:r>
      <w:r w:rsidRPr="00076251">
        <w:t xml:space="preserve"> od 1. 1. </w:t>
      </w:r>
      <w:r w:rsidR="00DB3135" w:rsidRPr="00076251">
        <w:t xml:space="preserve">2016 </w:t>
      </w:r>
      <w:r w:rsidRPr="00076251">
        <w:t>dalje.</w:t>
      </w:r>
      <w:r>
        <w:t xml:space="preserve"> </w:t>
      </w:r>
    </w:p>
    <w:p w14:paraId="0DBB40E3" w14:textId="77777777" w:rsidR="00E2359E" w:rsidRDefault="00E2359E" w:rsidP="005B5915">
      <w:pPr>
        <w:jc w:val="both"/>
      </w:pPr>
    </w:p>
    <w:p w14:paraId="0DBB40E4" w14:textId="77777777" w:rsidR="005B5915" w:rsidRDefault="00D6655D" w:rsidP="00D6655D">
      <w:pPr>
        <w:jc w:val="both"/>
      </w:pPr>
      <w:r>
        <w:t xml:space="preserve">Banka Slovenije </w:t>
      </w:r>
      <w:r w:rsidR="00DB3135">
        <w:t xml:space="preserve">je </w:t>
      </w:r>
      <w:r w:rsidR="005B5915">
        <w:t>v skladu z 2</w:t>
      </w:r>
      <w:r w:rsidR="0013499D">
        <w:t>10</w:t>
      </w:r>
      <w:r w:rsidR="005B5915">
        <w:t xml:space="preserve">. členom ZBan-2 določila </w:t>
      </w:r>
      <w:r w:rsidR="00F60D0C">
        <w:t xml:space="preserve">blažilnik. </w:t>
      </w:r>
      <w:r w:rsidR="00E2359E">
        <w:t xml:space="preserve">ZBan-2 določa, da </w:t>
      </w:r>
      <w:r w:rsidR="00F73D99">
        <w:t xml:space="preserve">se sme </w:t>
      </w:r>
      <w:r w:rsidR="00E2359E">
        <w:t xml:space="preserve">blažilnik </w:t>
      </w:r>
      <w:r w:rsidR="00F73D99">
        <w:t>bankam naložiti od 1. 1. 2016 dalje</w:t>
      </w:r>
      <w:r w:rsidR="00A3292D">
        <w:t xml:space="preserve">. </w:t>
      </w:r>
      <w:r w:rsidR="00B33EF0">
        <w:t xml:space="preserve">Trenutna vrednost blažilnika se uporablja od 1. 1. 2016. </w:t>
      </w:r>
      <w:r w:rsidR="00F1558D" w:rsidRPr="00F1558D">
        <w:t>K</w:t>
      </w:r>
      <w:r w:rsidR="00F1558D">
        <w:t>adar je</w:t>
      </w:r>
      <w:r w:rsidR="00F1558D" w:rsidRPr="00F1558D">
        <w:t xml:space="preserve"> </w:t>
      </w:r>
      <w:r w:rsidR="00F1558D">
        <w:t xml:space="preserve">opredeljena </w:t>
      </w:r>
      <w:r w:rsidR="00F1558D" w:rsidRPr="00F1558D">
        <w:t>stopnj</w:t>
      </w:r>
      <w:r w:rsidR="00F1558D">
        <w:t>a</w:t>
      </w:r>
      <w:r w:rsidR="00F1558D" w:rsidRPr="00F1558D">
        <w:t xml:space="preserve"> blažilnika višja od 0 </w:t>
      </w:r>
      <w:r w:rsidR="00F1558D">
        <w:t>%</w:t>
      </w:r>
      <w:r w:rsidR="00F1558D" w:rsidRPr="00F1558D">
        <w:t xml:space="preserve">, ali </w:t>
      </w:r>
      <w:r w:rsidR="00F1558D">
        <w:t>kadar se zviša</w:t>
      </w:r>
      <w:r w:rsidR="00F1558D" w:rsidRPr="00F1558D">
        <w:t xml:space="preserve"> že uveljavljen</w:t>
      </w:r>
      <w:r w:rsidR="00F1558D">
        <w:t>a</w:t>
      </w:r>
      <w:r w:rsidR="00F1558D" w:rsidRPr="00F1558D">
        <w:t xml:space="preserve"> stopnj</w:t>
      </w:r>
      <w:r w:rsidR="00F1558D">
        <w:t>a</w:t>
      </w:r>
      <w:r w:rsidR="00F1558D" w:rsidRPr="00F1558D">
        <w:t xml:space="preserve">, se </w:t>
      </w:r>
      <w:r w:rsidR="00F1558D">
        <w:t xml:space="preserve">začne </w:t>
      </w:r>
      <w:r w:rsidR="00F1558D" w:rsidRPr="00F1558D">
        <w:t>nova stopnja blažilnika</w:t>
      </w:r>
      <w:r w:rsidR="00F1558D">
        <w:t xml:space="preserve"> (razen v izjemnih primerih)</w:t>
      </w:r>
      <w:r w:rsidR="00F1558D" w:rsidRPr="00F1558D">
        <w:t xml:space="preserve"> u</w:t>
      </w:r>
      <w:r w:rsidR="00F1558D">
        <w:t>porabljati 12 mesecev po objavi.</w:t>
      </w:r>
      <w:r w:rsidR="00B33EF0">
        <w:t xml:space="preserve"> </w:t>
      </w:r>
    </w:p>
    <w:p w14:paraId="0DBB40E5" w14:textId="77777777" w:rsidR="00270078" w:rsidRDefault="00270078" w:rsidP="00D6655D">
      <w:pPr>
        <w:jc w:val="both"/>
      </w:pPr>
    </w:p>
    <w:p w14:paraId="0DBB40E6" w14:textId="77777777" w:rsidR="00F73D99" w:rsidRDefault="00270078" w:rsidP="00D6655D">
      <w:pPr>
        <w:jc w:val="both"/>
      </w:pPr>
      <w:r w:rsidRPr="00412FAC">
        <w:rPr>
          <w:b/>
        </w:rPr>
        <w:t xml:space="preserve">Višina blažilnika </w:t>
      </w:r>
      <w:r w:rsidR="0032438D">
        <w:rPr>
          <w:b/>
        </w:rPr>
        <w:t>ostaja na ravni</w:t>
      </w:r>
      <w:r w:rsidRPr="00412FAC">
        <w:rPr>
          <w:b/>
        </w:rPr>
        <w:t xml:space="preserve"> 0</w:t>
      </w:r>
      <w:r w:rsidR="00F1558D" w:rsidRPr="00412FAC">
        <w:rPr>
          <w:b/>
        </w:rPr>
        <w:t xml:space="preserve"> </w:t>
      </w:r>
      <w:r w:rsidRPr="00412FAC">
        <w:rPr>
          <w:b/>
        </w:rPr>
        <w:t>%</w:t>
      </w:r>
      <w:r w:rsidR="00D662E8" w:rsidRPr="00412FAC">
        <w:rPr>
          <w:b/>
        </w:rPr>
        <w:t xml:space="preserve"> </w:t>
      </w:r>
      <w:r w:rsidR="0013499D" w:rsidRPr="00412FAC">
        <w:rPr>
          <w:b/>
        </w:rPr>
        <w:t xml:space="preserve">zneska </w:t>
      </w:r>
      <w:r w:rsidR="00DB3135" w:rsidRPr="00412FAC">
        <w:rPr>
          <w:b/>
        </w:rPr>
        <w:t>skupne izpostavljenosti tveganjem</w:t>
      </w:r>
      <w:r w:rsidRPr="00412FAC">
        <w:rPr>
          <w:b/>
        </w:rPr>
        <w:t xml:space="preserve">. </w:t>
      </w:r>
      <w:r w:rsidR="00F73D99">
        <w:t>Pri opredelitvi višine blažilnika je Banka Slovenije upoštevala</w:t>
      </w:r>
      <w:r w:rsidR="00E04721">
        <w:t xml:space="preserve"> </w:t>
      </w:r>
      <w:r w:rsidR="00E40B92">
        <w:t>metodologijo</w:t>
      </w:r>
      <w:r w:rsidR="00E04721">
        <w:t xml:space="preserve"> BCBS</w:t>
      </w:r>
      <w:r w:rsidR="00DB3135">
        <w:t xml:space="preserve"> </w:t>
      </w:r>
      <w:r w:rsidR="00E04721">
        <w:t>(2010)</w:t>
      </w:r>
      <w:r w:rsidR="00E04721">
        <w:rPr>
          <w:rStyle w:val="Sprotnaopomba-sklic"/>
        </w:rPr>
        <w:footnoteReference w:id="1"/>
      </w:r>
      <w:r w:rsidR="00E04721">
        <w:t xml:space="preserve"> </w:t>
      </w:r>
      <w:r w:rsidR="00483544">
        <w:t>in ESRB</w:t>
      </w:r>
      <w:r w:rsidR="00DB3135">
        <w:t xml:space="preserve"> </w:t>
      </w:r>
      <w:r w:rsidR="00E40B92">
        <w:t>(2014)</w:t>
      </w:r>
      <w:r w:rsidR="00483544">
        <w:rPr>
          <w:rStyle w:val="Sprotnaopomba-sklic"/>
        </w:rPr>
        <w:footnoteReference w:id="2"/>
      </w:r>
      <w:r w:rsidR="00F73D99">
        <w:t xml:space="preserve"> </w:t>
      </w:r>
      <w:r w:rsidR="00126019">
        <w:t>ter</w:t>
      </w:r>
      <w:r w:rsidR="00F73D99">
        <w:t xml:space="preserve"> </w:t>
      </w:r>
      <w:r w:rsidR="00984EEF">
        <w:t xml:space="preserve">oceno </w:t>
      </w:r>
      <w:r w:rsidR="00DB3135">
        <w:t xml:space="preserve">stanja </w:t>
      </w:r>
      <w:r w:rsidR="00F73D99">
        <w:t>kreditnega cikla v Sloveniji.</w:t>
      </w:r>
      <w:r w:rsidR="00B6542C">
        <w:t xml:space="preserve"> </w:t>
      </w:r>
    </w:p>
    <w:p w14:paraId="0DBB40E7" w14:textId="77777777" w:rsidR="00984EEF" w:rsidRDefault="00984EEF" w:rsidP="00D6655D">
      <w:pPr>
        <w:jc w:val="both"/>
      </w:pPr>
    </w:p>
    <w:p w14:paraId="0DBB40E8" w14:textId="77777777" w:rsidR="001522D1" w:rsidRDefault="00A8732A" w:rsidP="00D6655D">
      <w:pPr>
        <w:jc w:val="both"/>
      </w:pPr>
      <w:r w:rsidRPr="00A8732A">
        <w:t>Namen instrumenta je zaščititi bančni sistem pred morebitnimi izgubami</w:t>
      </w:r>
      <w:r w:rsidR="006046F8">
        <w:t xml:space="preserve"> takrat, kadar so le-te povezane s povečanjem tveganj v sistemu zaradi čezmerne rasti kreditiranja.</w:t>
      </w:r>
      <w:r w:rsidR="006046F8" w:rsidRPr="00A8732A">
        <w:t xml:space="preserve"> </w:t>
      </w:r>
      <w:r w:rsidR="006046F8">
        <w:t xml:space="preserve">Tako </w:t>
      </w:r>
      <w:r w:rsidRPr="00A8732A">
        <w:t xml:space="preserve">neposredno povečuje odpornost bančnega sistema </w:t>
      </w:r>
      <w:r w:rsidR="00E84137">
        <w:t xml:space="preserve">ter </w:t>
      </w:r>
      <w:r w:rsidRPr="00A8732A">
        <w:t>preprečuje čezmerno rast kreditiranja.</w:t>
      </w:r>
      <w:r w:rsidR="00D662E8">
        <w:t xml:space="preserve"> Blažilnik </w:t>
      </w:r>
      <w:r w:rsidR="002E7F99">
        <w:t>se aktivira kadar</w:t>
      </w:r>
      <w:r w:rsidR="00D662E8">
        <w:t xml:space="preserve"> je čezmerna rast kreditiranja povezana s povečanjem tveganj v sistemu. </w:t>
      </w:r>
      <w:r w:rsidR="006046F8">
        <w:t>V</w:t>
      </w:r>
      <w:r w:rsidR="006046F8" w:rsidRPr="00D662E8">
        <w:t>rednost</w:t>
      </w:r>
      <w:r w:rsidR="006046F8">
        <w:t xml:space="preserve"> blažilnika</w:t>
      </w:r>
      <w:r w:rsidR="006046F8" w:rsidRPr="00D662E8">
        <w:t xml:space="preserve"> </w:t>
      </w:r>
      <w:r w:rsidR="00D662E8" w:rsidRPr="00D662E8">
        <w:t>se lahko giblje med 0</w:t>
      </w:r>
      <w:r w:rsidR="00F1558D">
        <w:t xml:space="preserve"> </w:t>
      </w:r>
      <w:r w:rsidR="00D662E8" w:rsidRPr="00D662E8">
        <w:t>% in 2,5</w:t>
      </w:r>
      <w:r w:rsidR="00F1558D">
        <w:t xml:space="preserve"> </w:t>
      </w:r>
      <w:r w:rsidR="00D662E8" w:rsidRPr="00D662E8">
        <w:t xml:space="preserve">% </w:t>
      </w:r>
      <w:r w:rsidR="0013499D">
        <w:t xml:space="preserve">zneska </w:t>
      </w:r>
      <w:r w:rsidR="0013499D" w:rsidRPr="00DB3135">
        <w:t>skupne izpostavljenosti tveganjem</w:t>
      </w:r>
      <w:r w:rsidR="0013499D">
        <w:t xml:space="preserve"> </w:t>
      </w:r>
      <w:r w:rsidR="00D662E8">
        <w:t>(</w:t>
      </w:r>
      <w:r w:rsidR="00D662E8" w:rsidRPr="00D662E8">
        <w:t>izjemoma tudi više</w:t>
      </w:r>
      <w:r w:rsidR="00D662E8">
        <w:t>)</w:t>
      </w:r>
      <w:r w:rsidR="006046F8">
        <w:t>.</w:t>
      </w:r>
      <w:r w:rsidR="00D662E8">
        <w:t xml:space="preserve"> </w:t>
      </w:r>
      <w:r w:rsidR="006046F8">
        <w:t>O</w:t>
      </w:r>
      <w:r w:rsidR="00D662E8">
        <w:t>dvisna</w:t>
      </w:r>
      <w:r w:rsidR="006046F8">
        <w:t xml:space="preserve"> je</w:t>
      </w:r>
      <w:r w:rsidR="00D662E8">
        <w:t xml:space="preserve"> od višine tveganj v sistemu</w:t>
      </w:r>
      <w:r w:rsidR="00D662E8" w:rsidRPr="00D662E8">
        <w:t>.</w:t>
      </w:r>
      <w:r w:rsidR="002E7F99">
        <w:t xml:space="preserve"> O</w:t>
      </w:r>
      <w:r w:rsidR="002E7F99" w:rsidRPr="002E7F99">
        <w:t>b obratu kreditnega cikla</w:t>
      </w:r>
      <w:r w:rsidR="002E7F99">
        <w:t xml:space="preserve"> ali znižanju tveganj se vrednost blažilnika </w:t>
      </w:r>
      <w:r w:rsidR="006046F8">
        <w:t xml:space="preserve">ali </w:t>
      </w:r>
      <w:r w:rsidR="002E7F99">
        <w:t>zniža ali v celoti sprosti (0</w:t>
      </w:r>
      <w:r w:rsidR="00F1558D">
        <w:t xml:space="preserve"> </w:t>
      </w:r>
      <w:r w:rsidR="002E7F99">
        <w:t>%)</w:t>
      </w:r>
      <w:r w:rsidR="002E7F99" w:rsidRPr="002E7F99">
        <w:t>.</w:t>
      </w:r>
      <w:r w:rsidR="001522D1">
        <w:t xml:space="preserve"> </w:t>
      </w:r>
      <w:r w:rsidR="006046F8">
        <w:t>Ob s</w:t>
      </w:r>
      <w:r w:rsidR="006046F8" w:rsidRPr="001522D1">
        <w:t xml:space="preserve">prostitvi </w:t>
      </w:r>
      <w:r w:rsidR="00483544">
        <w:t>(</w:t>
      </w:r>
      <w:r w:rsidR="001522D1" w:rsidRPr="001522D1">
        <w:t xml:space="preserve">ali </w:t>
      </w:r>
      <w:r w:rsidR="006046F8" w:rsidRPr="001522D1">
        <w:t>znižanj</w:t>
      </w:r>
      <w:r w:rsidR="006046F8">
        <w:t>u</w:t>
      </w:r>
      <w:r w:rsidR="00483544">
        <w:t>)</w:t>
      </w:r>
      <w:r w:rsidR="006046F8" w:rsidRPr="001522D1">
        <w:t xml:space="preserve"> </w:t>
      </w:r>
      <w:r w:rsidR="00483544">
        <w:t xml:space="preserve">nižja </w:t>
      </w:r>
      <w:r w:rsidR="001522D1" w:rsidRPr="001522D1">
        <w:t xml:space="preserve">vrednost blažilnika </w:t>
      </w:r>
      <w:r w:rsidR="00E84137">
        <w:t>bankam omogoči absorpcijo morebitnih izgub</w:t>
      </w:r>
      <w:r w:rsidR="00483544">
        <w:t xml:space="preserve">. Obenem se </w:t>
      </w:r>
      <w:r w:rsidR="001522D1" w:rsidRPr="001522D1">
        <w:t xml:space="preserve">zmanjša tveganje, da bi regulatorni kapital omejeval ponudbo kreditov. </w:t>
      </w:r>
    </w:p>
    <w:p w14:paraId="0DBB40E9" w14:textId="77777777" w:rsidR="001522D1" w:rsidRDefault="001522D1" w:rsidP="00D6655D">
      <w:pPr>
        <w:jc w:val="both"/>
      </w:pPr>
    </w:p>
    <w:p w14:paraId="0DBB40EA" w14:textId="77777777" w:rsidR="00DB3135" w:rsidRDefault="001522D1" w:rsidP="00D6655D">
      <w:pPr>
        <w:jc w:val="both"/>
      </w:pPr>
      <w:r>
        <w:t xml:space="preserve">V skladu </w:t>
      </w:r>
      <w:r w:rsidR="00483544">
        <w:t>s smernicami ESRB</w:t>
      </w:r>
      <w:r>
        <w:t xml:space="preserve"> je bilo kot vodilo za določitev vrednosti blažilnika izbranih šest kazalnikov tveganj v sistemu.</w:t>
      </w:r>
      <w:r w:rsidR="00E42EE5">
        <w:t xml:space="preserve"> Pri izbiri kazalnikov smo upoštevali sledeče kriterije: </w:t>
      </w:r>
    </w:p>
    <w:p w14:paraId="0DBB40EB" w14:textId="77777777" w:rsidR="00BA6BB5" w:rsidRDefault="00E42EE5">
      <w:pPr>
        <w:pStyle w:val="Odstavekseznama"/>
        <w:numPr>
          <w:ilvl w:val="0"/>
          <w:numId w:val="2"/>
        </w:numPr>
        <w:jc w:val="both"/>
      </w:pPr>
      <w:r>
        <w:t xml:space="preserve">kazalniki pokrivajo različne vzroke tveganj, </w:t>
      </w:r>
    </w:p>
    <w:p w14:paraId="0DBB40EC" w14:textId="77777777" w:rsidR="00BA6BB5" w:rsidRDefault="00E42EE5">
      <w:pPr>
        <w:pStyle w:val="Odstavekseznama"/>
        <w:numPr>
          <w:ilvl w:val="0"/>
          <w:numId w:val="2"/>
        </w:numPr>
        <w:jc w:val="both"/>
      </w:pPr>
      <w:r>
        <w:t xml:space="preserve">kazalnik </w:t>
      </w:r>
      <w:r w:rsidR="00A60483">
        <w:t>ima</w:t>
      </w:r>
      <w:r>
        <w:t xml:space="preserve"> zadovoljivo napovedno moč pri napovedi krize, </w:t>
      </w:r>
    </w:p>
    <w:p w14:paraId="0DBB40ED" w14:textId="77777777" w:rsidR="00BA6BB5" w:rsidRDefault="00A60483">
      <w:pPr>
        <w:pStyle w:val="Odstavekseznama"/>
        <w:numPr>
          <w:ilvl w:val="0"/>
          <w:numId w:val="2"/>
        </w:numPr>
        <w:jc w:val="both"/>
      </w:pPr>
      <w:r>
        <w:t xml:space="preserve">časovna </w:t>
      </w:r>
      <w:r w:rsidR="00E42EE5">
        <w:t xml:space="preserve">vrste </w:t>
      </w:r>
      <w:r>
        <w:t xml:space="preserve">kazalnika je </w:t>
      </w:r>
      <w:r w:rsidR="00E42EE5">
        <w:t xml:space="preserve">dovolj </w:t>
      </w:r>
      <w:r>
        <w:t>dolga</w:t>
      </w:r>
      <w:r w:rsidR="00E42EE5">
        <w:t xml:space="preserve">, da omogočijo </w:t>
      </w:r>
      <w:r>
        <w:t xml:space="preserve">statično </w:t>
      </w:r>
      <w:r w:rsidR="00E42EE5">
        <w:t>analizo</w:t>
      </w:r>
      <w:r w:rsidR="00E42EE5">
        <w:rPr>
          <w:rStyle w:val="Sprotnaopomba-sklic"/>
        </w:rPr>
        <w:footnoteReference w:id="3"/>
      </w:r>
      <w:r w:rsidR="00E42EE5">
        <w:t xml:space="preserve"> primernosti indikatorja (točke iv in v), </w:t>
      </w:r>
    </w:p>
    <w:p w14:paraId="0DBB40EE" w14:textId="77777777" w:rsidR="00BA6BB5" w:rsidRDefault="00E42EE5">
      <w:pPr>
        <w:pStyle w:val="Odstavekseznama"/>
        <w:numPr>
          <w:ilvl w:val="0"/>
          <w:numId w:val="2"/>
        </w:numPr>
        <w:jc w:val="both"/>
      </w:pPr>
      <w:r>
        <w:t xml:space="preserve">kazalnik aktivira blažilnik v obdobjih prekomernega kreditiranja gospodarstva, </w:t>
      </w:r>
    </w:p>
    <w:p w14:paraId="0DBB40EF" w14:textId="77777777" w:rsidR="00BA6BB5" w:rsidRDefault="00E42EE5">
      <w:pPr>
        <w:pStyle w:val="Odstavekseznama"/>
        <w:numPr>
          <w:ilvl w:val="0"/>
          <w:numId w:val="2"/>
        </w:numPr>
        <w:jc w:val="both"/>
      </w:pPr>
      <w:r>
        <w:t xml:space="preserve">kazalnik ne aktivira blažilnika (prepogosto) v </w:t>
      </w:r>
      <w:r w:rsidR="008D1F4A">
        <w:t xml:space="preserve">obdobju </w:t>
      </w:r>
      <w:r>
        <w:t xml:space="preserve">zmerne rasti kreditov, </w:t>
      </w:r>
    </w:p>
    <w:p w14:paraId="0DBB40F0" w14:textId="77777777" w:rsidR="00BA6BB5" w:rsidRDefault="00E42EE5">
      <w:pPr>
        <w:pStyle w:val="Odstavekseznama"/>
        <w:numPr>
          <w:ilvl w:val="0"/>
          <w:numId w:val="2"/>
        </w:numPr>
        <w:jc w:val="both"/>
      </w:pPr>
      <w:r>
        <w:t xml:space="preserve">kazalnik </w:t>
      </w:r>
      <w:r w:rsidR="008D1F4A">
        <w:t xml:space="preserve">pokriva široko </w:t>
      </w:r>
      <w:r>
        <w:t>področje bančnega ali širšega sistema</w:t>
      </w:r>
      <w:r w:rsidR="008D1F4A">
        <w:t>,</w:t>
      </w:r>
      <w:r>
        <w:t xml:space="preserve"> oz. ni parcialen. </w:t>
      </w:r>
    </w:p>
    <w:p w14:paraId="0DBB40F1" w14:textId="77777777" w:rsidR="00DB3135" w:rsidRDefault="00DB3135" w:rsidP="00DB3135">
      <w:pPr>
        <w:jc w:val="both"/>
      </w:pPr>
    </w:p>
    <w:p w14:paraId="0DBB40F2" w14:textId="77777777" w:rsidR="00E42EE5" w:rsidRDefault="00E42EE5" w:rsidP="00DB3135">
      <w:pPr>
        <w:jc w:val="both"/>
      </w:pPr>
      <w:r>
        <w:t xml:space="preserve">Ker </w:t>
      </w:r>
      <w:r w:rsidR="00045D41">
        <w:t>izračuni kazalnikov temeljijo na preteklih gibanjih</w:t>
      </w:r>
      <w:r>
        <w:t xml:space="preserve">, je potrebno vrednost blažilnika, ki jo signalizirajo kazalniki, ekspertno presoditi in upoštevati morebitna nova spoznanja. </w:t>
      </w:r>
    </w:p>
    <w:p w14:paraId="0DBB40F3" w14:textId="77777777" w:rsidR="00E42EE5" w:rsidRDefault="00E42EE5" w:rsidP="00D6655D">
      <w:pPr>
        <w:jc w:val="both"/>
      </w:pPr>
    </w:p>
    <w:p w14:paraId="0DBB40F4" w14:textId="77777777" w:rsidR="001522D1" w:rsidRDefault="001522D1" w:rsidP="00D6655D">
      <w:pPr>
        <w:jc w:val="both"/>
      </w:pPr>
      <w:r w:rsidRPr="001522D1">
        <w:lastRenderedPageBreak/>
        <w:t>Ključni kazalnik</w:t>
      </w:r>
      <w:r w:rsidR="008D1F4A">
        <w:t xml:space="preserve"> za določitev vrednosti blažilnika</w:t>
      </w:r>
      <w:r w:rsidRPr="001522D1">
        <w:t xml:space="preserve"> je </w:t>
      </w:r>
      <w:r w:rsidR="008D1F4A">
        <w:t xml:space="preserve">definiran kot odstopanje </w:t>
      </w:r>
      <w:r w:rsidR="008D1F4A" w:rsidRPr="001522D1">
        <w:t>razmerj</w:t>
      </w:r>
      <w:r w:rsidR="008D1F4A">
        <w:t>a</w:t>
      </w:r>
      <w:r w:rsidR="008D1F4A" w:rsidRPr="001522D1">
        <w:t xml:space="preserve"> </w:t>
      </w:r>
      <w:r w:rsidR="0013499D">
        <w:t>med krediti</w:t>
      </w:r>
      <w:r w:rsidRPr="001522D1">
        <w:t xml:space="preserve"> zasebnemu nebančnemu sektorju in BDP od</w:t>
      </w:r>
      <w:r w:rsidR="008D1F4A">
        <w:t xml:space="preserve"> lastnega</w:t>
      </w:r>
      <w:r w:rsidRPr="001522D1">
        <w:t xml:space="preserve"> dolgoročnega trenda.</w:t>
      </w:r>
      <w:r w:rsidR="00965205">
        <w:t xml:space="preserve"> Kazalnik signalizira potencialno prekomerno rast kreditov v razmerju do gospodarske rasti.</w:t>
      </w:r>
      <w:r w:rsidRPr="001522D1">
        <w:t xml:space="preserve"> </w:t>
      </w:r>
      <w:r>
        <w:t xml:space="preserve">Poleg odstopanja razmerja med krediti in BDP od dolgoročnega trenda </w:t>
      </w:r>
      <w:r w:rsidR="00D903F0">
        <w:t xml:space="preserve">smo </w:t>
      </w:r>
      <w:r w:rsidR="00D903F0" w:rsidRPr="001522D1">
        <w:t>izbra</w:t>
      </w:r>
      <w:r w:rsidR="00D903F0">
        <w:t xml:space="preserve">li </w:t>
      </w:r>
      <w:r w:rsidRPr="001522D1">
        <w:t xml:space="preserve">dodatnih pet indikatorjev: </w:t>
      </w:r>
    </w:p>
    <w:p w14:paraId="0DBB40F5" w14:textId="77777777" w:rsidR="001522D1" w:rsidRDefault="001522D1" w:rsidP="001522D1">
      <w:pPr>
        <w:pStyle w:val="Odstavekseznama"/>
        <w:numPr>
          <w:ilvl w:val="0"/>
          <w:numId w:val="1"/>
        </w:numPr>
        <w:jc w:val="both"/>
      </w:pPr>
      <w:r w:rsidRPr="001522D1">
        <w:t>letna stopnja rasti cen nepremičnin</w:t>
      </w:r>
      <w:r w:rsidR="003A1EA2">
        <w:t xml:space="preserve"> (</w:t>
      </w:r>
      <w:r w:rsidR="00965205">
        <w:t>meri potencialno precenjenost nepremičnin</w:t>
      </w:r>
      <w:r w:rsidR="003A1EA2">
        <w:t>)</w:t>
      </w:r>
      <w:r w:rsidRPr="001522D1">
        <w:t xml:space="preserve">, </w:t>
      </w:r>
    </w:p>
    <w:p w14:paraId="0DBB40F6" w14:textId="77777777" w:rsidR="001522D1" w:rsidRDefault="001522D1" w:rsidP="001522D1">
      <w:pPr>
        <w:pStyle w:val="Odstavekseznama"/>
        <w:numPr>
          <w:ilvl w:val="0"/>
          <w:numId w:val="1"/>
        </w:numPr>
        <w:jc w:val="both"/>
      </w:pPr>
      <w:r w:rsidRPr="001522D1">
        <w:t xml:space="preserve">letna stopnja rasti </w:t>
      </w:r>
      <w:r w:rsidR="0013499D">
        <w:t>kreditov</w:t>
      </w:r>
      <w:r w:rsidRPr="001522D1">
        <w:t xml:space="preserve"> domačemu zasebnemu nefinančnemu sektorju</w:t>
      </w:r>
      <w:r w:rsidR="003A1EA2">
        <w:t xml:space="preserve"> (</w:t>
      </w:r>
      <w:r w:rsidR="00D903F0">
        <w:t xml:space="preserve">mera </w:t>
      </w:r>
      <w:r w:rsidR="008E623C">
        <w:t>gibanja kreditov</w:t>
      </w:r>
      <w:r w:rsidR="003A1EA2">
        <w:t>)</w:t>
      </w:r>
      <w:r w:rsidRPr="001522D1">
        <w:t xml:space="preserve">, </w:t>
      </w:r>
    </w:p>
    <w:p w14:paraId="0DBB40F7" w14:textId="77777777" w:rsidR="001522D1" w:rsidRDefault="001522D1" w:rsidP="001522D1">
      <w:pPr>
        <w:pStyle w:val="Odstavekseznama"/>
        <w:numPr>
          <w:ilvl w:val="0"/>
          <w:numId w:val="1"/>
        </w:numPr>
        <w:jc w:val="both"/>
      </w:pPr>
      <w:r w:rsidRPr="001522D1">
        <w:t xml:space="preserve">razmerje med </w:t>
      </w:r>
      <w:r w:rsidR="0013499D">
        <w:t>krediti</w:t>
      </w:r>
      <w:r w:rsidRPr="001522D1">
        <w:t xml:space="preserve"> in depoziti zasebnega nebančnega sektorja</w:t>
      </w:r>
      <w:r w:rsidR="003A1EA2">
        <w:t xml:space="preserve"> (</w:t>
      </w:r>
      <w:r w:rsidR="008E623C">
        <w:t>mera trdnosti bilanc stanja bank</w:t>
      </w:r>
      <w:r w:rsidR="003A1EA2">
        <w:t>)</w:t>
      </w:r>
      <w:r w:rsidRPr="001522D1">
        <w:t xml:space="preserve">, </w:t>
      </w:r>
    </w:p>
    <w:p w14:paraId="0DBB40F8" w14:textId="77777777" w:rsidR="003A1EA2" w:rsidRDefault="001522D1" w:rsidP="001522D1">
      <w:pPr>
        <w:pStyle w:val="Odstavekseznama"/>
        <w:numPr>
          <w:ilvl w:val="0"/>
          <w:numId w:val="1"/>
        </w:numPr>
        <w:jc w:val="both"/>
      </w:pPr>
      <w:r w:rsidRPr="001522D1">
        <w:t>donos na kapital (</w:t>
      </w:r>
      <w:r w:rsidR="00D903F0">
        <w:t>mera trdnosti bilanc stanja bank</w:t>
      </w:r>
      <w:r w:rsidR="00DA0F6C">
        <w:t>) in</w:t>
      </w:r>
    </w:p>
    <w:p w14:paraId="0DBB40F9" w14:textId="77777777" w:rsidR="001522D1" w:rsidRDefault="001522D1" w:rsidP="001522D1">
      <w:pPr>
        <w:pStyle w:val="Odstavekseznama"/>
        <w:numPr>
          <w:ilvl w:val="0"/>
          <w:numId w:val="1"/>
        </w:numPr>
        <w:jc w:val="both"/>
      </w:pPr>
      <w:r w:rsidRPr="001522D1">
        <w:t>razmerje med krediti in bruto poslovnim presežkom</w:t>
      </w:r>
      <w:r w:rsidR="003A1EA2">
        <w:t xml:space="preserve"> (mera zadolženosti zasebnega sektorja)</w:t>
      </w:r>
      <w:r w:rsidRPr="001522D1">
        <w:t>.</w:t>
      </w:r>
      <w:r>
        <w:t xml:space="preserve"> </w:t>
      </w:r>
    </w:p>
    <w:p w14:paraId="0DBB40FA" w14:textId="77777777" w:rsidR="001522D1" w:rsidRDefault="001522D1" w:rsidP="00D6655D">
      <w:pPr>
        <w:jc w:val="both"/>
      </w:pPr>
    </w:p>
    <w:p w14:paraId="0DBB40FB" w14:textId="69708090" w:rsidR="00D45BB7" w:rsidRPr="00A64EA3" w:rsidRDefault="009C28E3" w:rsidP="00D6655D">
      <w:pPr>
        <w:jc w:val="both"/>
      </w:pPr>
      <w:r w:rsidRPr="00D35D30">
        <w:t xml:space="preserve">Tabela </w:t>
      </w:r>
      <w:r w:rsidR="00E42EE5" w:rsidRPr="00D35D30">
        <w:t xml:space="preserve">1 </w:t>
      </w:r>
      <w:r w:rsidR="00A374DB" w:rsidRPr="00D35D30">
        <w:t xml:space="preserve">vsebuje </w:t>
      </w:r>
      <w:r w:rsidR="00B600EC" w:rsidRPr="00D35D30">
        <w:t>trenutn</w:t>
      </w:r>
      <w:r w:rsidRPr="00D35D30">
        <w:t>e</w:t>
      </w:r>
      <w:r w:rsidR="00B600EC" w:rsidRPr="00D35D30">
        <w:t xml:space="preserve"> </w:t>
      </w:r>
      <w:r w:rsidR="00E42EE5" w:rsidRPr="00D35D30">
        <w:t>vrednost</w:t>
      </w:r>
      <w:r w:rsidRPr="00D35D30">
        <w:t>i</w:t>
      </w:r>
      <w:r w:rsidR="00E42EE5" w:rsidRPr="00D35D30">
        <w:t xml:space="preserve"> </w:t>
      </w:r>
      <w:r w:rsidR="00B600EC" w:rsidRPr="00D35D30">
        <w:t>kazalnikov</w:t>
      </w:r>
      <w:r w:rsidRPr="00D35D30">
        <w:t xml:space="preserve"> tveganj</w:t>
      </w:r>
      <w:r w:rsidR="00B600EC" w:rsidRPr="00D35D30">
        <w:t xml:space="preserve"> in pripadajoča</w:t>
      </w:r>
      <w:r w:rsidR="000028D5" w:rsidRPr="00D35D30">
        <w:t xml:space="preserve"> zgodovinska povprečja. Trenutne</w:t>
      </w:r>
      <w:r w:rsidR="00B600EC" w:rsidRPr="00D35D30">
        <w:t xml:space="preserve"> vrednosti kazalnikov utemel</w:t>
      </w:r>
      <w:r w:rsidR="000028D5" w:rsidRPr="00D35D30">
        <w:t>jujejo</w:t>
      </w:r>
      <w:r w:rsidR="00B600EC" w:rsidRPr="00D35D30">
        <w:t xml:space="preserve"> stopnjo </w:t>
      </w:r>
      <w:r w:rsidR="00CE4A17" w:rsidRPr="00D35D30">
        <w:t>blažilnika</w:t>
      </w:r>
      <w:r w:rsidR="00B600EC" w:rsidRPr="00D35D30">
        <w:t xml:space="preserve"> 0</w:t>
      </w:r>
      <w:r w:rsidR="00F1558D" w:rsidRPr="00D35D30">
        <w:t xml:space="preserve"> </w:t>
      </w:r>
      <w:r w:rsidR="00B600EC" w:rsidRPr="00D35D30">
        <w:t xml:space="preserve">% </w:t>
      </w:r>
      <w:r w:rsidR="00DB3135" w:rsidRPr="00D35D30">
        <w:t>zneska skupne izpostavljenosti tveganjem</w:t>
      </w:r>
      <w:r w:rsidR="00E42EE5" w:rsidRPr="00D35D30">
        <w:t>.</w:t>
      </w:r>
      <w:r w:rsidR="00D45BB7" w:rsidRPr="00D35D30">
        <w:t xml:space="preserve"> </w:t>
      </w:r>
      <w:bookmarkStart w:id="0" w:name="_GoBack"/>
      <w:r w:rsidR="00D45BB7" w:rsidRPr="00D35D30">
        <w:t xml:space="preserve">Kot je razvidno iz tabele je </w:t>
      </w:r>
      <w:r w:rsidR="00F517EA" w:rsidRPr="00D35D30">
        <w:t xml:space="preserve">odstopanje </w:t>
      </w:r>
      <w:r w:rsidR="00EB27AC" w:rsidRPr="00D35D30">
        <w:t xml:space="preserve">razmerja med krediti in BDP od dolgoročnega trenda negativno </w:t>
      </w:r>
      <w:r w:rsidR="001F243F" w:rsidRPr="00D35D30">
        <w:t>(-</w:t>
      </w:r>
      <w:r w:rsidR="00DA0F6C" w:rsidRPr="00D35D30">
        <w:t>3</w:t>
      </w:r>
      <w:r w:rsidR="003C7DB2" w:rsidRPr="00D35D30">
        <w:t>7</w:t>
      </w:r>
      <w:r w:rsidR="00DB3135" w:rsidRPr="00D35D30">
        <w:t>,</w:t>
      </w:r>
      <w:r w:rsidR="00D35D30" w:rsidRPr="00D35D30">
        <w:t>4</w:t>
      </w:r>
      <w:r w:rsidR="001A61EA" w:rsidRPr="00D35D30">
        <w:t xml:space="preserve"> </w:t>
      </w:r>
      <w:r w:rsidR="001F243F" w:rsidRPr="00D35D30">
        <w:t>%)</w:t>
      </w:r>
      <w:r w:rsidR="008618CC" w:rsidRPr="00D35D30">
        <w:t xml:space="preserve">, </w:t>
      </w:r>
      <w:r w:rsidR="008618CC" w:rsidRPr="00C47A24">
        <w:t>pri čemer razmerje med krediti in BDP znaša 7</w:t>
      </w:r>
      <w:r w:rsidR="00C47A24" w:rsidRPr="00C47A24">
        <w:t>2</w:t>
      </w:r>
      <w:r w:rsidR="0018589C" w:rsidRPr="00C47A24">
        <w:t>,</w:t>
      </w:r>
      <w:r w:rsidR="00C47A24" w:rsidRPr="00C47A24">
        <w:t>5</w:t>
      </w:r>
      <w:r w:rsidR="000028D5" w:rsidRPr="00C47A24">
        <w:t xml:space="preserve"> %</w:t>
      </w:r>
      <w:r w:rsidR="008618CC" w:rsidRPr="00C47A24">
        <w:t>.</w:t>
      </w:r>
      <w:r w:rsidR="00D45BB7" w:rsidRPr="00C47A24">
        <w:t xml:space="preserve"> </w:t>
      </w:r>
      <w:r w:rsidR="00D45BB7" w:rsidRPr="00D35D30">
        <w:t>Odraža nizko</w:t>
      </w:r>
      <w:r w:rsidR="008E623C" w:rsidRPr="00D35D30">
        <w:t xml:space="preserve"> raven</w:t>
      </w:r>
      <w:r w:rsidR="00D45BB7" w:rsidRPr="00D35D30">
        <w:t xml:space="preserve"> </w:t>
      </w:r>
      <w:r w:rsidR="008E623C" w:rsidRPr="00D35D30">
        <w:t xml:space="preserve">kreditiranja </w:t>
      </w:r>
      <w:r w:rsidR="00D45BB7" w:rsidRPr="00D35D30">
        <w:t xml:space="preserve">zasebnega nebančnega sektorja v primerjavi s </w:t>
      </w:r>
      <w:r w:rsidR="008E623C" w:rsidRPr="00D35D30">
        <w:t xml:space="preserve">preteklimi </w:t>
      </w:r>
      <w:r w:rsidR="00D45BB7" w:rsidRPr="00D35D30">
        <w:t xml:space="preserve">vrednostmi. </w:t>
      </w:r>
      <w:r w:rsidR="008E623C" w:rsidRPr="00D35D30">
        <w:t>Nizka raven kreditiranja pomeni</w:t>
      </w:r>
      <w:r w:rsidR="003F3E92" w:rsidRPr="00D35D30">
        <w:t xml:space="preserve">, da </w:t>
      </w:r>
      <w:r w:rsidR="008E623C" w:rsidRPr="00D35D30">
        <w:t xml:space="preserve">sistemska </w:t>
      </w:r>
      <w:r w:rsidR="003F3E92" w:rsidRPr="00D35D30">
        <w:t>tveganj</w:t>
      </w:r>
      <w:r w:rsidR="008E623C" w:rsidRPr="00D35D30">
        <w:t>a</w:t>
      </w:r>
      <w:r w:rsidR="00B600EC" w:rsidRPr="00D35D30">
        <w:t xml:space="preserve"> ne izvirajo</w:t>
      </w:r>
      <w:r w:rsidR="003F3E92" w:rsidRPr="00D35D30">
        <w:t xml:space="preserve"> iz naslova prekomerne kreditne rasti.</w:t>
      </w:r>
      <w:r w:rsidR="00C972D4" w:rsidRPr="00D35D30">
        <w:t xml:space="preserve"> Letna </w:t>
      </w:r>
      <w:r w:rsidR="00B600EC" w:rsidRPr="00D35D30">
        <w:t>stopnj</w:t>
      </w:r>
      <w:r w:rsidR="00C972D4" w:rsidRPr="00D35D30">
        <w:t>a</w:t>
      </w:r>
      <w:r w:rsidR="00B600EC" w:rsidRPr="00D35D30">
        <w:t xml:space="preserve"> </w:t>
      </w:r>
      <w:r w:rsidR="003F3E92" w:rsidRPr="00D35D30">
        <w:t xml:space="preserve">rasti </w:t>
      </w:r>
      <w:r w:rsidR="0013499D" w:rsidRPr="00D35D30">
        <w:t>kreditov</w:t>
      </w:r>
      <w:r w:rsidR="003F3E92" w:rsidRPr="00D35D30">
        <w:t xml:space="preserve"> domačemu zasebnemu nefinančnemu sektorju </w:t>
      </w:r>
      <w:r w:rsidR="00C972D4" w:rsidRPr="00D35D30">
        <w:t xml:space="preserve">je bila </w:t>
      </w:r>
      <w:r w:rsidR="00D35D30">
        <w:t>s</w:t>
      </w:r>
      <w:r w:rsidR="00C972D4" w:rsidRPr="00D35D30">
        <w:t xml:space="preserve"> </w:t>
      </w:r>
      <w:r w:rsidR="00D35D30" w:rsidRPr="00D35D30">
        <w:t>4</w:t>
      </w:r>
      <w:r w:rsidR="00C972D4" w:rsidRPr="00D35D30">
        <w:t>,</w:t>
      </w:r>
      <w:r w:rsidR="00D35D30" w:rsidRPr="00D35D30">
        <w:t>6</w:t>
      </w:r>
      <w:r w:rsidR="00C972D4" w:rsidRPr="00D35D30">
        <w:t xml:space="preserve">-odstotno rastjo </w:t>
      </w:r>
      <w:r w:rsidR="00D35D30" w:rsidRPr="00D35D30">
        <w:t>tretjič</w:t>
      </w:r>
      <w:r w:rsidR="00C972D4" w:rsidRPr="00D35D30">
        <w:t xml:space="preserve"> pozitivna po tretjem četrtletju leta 2011</w:t>
      </w:r>
      <w:r w:rsidR="00084BF9" w:rsidRPr="00D35D30">
        <w:t xml:space="preserve"> (prvič v prvem četrtletju 2017)</w:t>
      </w:r>
      <w:r w:rsidR="003F3E92" w:rsidRPr="00D35D30">
        <w:t>. Letna st</w:t>
      </w:r>
      <w:r w:rsidR="0013499D" w:rsidRPr="00D35D30">
        <w:t xml:space="preserve">opnja rasti cen nepremičnin </w:t>
      </w:r>
      <w:r w:rsidR="00180042" w:rsidRPr="00D35D30">
        <w:t xml:space="preserve">je v </w:t>
      </w:r>
      <w:r w:rsidR="00D35D30" w:rsidRPr="00D35D30">
        <w:t>tretjem</w:t>
      </w:r>
      <w:r w:rsidR="00EB3CF2" w:rsidRPr="00D35D30">
        <w:t xml:space="preserve"> četrtletju 201</w:t>
      </w:r>
      <w:r w:rsidR="001D1F6F" w:rsidRPr="00D35D30">
        <w:t>7</w:t>
      </w:r>
      <w:r w:rsidR="00180042" w:rsidRPr="00D35D30">
        <w:t xml:space="preserve"> znašala</w:t>
      </w:r>
      <w:r w:rsidR="003F3E92" w:rsidRPr="00D35D30">
        <w:t xml:space="preserve"> </w:t>
      </w:r>
      <w:r w:rsidR="00D35D30" w:rsidRPr="00D35D30">
        <w:t>9</w:t>
      </w:r>
      <w:r w:rsidR="00B81B86" w:rsidRPr="00D35D30">
        <w:t>,</w:t>
      </w:r>
      <w:r w:rsidR="00D35D30" w:rsidRPr="00D35D30">
        <w:t>4</w:t>
      </w:r>
      <w:r w:rsidR="00180042" w:rsidRPr="00D35D30">
        <w:t xml:space="preserve"> %</w:t>
      </w:r>
      <w:r w:rsidR="003F3E92" w:rsidRPr="00D35D30">
        <w:t xml:space="preserve">, </w:t>
      </w:r>
      <w:r w:rsidR="00180042" w:rsidRPr="00D35D30">
        <w:t xml:space="preserve">kar je </w:t>
      </w:r>
      <w:r w:rsidR="00D35D30" w:rsidRPr="00D35D30">
        <w:t>več kot dvakrat</w:t>
      </w:r>
      <w:r w:rsidR="00506858">
        <w:t>nik</w:t>
      </w:r>
      <w:r w:rsidR="00F70669" w:rsidRPr="00D35D30">
        <w:t xml:space="preserve"> povprečja za obdobje 200</w:t>
      </w:r>
      <w:r w:rsidR="00C972D4" w:rsidRPr="00D35D30">
        <w:t>0</w:t>
      </w:r>
      <w:r w:rsidR="00F70669" w:rsidRPr="00D35D30">
        <w:t>Q1-</w:t>
      </w:r>
      <w:r w:rsidR="00F70669" w:rsidRPr="001C3F88">
        <w:t>201</w:t>
      </w:r>
      <w:r w:rsidR="001D1F6F" w:rsidRPr="001C3F88">
        <w:t>7</w:t>
      </w:r>
      <w:r w:rsidR="00F70669" w:rsidRPr="001C3F88">
        <w:t>Q</w:t>
      </w:r>
      <w:r w:rsidR="00D35D30" w:rsidRPr="001C3F88">
        <w:t>3</w:t>
      </w:r>
      <w:r w:rsidR="00ED55D9" w:rsidRPr="001C3F88">
        <w:t>.</w:t>
      </w:r>
      <w:r w:rsidR="0085611B" w:rsidRPr="001C3F88">
        <w:t xml:space="preserve"> </w:t>
      </w:r>
      <w:r w:rsidR="00931815" w:rsidRPr="001C3F88">
        <w:t xml:space="preserve">Rast cen nepremičnin je pričakovana posledica obrata preteklih negativnih rasti in še ne implicira nastanka novih tveganj iz naslova čezmerne kreditne aktivnosti bank. </w:t>
      </w:r>
      <w:r w:rsidR="003F3E92" w:rsidRPr="001C3F88">
        <w:t xml:space="preserve">Razmerje med </w:t>
      </w:r>
      <w:r w:rsidR="0013499D" w:rsidRPr="001C3F88">
        <w:t>krediti</w:t>
      </w:r>
      <w:r w:rsidR="003F3E92" w:rsidRPr="001C3F88">
        <w:t xml:space="preserve"> in depoziti zasebnega nebančnega sektorja </w:t>
      </w:r>
      <w:r w:rsidR="00462993" w:rsidRPr="001C3F88">
        <w:t xml:space="preserve">(0,8) </w:t>
      </w:r>
      <w:r w:rsidR="003F3E92" w:rsidRPr="001C3F88">
        <w:t xml:space="preserve">je pod </w:t>
      </w:r>
      <w:r w:rsidR="00B600EC" w:rsidRPr="001C3F88">
        <w:t>preteklimi vrednostmi</w:t>
      </w:r>
      <w:r w:rsidR="003F3E92" w:rsidRPr="001C3F88">
        <w:t>. Pove nam, da so</w:t>
      </w:r>
      <w:r w:rsidR="003F3E92" w:rsidRPr="002A2545">
        <w:t xml:space="preserve"> </w:t>
      </w:r>
      <w:r w:rsidR="0013499D" w:rsidRPr="002A2545">
        <w:t>krediti</w:t>
      </w:r>
      <w:r w:rsidR="003F3E92" w:rsidRPr="002A2545">
        <w:t xml:space="preserve"> pretežno financiran</w:t>
      </w:r>
      <w:r w:rsidR="0013499D" w:rsidRPr="002A2545">
        <w:t>i</w:t>
      </w:r>
      <w:r w:rsidR="003F3E92" w:rsidRPr="002A2545">
        <w:t xml:space="preserve"> z depoziti komitentov</w:t>
      </w:r>
      <w:r w:rsidR="00B600EC" w:rsidRPr="002A2545">
        <w:t>. T</w:t>
      </w:r>
      <w:r w:rsidR="0032438D" w:rsidRPr="002A2545">
        <w:t>i</w:t>
      </w:r>
      <w:r w:rsidR="00B600EC" w:rsidRPr="002A2545">
        <w:t xml:space="preserve"> </w:t>
      </w:r>
      <w:r w:rsidR="0032438D" w:rsidRPr="002A2545">
        <w:t>so</w:t>
      </w:r>
      <w:r w:rsidR="00B600EC" w:rsidRPr="002A2545">
        <w:t xml:space="preserve"> bolj </w:t>
      </w:r>
      <w:r w:rsidR="00045D41" w:rsidRPr="002A2545">
        <w:t>stabilen</w:t>
      </w:r>
      <w:r w:rsidR="003F3E92" w:rsidRPr="002A2545">
        <w:t xml:space="preserve"> vir sredstev bank. </w:t>
      </w:r>
      <w:r w:rsidR="00931815" w:rsidRPr="00931815">
        <w:t>Vrednost količnika donos na kapital (0,09) ne dosega vrednosti, ki jih kazalnik dosega v obdobjih prekomernega kreditiranja.</w:t>
      </w:r>
      <w:r w:rsidR="003F3E92" w:rsidRPr="002A2545">
        <w:t xml:space="preserve"> </w:t>
      </w:r>
      <w:r w:rsidR="00B53A63" w:rsidRPr="002A2545">
        <w:t>Nizko je tudi razmerje med krediti in bruto poslovnim presežkom, ki predstavlja mero zadolženosti zasebnega sektorja in odraža sposobnost financiranja dolgov poslovnega sektorja.</w:t>
      </w:r>
      <w:r w:rsidR="00B53A63" w:rsidRPr="003C7DB2">
        <w:t xml:space="preserve"> </w:t>
      </w:r>
      <w:r w:rsidR="00EA40B3" w:rsidRPr="003C7DB2">
        <w:t xml:space="preserve"> </w:t>
      </w:r>
    </w:p>
    <w:bookmarkEnd w:id="0"/>
    <w:p w14:paraId="0DBB40FC" w14:textId="77777777" w:rsidR="00D45BB7" w:rsidRPr="00A64EA3" w:rsidRDefault="00D45BB7" w:rsidP="00D6655D">
      <w:pPr>
        <w:jc w:val="both"/>
      </w:pPr>
    </w:p>
    <w:p w14:paraId="0DBB40FD" w14:textId="77777777" w:rsidR="00B600EC" w:rsidRPr="00EF1D98" w:rsidRDefault="00B600EC" w:rsidP="00D6655D">
      <w:pPr>
        <w:jc w:val="both"/>
        <w:rPr>
          <w:highlight w:val="red"/>
        </w:rPr>
      </w:pPr>
    </w:p>
    <w:p w14:paraId="0DBB40FE" w14:textId="77777777" w:rsidR="00D45BB7" w:rsidRPr="00A64EA3" w:rsidRDefault="00D45BB7" w:rsidP="00D6655D">
      <w:pPr>
        <w:jc w:val="both"/>
      </w:pPr>
      <w:r w:rsidRPr="00A64EA3">
        <w:t>Tabe</w:t>
      </w:r>
      <w:r w:rsidR="00412FAC" w:rsidRPr="00A64EA3">
        <w:t>l</w:t>
      </w:r>
      <w:r w:rsidRPr="00A64EA3">
        <w:t>a 1: Vrednosti kazalnikov za določitev blažilnika</w:t>
      </w:r>
      <w:r w:rsidR="00DB3135" w:rsidRPr="00A64EA3">
        <w:t>.</w:t>
      </w:r>
    </w:p>
    <w:tbl>
      <w:tblPr>
        <w:tblStyle w:val="Tabelamrea"/>
        <w:tblW w:w="0" w:type="auto"/>
        <w:tblLook w:val="04A0" w:firstRow="1" w:lastRow="0" w:firstColumn="1" w:lastColumn="0" w:noHBand="0" w:noVBand="1"/>
      </w:tblPr>
      <w:tblGrid>
        <w:gridCol w:w="4568"/>
        <w:gridCol w:w="2359"/>
        <w:gridCol w:w="2359"/>
      </w:tblGrid>
      <w:tr w:rsidR="00D45BB7" w:rsidRPr="00A64EA3" w14:paraId="0DBB4102" w14:textId="77777777" w:rsidTr="00560301">
        <w:trPr>
          <w:trHeight w:val="315"/>
        </w:trPr>
        <w:tc>
          <w:tcPr>
            <w:tcW w:w="4570" w:type="dxa"/>
            <w:noWrap/>
            <w:vAlign w:val="center"/>
            <w:hideMark/>
          </w:tcPr>
          <w:p w14:paraId="0DBB40FF" w14:textId="77777777" w:rsidR="00D45BB7" w:rsidRPr="00A64EA3" w:rsidRDefault="00D45BB7" w:rsidP="00792775">
            <w:pPr>
              <w:jc w:val="center"/>
              <w:rPr>
                <w:b/>
                <w:bCs/>
              </w:rPr>
            </w:pPr>
            <w:r w:rsidRPr="00A64EA3">
              <w:rPr>
                <w:b/>
                <w:bCs/>
              </w:rPr>
              <w:t>Kazalnik\Vrednost</w:t>
            </w:r>
          </w:p>
        </w:tc>
        <w:tc>
          <w:tcPr>
            <w:tcW w:w="2359" w:type="dxa"/>
            <w:noWrap/>
            <w:vAlign w:val="center"/>
            <w:hideMark/>
          </w:tcPr>
          <w:p w14:paraId="0DBB4100" w14:textId="3C570F6D" w:rsidR="00D45BB7" w:rsidRPr="00A64EA3" w:rsidRDefault="00D45BB7" w:rsidP="00B00E31">
            <w:pPr>
              <w:jc w:val="center"/>
            </w:pPr>
            <w:r w:rsidRPr="00A64EA3">
              <w:t>Povprečna vrednost (2000</w:t>
            </w:r>
            <w:r w:rsidR="00863AC5" w:rsidRPr="00A64EA3">
              <w:t>Q1</w:t>
            </w:r>
            <w:r w:rsidRPr="00A64EA3">
              <w:t>-</w:t>
            </w:r>
            <w:r w:rsidR="007172D2" w:rsidRPr="00A64EA3">
              <w:t>201</w:t>
            </w:r>
            <w:r w:rsidR="00C972D4">
              <w:t>7</w:t>
            </w:r>
            <w:r w:rsidR="007172D2" w:rsidRPr="00A64EA3">
              <w:t>Q</w:t>
            </w:r>
            <w:r w:rsidR="00B00E31">
              <w:t>3</w:t>
            </w:r>
            <w:r w:rsidRPr="00A64EA3">
              <w:t>)</w:t>
            </w:r>
            <w:r w:rsidR="00A15957" w:rsidRPr="00A64EA3">
              <w:t>*</w:t>
            </w:r>
          </w:p>
        </w:tc>
        <w:tc>
          <w:tcPr>
            <w:tcW w:w="2359" w:type="dxa"/>
            <w:noWrap/>
            <w:vAlign w:val="center"/>
            <w:hideMark/>
          </w:tcPr>
          <w:p w14:paraId="0DBB4101" w14:textId="40EF91DA" w:rsidR="00D45BB7" w:rsidRPr="00A64EA3" w:rsidRDefault="00D45BB7" w:rsidP="00B00E31">
            <w:pPr>
              <w:jc w:val="center"/>
            </w:pPr>
            <w:r w:rsidRPr="00A64EA3">
              <w:t xml:space="preserve">Vrednost </w:t>
            </w:r>
            <w:r w:rsidR="0010236C" w:rsidRPr="00A64EA3">
              <w:t>kazalnikov</w:t>
            </w:r>
            <w:r w:rsidR="0013499D" w:rsidRPr="00A64EA3">
              <w:t>, upoštevana</w:t>
            </w:r>
            <w:r w:rsidR="0010236C" w:rsidRPr="00A64EA3">
              <w:t xml:space="preserve"> </w:t>
            </w:r>
            <w:r w:rsidR="0013499D" w:rsidRPr="00A64EA3">
              <w:t xml:space="preserve">pri </w:t>
            </w:r>
            <w:r w:rsidR="0010236C" w:rsidRPr="00A64EA3">
              <w:t>odločit</w:t>
            </w:r>
            <w:r w:rsidR="0013499D" w:rsidRPr="00A64EA3">
              <w:t>vi o blažilniku, sprejeti</w:t>
            </w:r>
            <w:r w:rsidR="0010236C" w:rsidRPr="00A64EA3">
              <w:t xml:space="preserve"> v </w:t>
            </w:r>
            <w:r w:rsidR="00B00E31">
              <w:t>4</w:t>
            </w:r>
            <w:r w:rsidR="00A15957" w:rsidRPr="00A64EA3">
              <w:t xml:space="preserve">. četrtletju </w:t>
            </w:r>
            <w:r w:rsidR="00571E9F" w:rsidRPr="00A64EA3">
              <w:t>201</w:t>
            </w:r>
            <w:r w:rsidR="005E53A1">
              <w:t>7</w:t>
            </w:r>
            <w:r w:rsidR="0010236C" w:rsidRPr="00A64EA3">
              <w:t>*</w:t>
            </w:r>
            <w:r w:rsidR="00A15957" w:rsidRPr="00A64EA3">
              <w:t>*</w:t>
            </w:r>
          </w:p>
        </w:tc>
      </w:tr>
      <w:tr w:rsidR="00D45BB7" w:rsidRPr="00A64EA3" w14:paraId="0DBB4106" w14:textId="77777777" w:rsidTr="00560301">
        <w:trPr>
          <w:trHeight w:val="315"/>
        </w:trPr>
        <w:tc>
          <w:tcPr>
            <w:tcW w:w="4570" w:type="dxa"/>
            <w:noWrap/>
            <w:hideMark/>
          </w:tcPr>
          <w:p w14:paraId="0DBB4103" w14:textId="77777777" w:rsidR="00D45BB7" w:rsidRPr="00A64EA3" w:rsidRDefault="00D45BB7" w:rsidP="00D45BB7">
            <w:pPr>
              <w:jc w:val="both"/>
            </w:pPr>
            <w:r w:rsidRPr="00A64EA3">
              <w:t> </w:t>
            </w:r>
          </w:p>
        </w:tc>
        <w:tc>
          <w:tcPr>
            <w:tcW w:w="2359" w:type="dxa"/>
            <w:noWrap/>
            <w:hideMark/>
          </w:tcPr>
          <w:p w14:paraId="0DBB4104" w14:textId="77777777" w:rsidR="00D45BB7" w:rsidRPr="00A64EA3" w:rsidRDefault="00D45BB7" w:rsidP="00D45BB7">
            <w:pPr>
              <w:jc w:val="both"/>
            </w:pPr>
            <w:r w:rsidRPr="00A64EA3">
              <w:t> </w:t>
            </w:r>
          </w:p>
        </w:tc>
        <w:tc>
          <w:tcPr>
            <w:tcW w:w="2359" w:type="dxa"/>
            <w:noWrap/>
            <w:hideMark/>
          </w:tcPr>
          <w:p w14:paraId="0DBB4105" w14:textId="77777777" w:rsidR="00D45BB7" w:rsidRPr="00A64EA3" w:rsidRDefault="00D45BB7" w:rsidP="00D45BB7">
            <w:pPr>
              <w:jc w:val="both"/>
            </w:pPr>
            <w:r w:rsidRPr="00A64EA3">
              <w:t> </w:t>
            </w:r>
          </w:p>
        </w:tc>
      </w:tr>
      <w:tr w:rsidR="00D45BB7" w:rsidRPr="00A64EA3" w14:paraId="0DBB410A" w14:textId="77777777" w:rsidTr="00EC7F5E">
        <w:trPr>
          <w:trHeight w:val="300"/>
        </w:trPr>
        <w:tc>
          <w:tcPr>
            <w:tcW w:w="4570" w:type="dxa"/>
            <w:noWrap/>
            <w:hideMark/>
          </w:tcPr>
          <w:p w14:paraId="0DBB4107" w14:textId="77777777" w:rsidR="00D45BB7" w:rsidRPr="00A64EA3" w:rsidRDefault="00D45BB7" w:rsidP="0013499D">
            <w:r w:rsidRPr="00A64EA3">
              <w:t>vrzel med krediti zasebnemu nebančnemu sektorju in BDP</w:t>
            </w:r>
          </w:p>
        </w:tc>
        <w:tc>
          <w:tcPr>
            <w:tcW w:w="2359" w:type="dxa"/>
            <w:shd w:val="clear" w:color="auto" w:fill="auto"/>
            <w:noWrap/>
            <w:vAlign w:val="center"/>
            <w:hideMark/>
          </w:tcPr>
          <w:p w14:paraId="0DBB4108" w14:textId="3DAE7147" w:rsidR="00BA6BB5" w:rsidRPr="00522210" w:rsidRDefault="001A4B66" w:rsidP="00522210">
            <w:pPr>
              <w:jc w:val="right"/>
              <w:rPr>
                <w:b/>
                <w:bCs/>
              </w:rPr>
            </w:pPr>
            <w:r w:rsidRPr="00522210">
              <w:rPr>
                <w:b/>
                <w:bCs/>
              </w:rPr>
              <w:t>-</w:t>
            </w:r>
            <w:r w:rsidR="00522210" w:rsidRPr="00522210">
              <w:rPr>
                <w:b/>
                <w:bCs/>
              </w:rPr>
              <w:t>4</w:t>
            </w:r>
            <w:r w:rsidR="00EB3CF2" w:rsidRPr="00522210">
              <w:rPr>
                <w:b/>
                <w:bCs/>
              </w:rPr>
              <w:t>,</w:t>
            </w:r>
            <w:r w:rsidR="00522210" w:rsidRPr="00522210">
              <w:rPr>
                <w:b/>
                <w:bCs/>
              </w:rPr>
              <w:t>9</w:t>
            </w:r>
            <w:r w:rsidR="007172D2" w:rsidRPr="00522210">
              <w:rPr>
                <w:b/>
                <w:bCs/>
              </w:rPr>
              <w:t xml:space="preserve"> </w:t>
            </w:r>
            <w:r w:rsidR="00F1558D" w:rsidRPr="00522210">
              <w:rPr>
                <w:b/>
                <w:bCs/>
              </w:rPr>
              <w:t>%</w:t>
            </w:r>
          </w:p>
        </w:tc>
        <w:tc>
          <w:tcPr>
            <w:tcW w:w="2359" w:type="dxa"/>
            <w:shd w:val="clear" w:color="auto" w:fill="auto"/>
            <w:noWrap/>
            <w:vAlign w:val="center"/>
            <w:hideMark/>
          </w:tcPr>
          <w:p w14:paraId="0DBB4109" w14:textId="0C24028F" w:rsidR="00BA6BB5" w:rsidRPr="00B00E31" w:rsidRDefault="00D45BB7" w:rsidP="00B00E31">
            <w:pPr>
              <w:jc w:val="right"/>
              <w:rPr>
                <w:b/>
                <w:bCs/>
              </w:rPr>
            </w:pPr>
            <w:r w:rsidRPr="00B00E31">
              <w:rPr>
                <w:b/>
                <w:bCs/>
              </w:rPr>
              <w:t>-</w:t>
            </w:r>
            <w:r w:rsidR="00266A43" w:rsidRPr="00B00E31">
              <w:rPr>
                <w:b/>
                <w:bCs/>
              </w:rPr>
              <w:t>3</w:t>
            </w:r>
            <w:r w:rsidR="00742F35" w:rsidRPr="00B00E31">
              <w:rPr>
                <w:b/>
                <w:bCs/>
              </w:rPr>
              <w:t>7</w:t>
            </w:r>
            <w:r w:rsidR="00DB3135" w:rsidRPr="00B00E31">
              <w:rPr>
                <w:b/>
                <w:bCs/>
              </w:rPr>
              <w:t>,</w:t>
            </w:r>
            <w:r w:rsidR="00B00E31" w:rsidRPr="00B00E31">
              <w:rPr>
                <w:b/>
                <w:bCs/>
              </w:rPr>
              <w:t>4</w:t>
            </w:r>
            <w:r w:rsidR="007172D2" w:rsidRPr="00B00E31">
              <w:rPr>
                <w:b/>
                <w:bCs/>
              </w:rPr>
              <w:t xml:space="preserve"> </w:t>
            </w:r>
            <w:r w:rsidRPr="00B00E31">
              <w:rPr>
                <w:b/>
                <w:bCs/>
              </w:rPr>
              <w:t>%</w:t>
            </w:r>
          </w:p>
        </w:tc>
      </w:tr>
      <w:tr w:rsidR="00560301" w:rsidRPr="00A64EA3" w14:paraId="0DBB410E" w14:textId="77777777" w:rsidTr="00EC7F5E">
        <w:trPr>
          <w:trHeight w:val="300"/>
        </w:trPr>
        <w:tc>
          <w:tcPr>
            <w:tcW w:w="4570" w:type="dxa"/>
            <w:noWrap/>
            <w:hideMark/>
          </w:tcPr>
          <w:p w14:paraId="0DBB410B" w14:textId="77777777" w:rsidR="00560301" w:rsidRPr="00A64EA3" w:rsidRDefault="00560301" w:rsidP="0013499D">
            <w:r w:rsidRPr="00A64EA3">
              <w:t>letna stopnja rasti cen nepremičnin (na voljo od 2001)</w:t>
            </w:r>
          </w:p>
        </w:tc>
        <w:tc>
          <w:tcPr>
            <w:tcW w:w="2359" w:type="dxa"/>
            <w:shd w:val="clear" w:color="auto" w:fill="auto"/>
            <w:noWrap/>
            <w:vAlign w:val="center"/>
            <w:hideMark/>
          </w:tcPr>
          <w:p w14:paraId="0DBB410C" w14:textId="6412D942" w:rsidR="00560301" w:rsidRPr="00522210" w:rsidRDefault="002E6087" w:rsidP="002E6087">
            <w:pPr>
              <w:jc w:val="right"/>
            </w:pPr>
            <w:r w:rsidRPr="00522210">
              <w:t>4</w:t>
            </w:r>
            <w:r w:rsidR="00560301" w:rsidRPr="00522210">
              <w:t>,</w:t>
            </w:r>
            <w:r w:rsidRPr="00522210">
              <w:t>6</w:t>
            </w:r>
            <w:r w:rsidR="00560301" w:rsidRPr="00522210">
              <w:t xml:space="preserve"> %</w:t>
            </w:r>
          </w:p>
        </w:tc>
        <w:tc>
          <w:tcPr>
            <w:tcW w:w="2359" w:type="dxa"/>
            <w:shd w:val="clear" w:color="auto" w:fill="auto"/>
            <w:noWrap/>
            <w:vAlign w:val="center"/>
            <w:hideMark/>
          </w:tcPr>
          <w:p w14:paraId="0DBB410D" w14:textId="6A63D562" w:rsidR="00560301" w:rsidRPr="00B00E31" w:rsidRDefault="00B00E31" w:rsidP="00B00E31">
            <w:pPr>
              <w:jc w:val="right"/>
              <w:rPr>
                <w:highlight w:val="yellow"/>
              </w:rPr>
            </w:pPr>
            <w:r w:rsidRPr="00B00E31">
              <w:t>9</w:t>
            </w:r>
            <w:r w:rsidR="00B81B86" w:rsidRPr="00B00E31">
              <w:t>,</w:t>
            </w:r>
            <w:r w:rsidRPr="00B00E31">
              <w:t>4</w:t>
            </w:r>
            <w:r w:rsidR="007172D2" w:rsidRPr="00B00E31">
              <w:t xml:space="preserve"> </w:t>
            </w:r>
            <w:r w:rsidR="00560301" w:rsidRPr="00B00E31">
              <w:t>%</w:t>
            </w:r>
          </w:p>
        </w:tc>
      </w:tr>
      <w:tr w:rsidR="00560301" w:rsidRPr="00A64EA3" w14:paraId="0DBB4112" w14:textId="77777777" w:rsidTr="00EC7F5E">
        <w:trPr>
          <w:trHeight w:val="300"/>
        </w:trPr>
        <w:tc>
          <w:tcPr>
            <w:tcW w:w="4570" w:type="dxa"/>
            <w:noWrap/>
            <w:hideMark/>
          </w:tcPr>
          <w:p w14:paraId="0DBB410F" w14:textId="77777777" w:rsidR="00560301" w:rsidRPr="00A64EA3" w:rsidRDefault="00560301" w:rsidP="0013499D">
            <w:r w:rsidRPr="00A64EA3">
              <w:t xml:space="preserve">letna stopnja rasti </w:t>
            </w:r>
            <w:r w:rsidR="0013499D" w:rsidRPr="00A64EA3">
              <w:t>kreditov</w:t>
            </w:r>
            <w:r w:rsidRPr="00A64EA3">
              <w:t xml:space="preserve"> domačemu zasebnemu nefinančnemu sektorju </w:t>
            </w:r>
          </w:p>
        </w:tc>
        <w:tc>
          <w:tcPr>
            <w:tcW w:w="2359" w:type="dxa"/>
            <w:shd w:val="clear" w:color="auto" w:fill="auto"/>
            <w:noWrap/>
            <w:vAlign w:val="center"/>
            <w:hideMark/>
          </w:tcPr>
          <w:p w14:paraId="0DBB4110" w14:textId="778504AA" w:rsidR="00560301" w:rsidRPr="00522210" w:rsidRDefault="00174535" w:rsidP="00522210">
            <w:pPr>
              <w:jc w:val="right"/>
            </w:pPr>
            <w:r w:rsidRPr="00522210">
              <w:t>9</w:t>
            </w:r>
            <w:r w:rsidR="00560301" w:rsidRPr="00522210">
              <w:t>,</w:t>
            </w:r>
            <w:r w:rsidR="00522210" w:rsidRPr="00522210">
              <w:t>9</w:t>
            </w:r>
            <w:r w:rsidR="007172D2" w:rsidRPr="00522210">
              <w:t xml:space="preserve"> </w:t>
            </w:r>
            <w:r w:rsidR="00560301" w:rsidRPr="00522210">
              <w:t>%</w:t>
            </w:r>
          </w:p>
        </w:tc>
        <w:tc>
          <w:tcPr>
            <w:tcW w:w="2359" w:type="dxa"/>
            <w:shd w:val="clear" w:color="auto" w:fill="auto"/>
            <w:noWrap/>
            <w:vAlign w:val="center"/>
            <w:hideMark/>
          </w:tcPr>
          <w:p w14:paraId="0DBB4111" w14:textId="29C7E4D3" w:rsidR="00560301" w:rsidRPr="00B00E31" w:rsidRDefault="00B00E31" w:rsidP="00B00E31">
            <w:pPr>
              <w:jc w:val="right"/>
              <w:rPr>
                <w:b/>
                <w:color w:val="FF0000"/>
              </w:rPr>
            </w:pPr>
            <w:r w:rsidRPr="00B00E31">
              <w:t>4</w:t>
            </w:r>
            <w:r w:rsidR="00EB3CF2" w:rsidRPr="00B00E31">
              <w:t>,</w:t>
            </w:r>
            <w:r w:rsidRPr="00B00E31">
              <w:t>6</w:t>
            </w:r>
            <w:r w:rsidR="007172D2" w:rsidRPr="00B00E31">
              <w:t xml:space="preserve"> </w:t>
            </w:r>
            <w:r w:rsidR="00560301" w:rsidRPr="00B00E31">
              <w:t>%</w:t>
            </w:r>
          </w:p>
        </w:tc>
      </w:tr>
      <w:tr w:rsidR="00D45BB7" w:rsidRPr="00A64EA3" w14:paraId="0DBB4116" w14:textId="77777777" w:rsidTr="00EC7F5E">
        <w:trPr>
          <w:trHeight w:val="300"/>
        </w:trPr>
        <w:tc>
          <w:tcPr>
            <w:tcW w:w="4570" w:type="dxa"/>
            <w:noWrap/>
            <w:hideMark/>
          </w:tcPr>
          <w:p w14:paraId="0DBB4113" w14:textId="77777777" w:rsidR="00D45BB7" w:rsidRPr="00A64EA3" w:rsidRDefault="00D45BB7" w:rsidP="0013499D">
            <w:r w:rsidRPr="00A64EA3">
              <w:t xml:space="preserve">razmerje med </w:t>
            </w:r>
            <w:r w:rsidR="0013499D" w:rsidRPr="00A64EA3">
              <w:t>krediti</w:t>
            </w:r>
            <w:r w:rsidRPr="00A64EA3">
              <w:t xml:space="preserve"> in depoziti zasebnega nebančnega sektorja</w:t>
            </w:r>
          </w:p>
        </w:tc>
        <w:tc>
          <w:tcPr>
            <w:tcW w:w="2359" w:type="dxa"/>
            <w:shd w:val="clear" w:color="auto" w:fill="auto"/>
            <w:noWrap/>
            <w:vAlign w:val="center"/>
            <w:hideMark/>
          </w:tcPr>
          <w:p w14:paraId="0DBB4114" w14:textId="77777777" w:rsidR="00BA6BB5" w:rsidRPr="00522210" w:rsidRDefault="00D45BB7" w:rsidP="001A4B66">
            <w:pPr>
              <w:jc w:val="right"/>
            </w:pPr>
            <w:r w:rsidRPr="00522210">
              <w:t>1</w:t>
            </w:r>
            <w:r w:rsidR="00DB3135" w:rsidRPr="00522210">
              <w:t>,</w:t>
            </w:r>
            <w:r w:rsidR="001A4B66" w:rsidRPr="00522210">
              <w:t>2</w:t>
            </w:r>
          </w:p>
        </w:tc>
        <w:tc>
          <w:tcPr>
            <w:tcW w:w="2359" w:type="dxa"/>
            <w:shd w:val="clear" w:color="auto" w:fill="auto"/>
            <w:noWrap/>
            <w:vAlign w:val="center"/>
            <w:hideMark/>
          </w:tcPr>
          <w:p w14:paraId="0DBB4115" w14:textId="77777777" w:rsidR="00BA6BB5" w:rsidRPr="00B00E31" w:rsidRDefault="007172D2" w:rsidP="00B81B86">
            <w:pPr>
              <w:jc w:val="right"/>
            </w:pPr>
            <w:r w:rsidRPr="00B00E31">
              <w:t>0</w:t>
            </w:r>
            <w:r w:rsidR="00DB3135" w:rsidRPr="00B00E31">
              <w:t>,</w:t>
            </w:r>
            <w:r w:rsidR="00B81B86" w:rsidRPr="00B00E31">
              <w:t>8</w:t>
            </w:r>
          </w:p>
        </w:tc>
      </w:tr>
      <w:tr w:rsidR="00D45BB7" w:rsidRPr="00A64EA3" w14:paraId="0DBB411A" w14:textId="77777777" w:rsidTr="00EC7F5E">
        <w:trPr>
          <w:trHeight w:val="300"/>
        </w:trPr>
        <w:tc>
          <w:tcPr>
            <w:tcW w:w="4570" w:type="dxa"/>
            <w:noWrap/>
            <w:hideMark/>
          </w:tcPr>
          <w:p w14:paraId="0DBB4117" w14:textId="77777777" w:rsidR="00D45BB7" w:rsidRPr="00A64EA3" w:rsidRDefault="00D45BB7" w:rsidP="0013499D">
            <w:r w:rsidRPr="00A64EA3">
              <w:t>donos na kapital</w:t>
            </w:r>
          </w:p>
        </w:tc>
        <w:tc>
          <w:tcPr>
            <w:tcW w:w="2359" w:type="dxa"/>
            <w:shd w:val="clear" w:color="auto" w:fill="auto"/>
            <w:noWrap/>
            <w:vAlign w:val="center"/>
            <w:hideMark/>
          </w:tcPr>
          <w:p w14:paraId="0DBB4118" w14:textId="77777777" w:rsidR="00BA6BB5" w:rsidRPr="00522210" w:rsidRDefault="001A4B66" w:rsidP="00792775">
            <w:pPr>
              <w:jc w:val="right"/>
            </w:pPr>
            <w:r w:rsidRPr="00522210">
              <w:t>-</w:t>
            </w:r>
            <w:r w:rsidR="00D45BB7" w:rsidRPr="00522210">
              <w:t>0</w:t>
            </w:r>
            <w:r w:rsidR="00DB3135" w:rsidRPr="00522210">
              <w:t>,</w:t>
            </w:r>
            <w:r w:rsidR="00D45BB7" w:rsidRPr="00522210">
              <w:t>0</w:t>
            </w:r>
            <w:r w:rsidRPr="00522210">
              <w:t>1</w:t>
            </w:r>
            <w:r w:rsidR="00F1558D" w:rsidRPr="00522210">
              <w:t xml:space="preserve"> </w:t>
            </w:r>
          </w:p>
        </w:tc>
        <w:tc>
          <w:tcPr>
            <w:tcW w:w="2359" w:type="dxa"/>
            <w:shd w:val="clear" w:color="auto" w:fill="auto"/>
            <w:noWrap/>
            <w:vAlign w:val="center"/>
            <w:hideMark/>
          </w:tcPr>
          <w:p w14:paraId="0DBB4119" w14:textId="2E677AA6" w:rsidR="00BA6BB5" w:rsidRPr="00B00E31" w:rsidRDefault="007172D2" w:rsidP="00B00E31">
            <w:pPr>
              <w:jc w:val="right"/>
            </w:pPr>
            <w:r w:rsidRPr="00B00E31">
              <w:t>0</w:t>
            </w:r>
            <w:r w:rsidR="00DB3135" w:rsidRPr="00B00E31">
              <w:t>,</w:t>
            </w:r>
            <w:r w:rsidRPr="00B00E31">
              <w:t>0</w:t>
            </w:r>
            <w:r w:rsidR="00B00E31" w:rsidRPr="00B00E31">
              <w:t>9</w:t>
            </w:r>
          </w:p>
        </w:tc>
      </w:tr>
      <w:tr w:rsidR="00D45BB7" w:rsidRPr="00A64EA3" w14:paraId="0DBB411E" w14:textId="77777777" w:rsidTr="00EC7F5E">
        <w:trPr>
          <w:trHeight w:val="300"/>
        </w:trPr>
        <w:tc>
          <w:tcPr>
            <w:tcW w:w="4570" w:type="dxa"/>
            <w:noWrap/>
            <w:hideMark/>
          </w:tcPr>
          <w:p w14:paraId="0DBB411B" w14:textId="77777777" w:rsidR="00D45BB7" w:rsidRPr="00A64EA3" w:rsidRDefault="00D45BB7" w:rsidP="0013499D">
            <w:r w:rsidRPr="00A64EA3">
              <w:t>razmerje med krediti in bruto poslovnim presežkom</w:t>
            </w:r>
          </w:p>
        </w:tc>
        <w:tc>
          <w:tcPr>
            <w:tcW w:w="2359" w:type="dxa"/>
            <w:shd w:val="clear" w:color="auto" w:fill="auto"/>
            <w:noWrap/>
            <w:vAlign w:val="center"/>
            <w:hideMark/>
          </w:tcPr>
          <w:p w14:paraId="0DBB411C" w14:textId="576243F3" w:rsidR="00BA6BB5" w:rsidRPr="00522210" w:rsidRDefault="00D45BB7" w:rsidP="00522210">
            <w:pPr>
              <w:jc w:val="right"/>
            </w:pPr>
            <w:r w:rsidRPr="00522210">
              <w:t>4</w:t>
            </w:r>
            <w:r w:rsidR="00DB3135" w:rsidRPr="00522210">
              <w:t>,</w:t>
            </w:r>
            <w:r w:rsidR="00522210" w:rsidRPr="00522210">
              <w:t>1</w:t>
            </w:r>
          </w:p>
        </w:tc>
        <w:tc>
          <w:tcPr>
            <w:tcW w:w="2359" w:type="dxa"/>
            <w:shd w:val="clear" w:color="auto" w:fill="auto"/>
            <w:noWrap/>
            <w:vAlign w:val="center"/>
            <w:hideMark/>
          </w:tcPr>
          <w:p w14:paraId="0DBB411D" w14:textId="73EF728F" w:rsidR="00BA6BB5" w:rsidRPr="00B00E31" w:rsidRDefault="006779ED" w:rsidP="00742F35">
            <w:pPr>
              <w:jc w:val="right"/>
              <w:rPr>
                <w:highlight w:val="yellow"/>
              </w:rPr>
            </w:pPr>
            <w:r w:rsidRPr="00B00E31">
              <w:t>2</w:t>
            </w:r>
            <w:r w:rsidR="00DB3135" w:rsidRPr="00B00E31">
              <w:t>,</w:t>
            </w:r>
            <w:r w:rsidR="00742F35" w:rsidRPr="00B00E31">
              <w:t>3</w:t>
            </w:r>
          </w:p>
        </w:tc>
      </w:tr>
    </w:tbl>
    <w:p w14:paraId="0DBB411F" w14:textId="77777777" w:rsidR="0010236C" w:rsidRPr="00A64EA3" w:rsidRDefault="00E42EE5" w:rsidP="00D6655D">
      <w:pPr>
        <w:jc w:val="both"/>
        <w:rPr>
          <w:sz w:val="18"/>
          <w:szCs w:val="18"/>
        </w:rPr>
      </w:pPr>
      <w:r w:rsidRPr="00A64EA3">
        <w:rPr>
          <w:sz w:val="18"/>
          <w:szCs w:val="18"/>
        </w:rPr>
        <w:t xml:space="preserve"> </w:t>
      </w:r>
      <w:r w:rsidR="00D45BB7" w:rsidRPr="00A64EA3">
        <w:rPr>
          <w:sz w:val="18"/>
          <w:szCs w:val="18"/>
        </w:rPr>
        <w:t xml:space="preserve">Vir: </w:t>
      </w:r>
      <w:r w:rsidR="00DB3135" w:rsidRPr="00A64EA3">
        <w:rPr>
          <w:sz w:val="18"/>
          <w:szCs w:val="18"/>
        </w:rPr>
        <w:t xml:space="preserve">SURS </w:t>
      </w:r>
      <w:r w:rsidR="00D45BB7" w:rsidRPr="00A64EA3">
        <w:rPr>
          <w:sz w:val="18"/>
          <w:szCs w:val="18"/>
        </w:rPr>
        <w:t>in lastni preračuni.</w:t>
      </w:r>
    </w:p>
    <w:p w14:paraId="0DBB4120" w14:textId="3AC67129" w:rsidR="00A15957" w:rsidRPr="00B00E31" w:rsidRDefault="006008DB" w:rsidP="00174535">
      <w:pPr>
        <w:ind w:left="993" w:hanging="993"/>
        <w:jc w:val="both"/>
        <w:rPr>
          <w:sz w:val="18"/>
          <w:szCs w:val="18"/>
          <w:highlight w:val="yellow"/>
        </w:rPr>
      </w:pPr>
      <w:r>
        <w:rPr>
          <w:sz w:val="18"/>
          <w:szCs w:val="18"/>
        </w:rPr>
        <w:t xml:space="preserve"> Opombe:  </w:t>
      </w:r>
      <w:r w:rsidR="0010236C" w:rsidRPr="00A64EA3">
        <w:rPr>
          <w:sz w:val="18"/>
          <w:szCs w:val="18"/>
        </w:rPr>
        <w:t>*</w:t>
      </w:r>
      <w:r>
        <w:rPr>
          <w:sz w:val="18"/>
          <w:szCs w:val="18"/>
        </w:rPr>
        <w:t xml:space="preserve"> </w:t>
      </w:r>
      <w:r w:rsidR="00A15957" w:rsidRPr="007F1E60">
        <w:rPr>
          <w:sz w:val="18"/>
          <w:szCs w:val="18"/>
        </w:rPr>
        <w:t>Vrednost služi zgolj za orientacijo.</w:t>
      </w:r>
      <w:r w:rsidRPr="007F1E60">
        <w:rPr>
          <w:sz w:val="18"/>
          <w:szCs w:val="18"/>
        </w:rPr>
        <w:t xml:space="preserve"> </w:t>
      </w:r>
      <w:r w:rsidR="00174535" w:rsidRPr="007F1E60">
        <w:rPr>
          <w:sz w:val="18"/>
          <w:szCs w:val="18"/>
        </w:rPr>
        <w:t>Povprečna vrednost kazalnika letna stopnja rasti cen nepremičnin je zaradi razpoložljivosti podatkov izračunana za obdobje 2001Q1-2017Q</w:t>
      </w:r>
      <w:r w:rsidR="007F1E60" w:rsidRPr="007F1E60">
        <w:rPr>
          <w:sz w:val="18"/>
          <w:szCs w:val="18"/>
        </w:rPr>
        <w:t>3</w:t>
      </w:r>
      <w:r w:rsidR="00174535" w:rsidRPr="007F1E60">
        <w:rPr>
          <w:sz w:val="18"/>
          <w:szCs w:val="18"/>
        </w:rPr>
        <w:t>.</w:t>
      </w:r>
    </w:p>
    <w:p w14:paraId="0DBB4121" w14:textId="00A1F959" w:rsidR="007D1FCA" w:rsidRPr="002545E5" w:rsidRDefault="006008DB" w:rsidP="00174535">
      <w:pPr>
        <w:ind w:left="993" w:hanging="993"/>
        <w:jc w:val="both"/>
        <w:rPr>
          <w:sz w:val="18"/>
          <w:szCs w:val="18"/>
        </w:rPr>
      </w:pPr>
      <w:r w:rsidRPr="007F1E60">
        <w:rPr>
          <w:sz w:val="18"/>
          <w:szCs w:val="18"/>
        </w:rPr>
        <w:t xml:space="preserve">                </w:t>
      </w:r>
      <w:r w:rsidR="00A15957" w:rsidRPr="007F1E60">
        <w:rPr>
          <w:sz w:val="18"/>
          <w:szCs w:val="18"/>
        </w:rPr>
        <w:t>**</w:t>
      </w:r>
      <w:r w:rsidRPr="007F1E60">
        <w:rPr>
          <w:sz w:val="18"/>
          <w:szCs w:val="18"/>
        </w:rPr>
        <w:t xml:space="preserve"> </w:t>
      </w:r>
      <w:r w:rsidR="0010236C" w:rsidRPr="007F1E60">
        <w:rPr>
          <w:sz w:val="18"/>
          <w:szCs w:val="18"/>
        </w:rPr>
        <w:t>Uporabljena je zadnja razpoložljiva vrednost kazalnika</w:t>
      </w:r>
      <w:r w:rsidR="007D1FCA" w:rsidRPr="007F1E60">
        <w:rPr>
          <w:sz w:val="18"/>
          <w:szCs w:val="18"/>
        </w:rPr>
        <w:t xml:space="preserve">, </w:t>
      </w:r>
      <w:r w:rsidR="005D3568" w:rsidRPr="007F1E60">
        <w:rPr>
          <w:sz w:val="18"/>
          <w:szCs w:val="18"/>
        </w:rPr>
        <w:t>201</w:t>
      </w:r>
      <w:r w:rsidR="00AC62DA" w:rsidRPr="007F1E60">
        <w:rPr>
          <w:sz w:val="18"/>
          <w:szCs w:val="18"/>
        </w:rPr>
        <w:t>7</w:t>
      </w:r>
      <w:r w:rsidR="005D3568" w:rsidRPr="007F1E60">
        <w:rPr>
          <w:sz w:val="18"/>
          <w:szCs w:val="18"/>
        </w:rPr>
        <w:t>Q</w:t>
      </w:r>
      <w:r w:rsidR="00B00E31" w:rsidRPr="007F1E60">
        <w:rPr>
          <w:sz w:val="18"/>
          <w:szCs w:val="18"/>
        </w:rPr>
        <w:t>3</w:t>
      </w:r>
      <w:r w:rsidR="0052051A" w:rsidRPr="007F1E60">
        <w:rPr>
          <w:sz w:val="18"/>
          <w:szCs w:val="18"/>
        </w:rPr>
        <w:t xml:space="preserve">. </w:t>
      </w:r>
    </w:p>
    <w:p w14:paraId="0DBB4122" w14:textId="77777777" w:rsidR="00E42EE5" w:rsidRPr="00A15957" w:rsidRDefault="00E42EE5" w:rsidP="00D6655D">
      <w:pPr>
        <w:jc w:val="both"/>
        <w:rPr>
          <w:sz w:val="20"/>
          <w:szCs w:val="20"/>
        </w:rPr>
      </w:pPr>
    </w:p>
    <w:p w14:paraId="0DBB4123" w14:textId="5A9386B9" w:rsidR="00BA6BB5" w:rsidRDefault="00BA6BB5" w:rsidP="00D6655D">
      <w:pPr>
        <w:jc w:val="both"/>
      </w:pPr>
    </w:p>
    <w:p w14:paraId="68A455A6" w14:textId="6C120898" w:rsidR="006008DB" w:rsidRDefault="006008DB" w:rsidP="00D6655D">
      <w:pPr>
        <w:jc w:val="both"/>
      </w:pPr>
    </w:p>
    <w:p w14:paraId="0DBB4124" w14:textId="77777777" w:rsidR="003F4251" w:rsidRDefault="003F4251" w:rsidP="003F4251">
      <w:pPr>
        <w:jc w:val="both"/>
      </w:pPr>
      <w:r w:rsidRPr="00A64EA3">
        <w:t xml:space="preserve">Na podlagi kazalnikov neravnovesij v bančnem sitemu, ki izvirajo iz prekomernega kreditiranja gospodarstva, in ekspertne presoje ocenjujemo, da se danes v bančnem sistemu ne pojavljajo tveganja, </w:t>
      </w:r>
      <w:r w:rsidRPr="00A64EA3">
        <w:lastRenderedPageBreak/>
        <w:t>ki izhajajo iz prekomernega kreditiranja, zato se določi stopnja blažilnika 0 % zneska skupne izpostavljenosti tveganjem.</w:t>
      </w:r>
    </w:p>
    <w:p w14:paraId="0DBB4125" w14:textId="77777777" w:rsidR="003F4251" w:rsidRPr="00A64EA3" w:rsidRDefault="003F4251" w:rsidP="003F4251">
      <w:pPr>
        <w:jc w:val="both"/>
      </w:pPr>
    </w:p>
    <w:p w14:paraId="0DBB4126" w14:textId="77777777" w:rsidR="00F9323C" w:rsidRPr="00CA54B9" w:rsidRDefault="00F9323C" w:rsidP="00F9323C">
      <w:pPr>
        <w:jc w:val="both"/>
      </w:pPr>
      <w:r w:rsidRPr="00B260F1">
        <w:t xml:space="preserve">Popolna sprostitev blažilnika (iz stopnje 2,5 % na stopnjo 0,0 %) je predvidena </w:t>
      </w:r>
      <w:r w:rsidR="00CD117B" w:rsidRPr="00B260F1">
        <w:t xml:space="preserve">ob </w:t>
      </w:r>
      <w:r w:rsidR="00CD117B">
        <w:t>obratu cikla - ob</w:t>
      </w:r>
      <w:r w:rsidRPr="00B260F1">
        <w:t xml:space="preserve"> </w:t>
      </w:r>
      <w:r w:rsidR="002A225C">
        <w:t>pojavu</w:t>
      </w:r>
      <w:r w:rsidRPr="00B260F1">
        <w:t xml:space="preserve"> močnih neravnovesij, ki bi lahko ogrozila delovanje bančnega sistema. Za sprostitev se uporabi kazalnike, ki hitro reagirajo na finančni stres. Sprostitev blažilnika je podvržena višji stopnji negotovosti in zahteva zelo visoko stopnjo diskrecijske presoje.</w:t>
      </w:r>
      <w:r w:rsidRPr="00CA54B9">
        <w:t xml:space="preserve">     </w:t>
      </w:r>
    </w:p>
    <w:p w14:paraId="0DBB4127" w14:textId="77777777" w:rsidR="00F9323C" w:rsidRDefault="00F9323C" w:rsidP="00D6655D">
      <w:pPr>
        <w:jc w:val="both"/>
      </w:pPr>
    </w:p>
    <w:p w14:paraId="0DBB4128" w14:textId="77777777" w:rsidR="00F9323C" w:rsidRDefault="00F9323C" w:rsidP="00F9323C">
      <w:pPr>
        <w:jc w:val="both"/>
      </w:pPr>
      <w:r>
        <w:t xml:space="preserve">Banka izračuna sebi lasten </w:t>
      </w:r>
      <w:proofErr w:type="spellStart"/>
      <w:r w:rsidR="0013499D">
        <w:t>proticiklični</w:t>
      </w:r>
      <w:proofErr w:type="spellEnd"/>
      <w:r w:rsidR="0013499D">
        <w:t xml:space="preserve"> </w:t>
      </w:r>
      <w:r>
        <w:t xml:space="preserve">blažilnik kot </w:t>
      </w:r>
      <w:r w:rsidRPr="00F9323C">
        <w:t>tehtan</w:t>
      </w:r>
      <w:r>
        <w:t>o</w:t>
      </w:r>
      <w:r w:rsidRPr="00F9323C">
        <w:t xml:space="preserve"> povprečj</w:t>
      </w:r>
      <w:r>
        <w:t>e</w:t>
      </w:r>
      <w:r w:rsidRPr="00F9323C">
        <w:t xml:space="preserve"> </w:t>
      </w:r>
      <w:r w:rsidR="0013499D">
        <w:t xml:space="preserve">veljavnih </w:t>
      </w:r>
      <w:r w:rsidRPr="00F9323C">
        <w:t>stopenj blažilnika, ki se uporabljajo v državah, v katerih so kreditne izpostavljenosti te banke.</w:t>
      </w:r>
    </w:p>
    <w:p w14:paraId="0DBB412B" w14:textId="1AA49181" w:rsidR="001522D1" w:rsidRDefault="001522D1" w:rsidP="00D6655D">
      <w:pPr>
        <w:jc w:val="both"/>
      </w:pPr>
    </w:p>
    <w:p w14:paraId="000263B9" w14:textId="58B1B300" w:rsidR="001B6F2B" w:rsidRPr="001B6F2B" w:rsidRDefault="001B6F2B" w:rsidP="001B6F2B">
      <w:pPr>
        <w:jc w:val="both"/>
      </w:pPr>
      <w:r w:rsidRPr="001B6F2B">
        <w:rPr>
          <w:rStyle w:val="Krepko"/>
          <w:color w:val="000000"/>
        </w:rPr>
        <w:t>Za izpostavljenosti v Republiki Sloveniji se uporabi stopnja blažilnika 0%.</w:t>
      </w:r>
      <w:r w:rsidRPr="001B6F2B">
        <w:rPr>
          <w:color w:val="000000"/>
        </w:rPr>
        <w:t xml:space="preserve"> Za izpostavljenosti do drugih držav EGP se uporabijo stopnje blažilnika kot so navedene </w:t>
      </w:r>
      <w:hyperlink r:id="rId12" w:tgtFrame="_blank" w:history="1">
        <w:r w:rsidRPr="001B6F2B">
          <w:rPr>
            <w:rStyle w:val="Hiperpovezava"/>
          </w:rPr>
          <w:t>spletni strani ESRB</w:t>
        </w:r>
      </w:hyperlink>
      <w:r w:rsidRPr="001B6F2B">
        <w:rPr>
          <w:color w:val="000000"/>
        </w:rPr>
        <w:t xml:space="preserve">. Za kreditne izpostavljenosti v državah, ki niso navedene na spletni strani ESRB, se uporabi stopnja blažilnika, navedena na </w:t>
      </w:r>
      <w:hyperlink r:id="rId13" w:history="1">
        <w:r w:rsidRPr="001B6F2B">
          <w:rPr>
            <w:rStyle w:val="Hiperpovezava"/>
          </w:rPr>
          <w:t>spletni strani BIS</w:t>
        </w:r>
      </w:hyperlink>
      <w:r w:rsidRPr="001B6F2B">
        <w:rPr>
          <w:color w:val="000000"/>
        </w:rPr>
        <w:t>, za preostale države pa stopnja blažilnika 0%.</w:t>
      </w:r>
    </w:p>
    <w:p w14:paraId="366EC1C7" w14:textId="59771D04" w:rsidR="001B6F2B" w:rsidRPr="001B6F2B" w:rsidRDefault="001B6F2B" w:rsidP="001B6F2B">
      <w:pPr>
        <w:jc w:val="both"/>
      </w:pPr>
    </w:p>
    <w:sectPr w:rsidR="001B6F2B" w:rsidRPr="001B6F2B" w:rsidSect="00953274">
      <w:headerReference w:type="default" r:id="rId14"/>
      <w:pgSz w:w="11906" w:h="16838"/>
      <w:pgMar w:top="1134"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71207" w14:textId="77777777" w:rsidR="00501E87" w:rsidRDefault="00501E87" w:rsidP="008142B0">
      <w:r>
        <w:separator/>
      </w:r>
    </w:p>
  </w:endnote>
  <w:endnote w:type="continuationSeparator" w:id="0">
    <w:p w14:paraId="14BD1643" w14:textId="77777777" w:rsidR="00501E87" w:rsidRDefault="00501E87" w:rsidP="008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DCF8F" w14:textId="77777777" w:rsidR="00501E87" w:rsidRDefault="00501E87" w:rsidP="008142B0">
      <w:r>
        <w:separator/>
      </w:r>
    </w:p>
  </w:footnote>
  <w:footnote w:type="continuationSeparator" w:id="0">
    <w:p w14:paraId="04757FEF" w14:textId="77777777" w:rsidR="00501E87" w:rsidRDefault="00501E87" w:rsidP="008142B0">
      <w:r>
        <w:continuationSeparator/>
      </w:r>
    </w:p>
  </w:footnote>
  <w:footnote w:id="1">
    <w:p w14:paraId="0DBB4133" w14:textId="77777777" w:rsidR="00A0014A" w:rsidRDefault="00A0014A" w:rsidP="00F0360B">
      <w:pPr>
        <w:pStyle w:val="Sprotnaopomba-besedilo"/>
        <w:ind w:left="284" w:hanging="284"/>
        <w:jc w:val="both"/>
      </w:pPr>
      <w:r>
        <w:rPr>
          <w:rStyle w:val="Sprotnaopomba-sklic"/>
        </w:rPr>
        <w:footnoteRef/>
      </w:r>
      <w:r>
        <w:t xml:space="preserve"> Basel </w:t>
      </w:r>
      <w:proofErr w:type="spellStart"/>
      <w:r>
        <w:t>Committe</w:t>
      </w:r>
      <w:proofErr w:type="spellEnd"/>
      <w:r>
        <w:t xml:space="preserve"> on </w:t>
      </w:r>
      <w:proofErr w:type="spellStart"/>
      <w:r>
        <w:t>Banking</w:t>
      </w:r>
      <w:proofErr w:type="spellEnd"/>
      <w:r>
        <w:t xml:space="preserve"> </w:t>
      </w:r>
      <w:proofErr w:type="spellStart"/>
      <w:r>
        <w:t>Supervision</w:t>
      </w:r>
      <w:proofErr w:type="spellEnd"/>
      <w:r>
        <w:t xml:space="preserve"> (2010). </w:t>
      </w:r>
      <w:proofErr w:type="spellStart"/>
      <w:r>
        <w:t>Guidance</w:t>
      </w:r>
      <w:proofErr w:type="spellEnd"/>
      <w:r>
        <w:t xml:space="preserve"> </w:t>
      </w:r>
      <w:proofErr w:type="spellStart"/>
      <w:r>
        <w:t>for</w:t>
      </w:r>
      <w:proofErr w:type="spellEnd"/>
      <w:r>
        <w:t xml:space="preserve"> </w:t>
      </w:r>
      <w:proofErr w:type="spellStart"/>
      <w:r>
        <w:t>national</w:t>
      </w:r>
      <w:proofErr w:type="spellEnd"/>
      <w:r>
        <w:t xml:space="preserve"> </w:t>
      </w:r>
      <w:proofErr w:type="spellStart"/>
      <w:r>
        <w:t>authorities</w:t>
      </w:r>
      <w:proofErr w:type="spellEnd"/>
      <w:r>
        <w:t xml:space="preserve"> </w:t>
      </w:r>
      <w:proofErr w:type="spellStart"/>
      <w:r>
        <w:t>operating</w:t>
      </w:r>
      <w:proofErr w:type="spellEnd"/>
      <w:r>
        <w:t xml:space="preserve"> </w:t>
      </w:r>
      <w:proofErr w:type="spellStart"/>
      <w:r>
        <w:t>the</w:t>
      </w:r>
      <w:proofErr w:type="spellEnd"/>
      <w:r>
        <w:t xml:space="preserve"> </w:t>
      </w:r>
      <w:proofErr w:type="spellStart"/>
      <w:r>
        <w:t>countercyclical</w:t>
      </w:r>
      <w:proofErr w:type="spellEnd"/>
      <w:r>
        <w:t xml:space="preserve"> </w:t>
      </w:r>
      <w:proofErr w:type="spellStart"/>
      <w:r>
        <w:t>capital</w:t>
      </w:r>
      <w:proofErr w:type="spellEnd"/>
      <w:r>
        <w:t xml:space="preserve"> </w:t>
      </w:r>
      <w:proofErr w:type="spellStart"/>
      <w:r>
        <w:t>buffer</w:t>
      </w:r>
      <w:proofErr w:type="spellEnd"/>
      <w:r>
        <w:t xml:space="preserve">. </w:t>
      </w:r>
    </w:p>
  </w:footnote>
  <w:footnote w:id="2">
    <w:p w14:paraId="0DBB4134" w14:textId="77777777" w:rsidR="00A0014A" w:rsidRDefault="00A0014A" w:rsidP="00F0360B">
      <w:pPr>
        <w:pStyle w:val="Sprotnaopomba-besedilo"/>
        <w:ind w:left="284" w:hanging="284"/>
        <w:jc w:val="both"/>
      </w:pPr>
      <w:r>
        <w:rPr>
          <w:rStyle w:val="Sprotnaopomba-sklic"/>
        </w:rPr>
        <w:footnoteRef/>
      </w:r>
      <w:r>
        <w:t xml:space="preserve"> ESRB (2014). </w:t>
      </w:r>
      <w:proofErr w:type="spellStart"/>
      <w:r>
        <w:t>Operationalising</w:t>
      </w:r>
      <w:proofErr w:type="spellEnd"/>
      <w:r>
        <w:t xml:space="preserve"> </w:t>
      </w:r>
      <w:proofErr w:type="spellStart"/>
      <w:r>
        <w:t>the</w:t>
      </w:r>
      <w:proofErr w:type="spellEnd"/>
      <w:r>
        <w:t xml:space="preserve"> </w:t>
      </w:r>
      <w:proofErr w:type="spellStart"/>
      <w:r>
        <w:t>countercyclical</w:t>
      </w:r>
      <w:proofErr w:type="spellEnd"/>
      <w:r>
        <w:t xml:space="preserve"> </w:t>
      </w:r>
      <w:proofErr w:type="spellStart"/>
      <w:r>
        <w:t>capital</w:t>
      </w:r>
      <w:proofErr w:type="spellEnd"/>
      <w:r>
        <w:t xml:space="preserve"> </w:t>
      </w:r>
      <w:proofErr w:type="spellStart"/>
      <w:r>
        <w:t>buffer</w:t>
      </w:r>
      <w:proofErr w:type="spellEnd"/>
      <w:r>
        <w:t xml:space="preserve">: </w:t>
      </w:r>
      <w:proofErr w:type="spellStart"/>
      <w:r>
        <w:t>indicator</w:t>
      </w:r>
      <w:proofErr w:type="spellEnd"/>
      <w:r>
        <w:t xml:space="preserve"> </w:t>
      </w:r>
      <w:proofErr w:type="spellStart"/>
      <w:r>
        <w:t>selection</w:t>
      </w:r>
      <w:proofErr w:type="spellEnd"/>
      <w:r>
        <w:t xml:space="preserve">, </w:t>
      </w:r>
      <w:proofErr w:type="spellStart"/>
      <w:r>
        <w:t>threshold</w:t>
      </w:r>
      <w:proofErr w:type="spellEnd"/>
      <w:r>
        <w:t xml:space="preserve"> </w:t>
      </w:r>
      <w:proofErr w:type="spellStart"/>
      <w:r>
        <w:t>indentification</w:t>
      </w:r>
      <w:proofErr w:type="spellEnd"/>
      <w:r>
        <w:t xml:space="preserve"> </w:t>
      </w:r>
      <w:proofErr w:type="spellStart"/>
      <w:r>
        <w:t>and</w:t>
      </w:r>
      <w:proofErr w:type="spellEnd"/>
      <w:r>
        <w:t xml:space="preserve"> </w:t>
      </w:r>
      <w:proofErr w:type="spellStart"/>
      <w:r>
        <w:t>calibration</w:t>
      </w:r>
      <w:proofErr w:type="spellEnd"/>
      <w:r>
        <w:t xml:space="preserve"> </w:t>
      </w:r>
      <w:proofErr w:type="spellStart"/>
      <w:r>
        <w:t>options</w:t>
      </w:r>
      <w:proofErr w:type="spellEnd"/>
      <w:r>
        <w:t>.</w:t>
      </w:r>
    </w:p>
  </w:footnote>
  <w:footnote w:id="3">
    <w:p w14:paraId="0DBB4135" w14:textId="55BCDB00" w:rsidR="00A0014A" w:rsidRDefault="00A0014A" w:rsidP="00F0360B">
      <w:pPr>
        <w:pStyle w:val="Sprotnaopomba-besedilo"/>
        <w:ind w:left="284" w:hanging="284"/>
        <w:jc w:val="both"/>
      </w:pPr>
      <w:r>
        <w:rPr>
          <w:rStyle w:val="Sprotnaopomba-sklic"/>
        </w:rPr>
        <w:footnoteRef/>
      </w:r>
      <w:r>
        <w:t xml:space="preserve"> S statično analizo ocenimo kakšna bi bila dinamika blažilnika v času kopičenja neravnovesij v bančnem in širšem sitemu na zgodovinskih podatkih (c</w:t>
      </w:r>
      <w:r w:rsidR="006833C8">
        <w:t>c</w:t>
      </w:r>
      <w:r>
        <w:t xml:space="preserve">a. 2004-2008). Tovrstna analiza zanemari dejstvo, da bi se obnašanje bank najverjetneje spremenilo v kolikor bi bil v tem času blažilnik aktiven.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4132" w14:textId="77777777" w:rsidR="00A0014A" w:rsidRDefault="00A0014A" w:rsidP="008142B0">
    <w:pPr>
      <w:pStyle w:val="Glava"/>
      <w:tabs>
        <w:tab w:val="left" w:pos="350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35312"/>
    <w:multiLevelType w:val="hybridMultilevel"/>
    <w:tmpl w:val="E0C2FB3A"/>
    <w:lvl w:ilvl="0" w:tplc="FBCEC56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5191489"/>
    <w:multiLevelType w:val="hybridMultilevel"/>
    <w:tmpl w:val="F63E5D46"/>
    <w:lvl w:ilvl="0" w:tplc="6C1007F0">
      <w:start w:val="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5915"/>
    <w:rsid w:val="00000A7C"/>
    <w:rsid w:val="000028D5"/>
    <w:rsid w:val="00012510"/>
    <w:rsid w:val="00015795"/>
    <w:rsid w:val="00040600"/>
    <w:rsid w:val="000446D6"/>
    <w:rsid w:val="00045D41"/>
    <w:rsid w:val="00076251"/>
    <w:rsid w:val="00084BF9"/>
    <w:rsid w:val="00094323"/>
    <w:rsid w:val="000A67DA"/>
    <w:rsid w:val="000B1D40"/>
    <w:rsid w:val="000B498D"/>
    <w:rsid w:val="000C5A54"/>
    <w:rsid w:val="000D503B"/>
    <w:rsid w:val="000D6CA2"/>
    <w:rsid w:val="00102202"/>
    <w:rsid w:val="0010236C"/>
    <w:rsid w:val="001135F3"/>
    <w:rsid w:val="00115648"/>
    <w:rsid w:val="00126019"/>
    <w:rsid w:val="0013499D"/>
    <w:rsid w:val="00136329"/>
    <w:rsid w:val="001522D1"/>
    <w:rsid w:val="0015302F"/>
    <w:rsid w:val="001562E9"/>
    <w:rsid w:val="00174535"/>
    <w:rsid w:val="00180042"/>
    <w:rsid w:val="00181FFE"/>
    <w:rsid w:val="0018589C"/>
    <w:rsid w:val="001A1A27"/>
    <w:rsid w:val="001A3A71"/>
    <w:rsid w:val="001A4B66"/>
    <w:rsid w:val="001A61EA"/>
    <w:rsid w:val="001B6F2B"/>
    <w:rsid w:val="001C3F88"/>
    <w:rsid w:val="001D1F6F"/>
    <w:rsid w:val="001D72AD"/>
    <w:rsid w:val="001F243F"/>
    <w:rsid w:val="001F418E"/>
    <w:rsid w:val="001F4B6A"/>
    <w:rsid w:val="0020661F"/>
    <w:rsid w:val="00216972"/>
    <w:rsid w:val="00227823"/>
    <w:rsid w:val="002545E5"/>
    <w:rsid w:val="00266A43"/>
    <w:rsid w:val="00270078"/>
    <w:rsid w:val="002871E1"/>
    <w:rsid w:val="002A225C"/>
    <w:rsid w:val="002A2545"/>
    <w:rsid w:val="002A3E6C"/>
    <w:rsid w:val="002A5A60"/>
    <w:rsid w:val="002D6E4D"/>
    <w:rsid w:val="002E3CC3"/>
    <w:rsid w:val="002E406D"/>
    <w:rsid w:val="002E6087"/>
    <w:rsid w:val="002E7F99"/>
    <w:rsid w:val="00301D4F"/>
    <w:rsid w:val="003215C0"/>
    <w:rsid w:val="0032438D"/>
    <w:rsid w:val="00333B53"/>
    <w:rsid w:val="00345CC7"/>
    <w:rsid w:val="00347CD8"/>
    <w:rsid w:val="0035371C"/>
    <w:rsid w:val="0036752A"/>
    <w:rsid w:val="00381B48"/>
    <w:rsid w:val="00385E38"/>
    <w:rsid w:val="003A1EA2"/>
    <w:rsid w:val="003B334E"/>
    <w:rsid w:val="003B525E"/>
    <w:rsid w:val="003C76BA"/>
    <w:rsid w:val="003C7DB2"/>
    <w:rsid w:val="003D41C5"/>
    <w:rsid w:val="003E7376"/>
    <w:rsid w:val="003F1A8C"/>
    <w:rsid w:val="003F3E92"/>
    <w:rsid w:val="003F4251"/>
    <w:rsid w:val="004007A2"/>
    <w:rsid w:val="004028DE"/>
    <w:rsid w:val="00412FAC"/>
    <w:rsid w:val="004147F9"/>
    <w:rsid w:val="00417EE5"/>
    <w:rsid w:val="00425187"/>
    <w:rsid w:val="0042675D"/>
    <w:rsid w:val="0043421B"/>
    <w:rsid w:val="00440960"/>
    <w:rsid w:val="00441951"/>
    <w:rsid w:val="004611ED"/>
    <w:rsid w:val="00462993"/>
    <w:rsid w:val="00474227"/>
    <w:rsid w:val="00483544"/>
    <w:rsid w:val="004A009D"/>
    <w:rsid w:val="004B5E1F"/>
    <w:rsid w:val="004B730D"/>
    <w:rsid w:val="004C2C87"/>
    <w:rsid w:val="004E427A"/>
    <w:rsid w:val="00501E87"/>
    <w:rsid w:val="00506858"/>
    <w:rsid w:val="00510C97"/>
    <w:rsid w:val="0051438C"/>
    <w:rsid w:val="00515B96"/>
    <w:rsid w:val="0052051A"/>
    <w:rsid w:val="00522210"/>
    <w:rsid w:val="005232D7"/>
    <w:rsid w:val="00531502"/>
    <w:rsid w:val="00542789"/>
    <w:rsid w:val="005446D0"/>
    <w:rsid w:val="00560301"/>
    <w:rsid w:val="00561A3D"/>
    <w:rsid w:val="00571CF3"/>
    <w:rsid w:val="00571E9F"/>
    <w:rsid w:val="00572706"/>
    <w:rsid w:val="00574ADC"/>
    <w:rsid w:val="00581E69"/>
    <w:rsid w:val="00582525"/>
    <w:rsid w:val="00592A23"/>
    <w:rsid w:val="00596341"/>
    <w:rsid w:val="00597E8C"/>
    <w:rsid w:val="005B10AA"/>
    <w:rsid w:val="005B5915"/>
    <w:rsid w:val="005C5A4F"/>
    <w:rsid w:val="005C61BA"/>
    <w:rsid w:val="005D192B"/>
    <w:rsid w:val="005D3568"/>
    <w:rsid w:val="005D7D3D"/>
    <w:rsid w:val="005E005B"/>
    <w:rsid w:val="005E53A1"/>
    <w:rsid w:val="006008DB"/>
    <w:rsid w:val="006046F8"/>
    <w:rsid w:val="00612B3A"/>
    <w:rsid w:val="006205BC"/>
    <w:rsid w:val="0063409C"/>
    <w:rsid w:val="00634CAF"/>
    <w:rsid w:val="00654ADF"/>
    <w:rsid w:val="00663469"/>
    <w:rsid w:val="006637D7"/>
    <w:rsid w:val="006730AC"/>
    <w:rsid w:val="006731E8"/>
    <w:rsid w:val="0067721C"/>
    <w:rsid w:val="006779ED"/>
    <w:rsid w:val="0068176D"/>
    <w:rsid w:val="006833C8"/>
    <w:rsid w:val="00684D71"/>
    <w:rsid w:val="00687049"/>
    <w:rsid w:val="006969A3"/>
    <w:rsid w:val="006A448E"/>
    <w:rsid w:val="006B1C8B"/>
    <w:rsid w:val="006C7411"/>
    <w:rsid w:val="006D5375"/>
    <w:rsid w:val="006E4185"/>
    <w:rsid w:val="006E480E"/>
    <w:rsid w:val="006F2600"/>
    <w:rsid w:val="007000BC"/>
    <w:rsid w:val="00707F13"/>
    <w:rsid w:val="0071100D"/>
    <w:rsid w:val="007153D4"/>
    <w:rsid w:val="00716C3C"/>
    <w:rsid w:val="007172D2"/>
    <w:rsid w:val="00741530"/>
    <w:rsid w:val="00742F35"/>
    <w:rsid w:val="00754A50"/>
    <w:rsid w:val="00762C50"/>
    <w:rsid w:val="00770DA4"/>
    <w:rsid w:val="00771A0B"/>
    <w:rsid w:val="007855A9"/>
    <w:rsid w:val="00792775"/>
    <w:rsid w:val="007A178A"/>
    <w:rsid w:val="007C62F2"/>
    <w:rsid w:val="007D1FCA"/>
    <w:rsid w:val="007D4919"/>
    <w:rsid w:val="007E74B4"/>
    <w:rsid w:val="007F131B"/>
    <w:rsid w:val="007F1E60"/>
    <w:rsid w:val="007F6E51"/>
    <w:rsid w:val="00810754"/>
    <w:rsid w:val="008142B0"/>
    <w:rsid w:val="00815CCD"/>
    <w:rsid w:val="00821B49"/>
    <w:rsid w:val="00830FF1"/>
    <w:rsid w:val="008535BD"/>
    <w:rsid w:val="0085611B"/>
    <w:rsid w:val="008618CC"/>
    <w:rsid w:val="00863AC5"/>
    <w:rsid w:val="008647AC"/>
    <w:rsid w:val="00864819"/>
    <w:rsid w:val="00874030"/>
    <w:rsid w:val="008B0B8E"/>
    <w:rsid w:val="008B3D44"/>
    <w:rsid w:val="008C0299"/>
    <w:rsid w:val="008D1F4A"/>
    <w:rsid w:val="008D2DD5"/>
    <w:rsid w:val="008E251D"/>
    <w:rsid w:val="008E623C"/>
    <w:rsid w:val="008E77F1"/>
    <w:rsid w:val="009166F0"/>
    <w:rsid w:val="009201B1"/>
    <w:rsid w:val="00930371"/>
    <w:rsid w:val="00931815"/>
    <w:rsid w:val="00936792"/>
    <w:rsid w:val="00942234"/>
    <w:rsid w:val="00953274"/>
    <w:rsid w:val="00965205"/>
    <w:rsid w:val="009703F5"/>
    <w:rsid w:val="00972A70"/>
    <w:rsid w:val="00973656"/>
    <w:rsid w:val="009802FE"/>
    <w:rsid w:val="00982A4F"/>
    <w:rsid w:val="0098387C"/>
    <w:rsid w:val="00984EEF"/>
    <w:rsid w:val="009857F5"/>
    <w:rsid w:val="009A0F33"/>
    <w:rsid w:val="009A20B9"/>
    <w:rsid w:val="009B41EC"/>
    <w:rsid w:val="009C28E3"/>
    <w:rsid w:val="009C50B3"/>
    <w:rsid w:val="009C5B50"/>
    <w:rsid w:val="009D1FFD"/>
    <w:rsid w:val="009D544D"/>
    <w:rsid w:val="009E6575"/>
    <w:rsid w:val="00A0014A"/>
    <w:rsid w:val="00A14178"/>
    <w:rsid w:val="00A15957"/>
    <w:rsid w:val="00A3292D"/>
    <w:rsid w:val="00A33A82"/>
    <w:rsid w:val="00A374DB"/>
    <w:rsid w:val="00A44521"/>
    <w:rsid w:val="00A478F1"/>
    <w:rsid w:val="00A60483"/>
    <w:rsid w:val="00A64EA3"/>
    <w:rsid w:val="00A65AAD"/>
    <w:rsid w:val="00A73831"/>
    <w:rsid w:val="00A8732A"/>
    <w:rsid w:val="00A900A3"/>
    <w:rsid w:val="00A94889"/>
    <w:rsid w:val="00AC62DA"/>
    <w:rsid w:val="00AE3AE8"/>
    <w:rsid w:val="00B00E31"/>
    <w:rsid w:val="00B12975"/>
    <w:rsid w:val="00B14B3E"/>
    <w:rsid w:val="00B260F1"/>
    <w:rsid w:val="00B3230B"/>
    <w:rsid w:val="00B33EF0"/>
    <w:rsid w:val="00B34901"/>
    <w:rsid w:val="00B35097"/>
    <w:rsid w:val="00B42D37"/>
    <w:rsid w:val="00B45FAB"/>
    <w:rsid w:val="00B467DB"/>
    <w:rsid w:val="00B469B8"/>
    <w:rsid w:val="00B53A63"/>
    <w:rsid w:val="00B600EC"/>
    <w:rsid w:val="00B6542C"/>
    <w:rsid w:val="00B81B86"/>
    <w:rsid w:val="00B87EEE"/>
    <w:rsid w:val="00B9059F"/>
    <w:rsid w:val="00B94A4E"/>
    <w:rsid w:val="00B973A2"/>
    <w:rsid w:val="00BA2718"/>
    <w:rsid w:val="00BA3D2B"/>
    <w:rsid w:val="00BA6BB5"/>
    <w:rsid w:val="00BC11A4"/>
    <w:rsid w:val="00BC163E"/>
    <w:rsid w:val="00BC49FA"/>
    <w:rsid w:val="00C242C8"/>
    <w:rsid w:val="00C30DD5"/>
    <w:rsid w:val="00C47A24"/>
    <w:rsid w:val="00C52D29"/>
    <w:rsid w:val="00C87591"/>
    <w:rsid w:val="00C958BD"/>
    <w:rsid w:val="00C972D4"/>
    <w:rsid w:val="00CA54B9"/>
    <w:rsid w:val="00CA7CA8"/>
    <w:rsid w:val="00CC0462"/>
    <w:rsid w:val="00CC0695"/>
    <w:rsid w:val="00CC63C6"/>
    <w:rsid w:val="00CD117B"/>
    <w:rsid w:val="00CD3D7E"/>
    <w:rsid w:val="00CE4A17"/>
    <w:rsid w:val="00D22879"/>
    <w:rsid w:val="00D351F3"/>
    <w:rsid w:val="00D35D30"/>
    <w:rsid w:val="00D41FFC"/>
    <w:rsid w:val="00D45BB7"/>
    <w:rsid w:val="00D5667B"/>
    <w:rsid w:val="00D662E8"/>
    <w:rsid w:val="00D6655D"/>
    <w:rsid w:val="00D75FBE"/>
    <w:rsid w:val="00D903F0"/>
    <w:rsid w:val="00DA0F6C"/>
    <w:rsid w:val="00DB10DC"/>
    <w:rsid w:val="00DB3135"/>
    <w:rsid w:val="00DB6E12"/>
    <w:rsid w:val="00DD0487"/>
    <w:rsid w:val="00DD1B0A"/>
    <w:rsid w:val="00DE3271"/>
    <w:rsid w:val="00DF4A7E"/>
    <w:rsid w:val="00E04721"/>
    <w:rsid w:val="00E04FF6"/>
    <w:rsid w:val="00E07BFD"/>
    <w:rsid w:val="00E2359E"/>
    <w:rsid w:val="00E24120"/>
    <w:rsid w:val="00E242C3"/>
    <w:rsid w:val="00E40B92"/>
    <w:rsid w:val="00E42EE5"/>
    <w:rsid w:val="00E5006F"/>
    <w:rsid w:val="00E70B2E"/>
    <w:rsid w:val="00E84137"/>
    <w:rsid w:val="00E944D0"/>
    <w:rsid w:val="00E95590"/>
    <w:rsid w:val="00EA40B2"/>
    <w:rsid w:val="00EA40B3"/>
    <w:rsid w:val="00EB187F"/>
    <w:rsid w:val="00EB27AC"/>
    <w:rsid w:val="00EB3CF2"/>
    <w:rsid w:val="00EC2660"/>
    <w:rsid w:val="00EC49BB"/>
    <w:rsid w:val="00EC4EB4"/>
    <w:rsid w:val="00EC513F"/>
    <w:rsid w:val="00EC7F5E"/>
    <w:rsid w:val="00ED55D9"/>
    <w:rsid w:val="00EE4673"/>
    <w:rsid w:val="00EE748C"/>
    <w:rsid w:val="00EF1619"/>
    <w:rsid w:val="00EF1D98"/>
    <w:rsid w:val="00EF6575"/>
    <w:rsid w:val="00F0360B"/>
    <w:rsid w:val="00F1558D"/>
    <w:rsid w:val="00F20D50"/>
    <w:rsid w:val="00F3466C"/>
    <w:rsid w:val="00F34B23"/>
    <w:rsid w:val="00F34B8B"/>
    <w:rsid w:val="00F451FB"/>
    <w:rsid w:val="00F517EA"/>
    <w:rsid w:val="00F60D0C"/>
    <w:rsid w:val="00F70669"/>
    <w:rsid w:val="00F70D3B"/>
    <w:rsid w:val="00F73D99"/>
    <w:rsid w:val="00F80E78"/>
    <w:rsid w:val="00F9323C"/>
    <w:rsid w:val="00F94E54"/>
    <w:rsid w:val="00FA670F"/>
    <w:rsid w:val="00FB0259"/>
    <w:rsid w:val="00FD276E"/>
    <w:rsid w:val="00FE346E"/>
    <w:rsid w:val="00FF1B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40DA"/>
  <w15:docId w15:val="{752D87EE-22F8-446F-9A05-D017D37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customStyle="1" w:styleId="Default">
    <w:name w:val="Default"/>
    <w:rsid w:val="005B5915"/>
    <w:pPr>
      <w:autoSpaceDE w:val="0"/>
      <w:autoSpaceDN w:val="0"/>
      <w:adjustRightInd w:val="0"/>
      <w:spacing w:after="0" w:line="240" w:lineRule="auto"/>
    </w:pPr>
    <w:rPr>
      <w:rFonts w:ascii="Calibri" w:hAnsi="Calibri" w:cs="Calibri"/>
      <w:color w:val="000000"/>
      <w:sz w:val="24"/>
      <w:szCs w:val="24"/>
    </w:rPr>
  </w:style>
  <w:style w:type="paragraph" w:styleId="Napis">
    <w:name w:val="caption"/>
    <w:basedOn w:val="Navaden"/>
    <w:next w:val="Navaden"/>
    <w:uiPriority w:val="35"/>
    <w:unhideWhenUsed/>
    <w:qFormat/>
    <w:rsid w:val="00B35097"/>
    <w:pPr>
      <w:spacing w:after="200"/>
    </w:pPr>
    <w:rPr>
      <w:b/>
      <w:bCs/>
      <w:color w:val="4F81BD" w:themeColor="accent1"/>
      <w:sz w:val="18"/>
      <w:szCs w:val="18"/>
    </w:rPr>
  </w:style>
  <w:style w:type="table" w:styleId="Tabelamrea">
    <w:name w:val="Table Grid"/>
    <w:basedOn w:val="Navadnatabela"/>
    <w:uiPriority w:val="59"/>
    <w:rsid w:val="00F7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semiHidden/>
    <w:unhideWhenUsed/>
    <w:rsid w:val="008142B0"/>
    <w:pPr>
      <w:tabs>
        <w:tab w:val="center" w:pos="4536"/>
        <w:tab w:val="right" w:pos="9072"/>
      </w:tabs>
    </w:pPr>
  </w:style>
  <w:style w:type="character" w:customStyle="1" w:styleId="GlavaZnak">
    <w:name w:val="Glava Znak"/>
    <w:basedOn w:val="Privzetapisavaodstavka"/>
    <w:link w:val="Glava"/>
    <w:uiPriority w:val="99"/>
    <w:semiHidden/>
    <w:rsid w:val="008142B0"/>
    <w:rPr>
      <w:rFonts w:ascii="Times New Roman" w:hAnsi="Times New Roman" w:cs="Times New Roman"/>
    </w:rPr>
  </w:style>
  <w:style w:type="paragraph" w:styleId="Noga">
    <w:name w:val="footer"/>
    <w:basedOn w:val="Navaden"/>
    <w:link w:val="NogaZnak"/>
    <w:uiPriority w:val="99"/>
    <w:semiHidden/>
    <w:unhideWhenUsed/>
    <w:rsid w:val="008142B0"/>
    <w:pPr>
      <w:tabs>
        <w:tab w:val="center" w:pos="4536"/>
        <w:tab w:val="right" w:pos="9072"/>
      </w:tabs>
    </w:pPr>
  </w:style>
  <w:style w:type="character" w:customStyle="1" w:styleId="NogaZnak">
    <w:name w:val="Noga Znak"/>
    <w:basedOn w:val="Privzetapisavaodstavka"/>
    <w:link w:val="Noga"/>
    <w:uiPriority w:val="99"/>
    <w:semiHidden/>
    <w:rsid w:val="008142B0"/>
    <w:rPr>
      <w:rFonts w:ascii="Times New Roman" w:hAnsi="Times New Roman" w:cs="Times New Roman"/>
    </w:rPr>
  </w:style>
  <w:style w:type="paragraph" w:styleId="Besedilooblaka">
    <w:name w:val="Balloon Text"/>
    <w:basedOn w:val="Navaden"/>
    <w:link w:val="BesedilooblakaZnak"/>
    <w:uiPriority w:val="99"/>
    <w:semiHidden/>
    <w:unhideWhenUsed/>
    <w:rsid w:val="00B14B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4B3E"/>
    <w:rPr>
      <w:rFonts w:ascii="Tahoma" w:hAnsi="Tahoma" w:cs="Tahoma"/>
      <w:sz w:val="16"/>
      <w:szCs w:val="16"/>
    </w:rPr>
  </w:style>
  <w:style w:type="paragraph" w:styleId="Odstavekseznama">
    <w:name w:val="List Paragraph"/>
    <w:basedOn w:val="Navaden"/>
    <w:uiPriority w:val="34"/>
    <w:qFormat/>
    <w:rsid w:val="001522D1"/>
    <w:pPr>
      <w:ind w:left="720"/>
      <w:contextualSpacing/>
    </w:pPr>
  </w:style>
  <w:style w:type="paragraph" w:styleId="Sprotnaopomba-besedilo">
    <w:name w:val="footnote text"/>
    <w:basedOn w:val="Navaden"/>
    <w:link w:val="Sprotnaopomba-besediloZnak"/>
    <w:uiPriority w:val="99"/>
    <w:semiHidden/>
    <w:unhideWhenUsed/>
    <w:rsid w:val="001522D1"/>
    <w:rPr>
      <w:sz w:val="20"/>
      <w:szCs w:val="20"/>
    </w:rPr>
  </w:style>
  <w:style w:type="character" w:customStyle="1" w:styleId="Sprotnaopomba-besediloZnak">
    <w:name w:val="Sprotna opomba - besedilo Znak"/>
    <w:basedOn w:val="Privzetapisavaodstavka"/>
    <w:link w:val="Sprotnaopomba-besedilo"/>
    <w:uiPriority w:val="99"/>
    <w:semiHidden/>
    <w:rsid w:val="001522D1"/>
    <w:rPr>
      <w:rFonts w:ascii="Times New Roman" w:hAnsi="Times New Roman" w:cs="Times New Roman"/>
      <w:sz w:val="20"/>
      <w:szCs w:val="20"/>
    </w:rPr>
  </w:style>
  <w:style w:type="character" w:styleId="Sprotnaopomba-sklic">
    <w:name w:val="footnote reference"/>
    <w:basedOn w:val="Privzetapisavaodstavka"/>
    <w:uiPriority w:val="99"/>
    <w:semiHidden/>
    <w:unhideWhenUsed/>
    <w:rsid w:val="001522D1"/>
    <w:rPr>
      <w:vertAlign w:val="superscript"/>
    </w:rPr>
  </w:style>
  <w:style w:type="character" w:styleId="Pripombasklic">
    <w:name w:val="annotation reference"/>
    <w:basedOn w:val="Privzetapisavaodstavka"/>
    <w:uiPriority w:val="99"/>
    <w:semiHidden/>
    <w:unhideWhenUsed/>
    <w:rsid w:val="00830FF1"/>
    <w:rPr>
      <w:sz w:val="16"/>
      <w:szCs w:val="16"/>
    </w:rPr>
  </w:style>
  <w:style w:type="paragraph" w:styleId="Pripombabesedilo">
    <w:name w:val="annotation text"/>
    <w:basedOn w:val="Navaden"/>
    <w:link w:val="PripombabesediloZnak"/>
    <w:uiPriority w:val="99"/>
    <w:semiHidden/>
    <w:unhideWhenUsed/>
    <w:rsid w:val="00830FF1"/>
    <w:rPr>
      <w:sz w:val="20"/>
      <w:szCs w:val="20"/>
    </w:rPr>
  </w:style>
  <w:style w:type="character" w:customStyle="1" w:styleId="PripombabesediloZnak">
    <w:name w:val="Pripomba – besedilo Znak"/>
    <w:basedOn w:val="Privzetapisavaodstavka"/>
    <w:link w:val="Pripombabesedilo"/>
    <w:uiPriority w:val="99"/>
    <w:semiHidden/>
    <w:rsid w:val="00830FF1"/>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830FF1"/>
    <w:rPr>
      <w:b/>
      <w:bCs/>
    </w:rPr>
  </w:style>
  <w:style w:type="character" w:customStyle="1" w:styleId="ZadevapripombeZnak">
    <w:name w:val="Zadeva pripombe Znak"/>
    <w:basedOn w:val="PripombabesediloZnak"/>
    <w:link w:val="Zadevapripombe"/>
    <w:uiPriority w:val="99"/>
    <w:semiHidden/>
    <w:rsid w:val="00830FF1"/>
    <w:rPr>
      <w:rFonts w:ascii="Times New Roman" w:hAnsi="Times New Roman" w:cs="Times New Roman"/>
      <w:b/>
      <w:bCs/>
      <w:sz w:val="20"/>
      <w:szCs w:val="20"/>
    </w:rPr>
  </w:style>
  <w:style w:type="paragraph" w:styleId="Revizija">
    <w:name w:val="Revision"/>
    <w:hidden/>
    <w:uiPriority w:val="99"/>
    <w:semiHidden/>
    <w:rsid w:val="00830FF1"/>
    <w:pPr>
      <w:spacing w:after="0" w:line="240" w:lineRule="auto"/>
    </w:pPr>
    <w:rPr>
      <w:rFonts w:ascii="Times New Roman" w:hAnsi="Times New Roman" w:cs="Times New Roman"/>
    </w:rPr>
  </w:style>
  <w:style w:type="character" w:styleId="Hiperpovezava">
    <w:name w:val="Hyperlink"/>
    <w:basedOn w:val="Privzetapisavaodstavka"/>
    <w:uiPriority w:val="99"/>
    <w:unhideWhenUsed/>
    <w:rsid w:val="002A3E6C"/>
    <w:rPr>
      <w:color w:val="0000FF" w:themeColor="hyperlink"/>
      <w:u w:val="single"/>
    </w:rPr>
  </w:style>
  <w:style w:type="character" w:styleId="SledenaHiperpovezava">
    <w:name w:val="FollowedHyperlink"/>
    <w:basedOn w:val="Privzetapisavaodstavka"/>
    <w:uiPriority w:val="99"/>
    <w:semiHidden/>
    <w:unhideWhenUsed/>
    <w:rsid w:val="00BA6BB5"/>
    <w:rPr>
      <w:color w:val="800080" w:themeColor="followedHyperlink"/>
      <w:u w:val="single"/>
    </w:rPr>
  </w:style>
  <w:style w:type="character" w:styleId="Krepko">
    <w:name w:val="Strong"/>
    <w:basedOn w:val="Privzetapisavaodstavka"/>
    <w:uiPriority w:val="22"/>
    <w:qFormat/>
    <w:rsid w:val="001B6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6013">
      <w:bodyDiv w:val="1"/>
      <w:marLeft w:val="0"/>
      <w:marRight w:val="0"/>
      <w:marTop w:val="0"/>
      <w:marBottom w:val="0"/>
      <w:divBdr>
        <w:top w:val="none" w:sz="0" w:space="0" w:color="auto"/>
        <w:left w:val="none" w:sz="0" w:space="0" w:color="auto"/>
        <w:bottom w:val="none" w:sz="0" w:space="0" w:color="auto"/>
        <w:right w:val="none" w:sz="0" w:space="0" w:color="auto"/>
      </w:divBdr>
    </w:div>
    <w:div w:id="681974133">
      <w:bodyDiv w:val="1"/>
      <w:marLeft w:val="0"/>
      <w:marRight w:val="0"/>
      <w:marTop w:val="0"/>
      <w:marBottom w:val="0"/>
      <w:divBdr>
        <w:top w:val="none" w:sz="0" w:space="0" w:color="auto"/>
        <w:left w:val="none" w:sz="0" w:space="0" w:color="auto"/>
        <w:bottom w:val="none" w:sz="0" w:space="0" w:color="auto"/>
        <w:right w:val="none" w:sz="0" w:space="0" w:color="auto"/>
      </w:divBdr>
    </w:div>
    <w:div w:id="11391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s.org/bcbs/ccy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rb.europa.eu/national_policy/ccb/applicable/html/index.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C30DEBD9BC8240AB62BF3A0F71A82C" ma:contentTypeVersion="0" ma:contentTypeDescription="Ustvari nov dokument." ma:contentTypeScope="" ma:versionID="7cab9e0bd2139486000e64f590c0913b">
  <xsd:schema xmlns:xsd="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1BF4D-3483-43B0-A1DB-D263670CC64B}">
  <ds:schemaRefs>
    <ds:schemaRef ds:uri="http://schemas.microsoft.com/sharepoint/v3/contenttype/forms"/>
  </ds:schemaRefs>
</ds:datastoreItem>
</file>

<file path=customXml/itemProps2.xml><?xml version="1.0" encoding="utf-8"?>
<ds:datastoreItem xmlns:ds="http://schemas.openxmlformats.org/officeDocument/2006/customXml" ds:itemID="{B0B420EF-376E-4AC5-9253-233851001A4E}">
  <ds:schemaRefs>
    <ds:schemaRef ds:uri="http://schemas.microsoft.com/office/2006/metadata/properties"/>
  </ds:schemaRefs>
</ds:datastoreItem>
</file>

<file path=customXml/itemProps3.xml><?xml version="1.0" encoding="utf-8"?>
<ds:datastoreItem xmlns:ds="http://schemas.openxmlformats.org/officeDocument/2006/customXml" ds:itemID="{EC356DB3-359A-4CA8-A225-E7A0EBAAA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9618B9-00F8-4B55-ADF8-6BF8306D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6213</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Banka Slovenije</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 Ahtik</dc:creator>
  <cp:lastModifiedBy>Weiss Monika</cp:lastModifiedBy>
  <cp:revision>2</cp:revision>
  <cp:lastPrinted>2017-09-11T13:42:00Z</cp:lastPrinted>
  <dcterms:created xsi:type="dcterms:W3CDTF">2018-01-30T13:09:00Z</dcterms:created>
  <dcterms:modified xsi:type="dcterms:W3CDTF">2018-01-30T13:09:00Z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0x010100CEC30DEBD9BC8240AB62BF3A0F71A82C</vt:lpwstr>
  </property>
</Properties>
</file>