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96" w:rsidRDefault="00424E96" w:rsidP="00424E96">
      <w:pPr>
        <w:jc w:val="both"/>
      </w:pPr>
      <w:r w:rsidRPr="005B513F">
        <w:t>Na podlagi prvega odstavka 10. člena Zakona o bančništvu (Uradni list RS, št. 25/15</w:t>
      </w:r>
      <w:r w:rsidR="00780001" w:rsidRPr="005B513F">
        <w:t>,</w:t>
      </w:r>
      <w:r w:rsidRPr="005B513F">
        <w:t xml:space="preserve"> 44/16-ZRPPB</w:t>
      </w:r>
      <w:r w:rsidR="00780001" w:rsidRPr="005B513F">
        <w:t>,</w:t>
      </w:r>
      <w:r w:rsidR="00780001">
        <w:t xml:space="preserve"> 77/16 – ZCKR</w:t>
      </w:r>
      <w:r w:rsidR="00780001" w:rsidRPr="00780001">
        <w:t xml:space="preserve"> </w:t>
      </w:r>
      <w:r w:rsidR="00780001">
        <w:t>in 41/17</w:t>
      </w:r>
      <w:r w:rsidRPr="00AD54B6">
        <w:t>; v nadaljevanju ZBan-2) ter prvega odstavka 31. člena Zakona o Banki Slovenije (Uradni list RS, št. 72/06 – uradno prečiščeno besedilo</w:t>
      </w:r>
      <w:r w:rsidR="006B1A41">
        <w:t>,</w:t>
      </w:r>
      <w:r w:rsidRPr="00AD54B6">
        <w:t xml:space="preserve"> 59/11</w:t>
      </w:r>
      <w:r w:rsidR="006B1A41">
        <w:t xml:space="preserve"> in 55/17</w:t>
      </w:r>
      <w:r w:rsidRPr="00AD54B6">
        <w:t>) izdaja</w:t>
      </w:r>
      <w:r>
        <w:t xml:space="preserve"> Banka Slovenije </w:t>
      </w:r>
    </w:p>
    <w:p w:rsidR="00262237" w:rsidRDefault="00262237" w:rsidP="00167FEB">
      <w:pPr>
        <w:jc w:val="both"/>
      </w:pPr>
    </w:p>
    <w:p w:rsidR="00E16A88" w:rsidRDefault="00E16A88"/>
    <w:p w:rsidR="00262237" w:rsidRDefault="00262237"/>
    <w:p w:rsidR="001F21AC" w:rsidRPr="001F21AC" w:rsidRDefault="001F21AC" w:rsidP="001F21AC">
      <w:pPr>
        <w:jc w:val="center"/>
        <w:rPr>
          <w:b/>
        </w:rPr>
      </w:pPr>
      <w:r w:rsidRPr="001F21AC">
        <w:rPr>
          <w:b/>
        </w:rPr>
        <w:t>USMERITVE</w:t>
      </w:r>
    </w:p>
    <w:p w:rsidR="00FF4CFC" w:rsidRDefault="00FF4CFC" w:rsidP="001F21AC">
      <w:pPr>
        <w:jc w:val="center"/>
        <w:rPr>
          <w:b/>
        </w:rPr>
      </w:pPr>
    </w:p>
    <w:p w:rsidR="00262237" w:rsidRDefault="006B6D8C" w:rsidP="005531CB">
      <w:pPr>
        <w:jc w:val="center"/>
        <w:rPr>
          <w:b/>
        </w:rPr>
      </w:pPr>
      <w:r>
        <w:rPr>
          <w:b/>
        </w:rPr>
        <w:t xml:space="preserve">v zvezi z </w:t>
      </w:r>
      <w:r w:rsidR="00284F9E">
        <w:rPr>
          <w:b/>
        </w:rPr>
        <w:t xml:space="preserve">uporabo modela pričakovanih </w:t>
      </w:r>
      <w:r w:rsidR="005531CB">
        <w:rPr>
          <w:b/>
        </w:rPr>
        <w:t xml:space="preserve">kreditnih </w:t>
      </w:r>
      <w:r w:rsidR="00284F9E">
        <w:rPr>
          <w:b/>
        </w:rPr>
        <w:t xml:space="preserve">izgub in </w:t>
      </w:r>
      <w:r w:rsidR="00F24717" w:rsidRPr="00F24717">
        <w:rPr>
          <w:b/>
          <w:bCs/>
        </w:rPr>
        <w:t xml:space="preserve">pravil vrednotenja določenih </w:t>
      </w:r>
      <w:r w:rsidR="00877286">
        <w:rPr>
          <w:b/>
          <w:bCs/>
        </w:rPr>
        <w:t>knjigovodskih</w:t>
      </w:r>
      <w:r w:rsidR="00F24717" w:rsidRPr="00F24717">
        <w:rPr>
          <w:b/>
          <w:bCs/>
        </w:rPr>
        <w:t xml:space="preserve"> postavk</w:t>
      </w:r>
    </w:p>
    <w:p w:rsidR="002B68F0" w:rsidRDefault="002B68F0" w:rsidP="002B68F0">
      <w:pPr>
        <w:jc w:val="both"/>
      </w:pPr>
    </w:p>
    <w:p w:rsidR="00ED686B" w:rsidRDefault="00ED686B" w:rsidP="002B68F0">
      <w:pPr>
        <w:jc w:val="both"/>
      </w:pPr>
    </w:p>
    <w:p w:rsidR="00A73C3A" w:rsidRDefault="00A73C3A" w:rsidP="002B68F0">
      <w:pPr>
        <w:jc w:val="both"/>
      </w:pPr>
    </w:p>
    <w:p w:rsidR="003D6593" w:rsidRPr="003D6593" w:rsidRDefault="00424E96" w:rsidP="00344D74">
      <w:pPr>
        <w:pStyle w:val="Odstavekseznama"/>
        <w:numPr>
          <w:ilvl w:val="0"/>
          <w:numId w:val="3"/>
        </w:numPr>
        <w:ind w:left="811" w:hanging="454"/>
        <w:jc w:val="center"/>
        <w:rPr>
          <w:b/>
        </w:rPr>
      </w:pPr>
      <w:bookmarkStart w:id="0" w:name="_Ref472945156"/>
      <w:r>
        <w:rPr>
          <w:b/>
        </w:rPr>
        <w:t>UVOD</w:t>
      </w:r>
      <w:bookmarkEnd w:id="0"/>
    </w:p>
    <w:p w:rsidR="00ED2AE1" w:rsidRDefault="00ED2AE1" w:rsidP="002B68F0">
      <w:pPr>
        <w:jc w:val="both"/>
      </w:pPr>
    </w:p>
    <w:p w:rsidR="00527192" w:rsidRDefault="00527192" w:rsidP="002B68F0">
      <w:pPr>
        <w:jc w:val="both"/>
      </w:pPr>
    </w:p>
    <w:p w:rsidR="0004126E" w:rsidRPr="00A54A6A" w:rsidRDefault="003831D4" w:rsidP="000E213E">
      <w:pPr>
        <w:pStyle w:val="Odstavekseznama"/>
        <w:numPr>
          <w:ilvl w:val="0"/>
          <w:numId w:val="14"/>
        </w:numPr>
        <w:jc w:val="center"/>
        <w:rPr>
          <w:b/>
        </w:rPr>
      </w:pPr>
      <w:r>
        <w:rPr>
          <w:b/>
        </w:rPr>
        <w:t>Namen in v</w:t>
      </w:r>
      <w:r w:rsidR="00A54A6A" w:rsidRPr="00A54A6A">
        <w:rPr>
          <w:b/>
        </w:rPr>
        <w:t>sebina usmeritev</w:t>
      </w:r>
    </w:p>
    <w:p w:rsidR="00A54A6A" w:rsidRPr="002B68F0" w:rsidRDefault="00A54A6A" w:rsidP="00A54A6A">
      <w:pPr>
        <w:pStyle w:val="Odstavekseznama"/>
        <w:jc w:val="both"/>
      </w:pPr>
    </w:p>
    <w:p w:rsidR="00ED2AE1" w:rsidRDefault="00ED2AE1" w:rsidP="000E213E">
      <w:pPr>
        <w:pStyle w:val="Odstavekseznama"/>
        <w:numPr>
          <w:ilvl w:val="0"/>
          <w:numId w:val="4"/>
        </w:numPr>
        <w:jc w:val="both"/>
      </w:pPr>
      <w:r>
        <w:t>Z</w:t>
      </w:r>
      <w:r w:rsidR="00BA6B46">
        <w:t>Ban</w:t>
      </w:r>
      <w:r w:rsidR="00E80E72">
        <w:t>-</w:t>
      </w:r>
      <w:r w:rsidR="00BA6B46">
        <w:t>2</w:t>
      </w:r>
      <w:r>
        <w:t xml:space="preserve"> v 10. členu določa, da Banka Slovenije izdaja usmeritve, ki vsebujejo splošna in podrobnejša pravila za enotno razlago in uporabo določenih predpisov ter prispevajo k oblikovanju dobre prakse pri poslovanju bank.</w:t>
      </w:r>
      <w:r w:rsidRPr="003C1FAC">
        <w:t xml:space="preserve"> </w:t>
      </w:r>
      <w:r>
        <w:t>Usmeritve se objavijo na spletni strani Banke Slovenije.</w:t>
      </w:r>
    </w:p>
    <w:p w:rsidR="00ED2AE1" w:rsidRDefault="00ED2AE1" w:rsidP="00ED2AE1">
      <w:pPr>
        <w:pStyle w:val="Odstavekseznama"/>
        <w:ind w:left="360"/>
        <w:jc w:val="both"/>
      </w:pPr>
    </w:p>
    <w:p w:rsidR="00877286" w:rsidRDefault="009239B9" w:rsidP="000E213E">
      <w:pPr>
        <w:pStyle w:val="Odstavekseznama"/>
        <w:numPr>
          <w:ilvl w:val="0"/>
          <w:numId w:val="4"/>
        </w:numPr>
        <w:jc w:val="both"/>
      </w:pPr>
      <w:r w:rsidRPr="003C42B3">
        <w:t xml:space="preserve">Te </w:t>
      </w:r>
      <w:r>
        <w:t>usmeritve</w:t>
      </w:r>
      <w:r w:rsidRPr="003C42B3">
        <w:t xml:space="preserve"> </w:t>
      </w:r>
      <w:r>
        <w:t xml:space="preserve">so namenjene bankam kot </w:t>
      </w:r>
      <w:r w:rsidRPr="003C42B3">
        <w:t xml:space="preserve">pomoč </w:t>
      </w:r>
      <w:r>
        <w:t>p</w:t>
      </w:r>
      <w:r w:rsidRPr="003C42B3">
        <w:t>ri</w:t>
      </w:r>
      <w:r w:rsidR="00FD2F36">
        <w:t xml:space="preserve"> </w:t>
      </w:r>
      <w:r w:rsidRPr="003C42B3">
        <w:t>vzpostavitv</w:t>
      </w:r>
      <w:r w:rsidR="00FD2F36">
        <w:t>i</w:t>
      </w:r>
      <w:r w:rsidRPr="003C42B3">
        <w:t xml:space="preserve"> dobre prakse pri uporabi </w:t>
      </w:r>
      <w:r w:rsidR="00877286">
        <w:t>m</w:t>
      </w:r>
      <w:r w:rsidR="004C2585" w:rsidRPr="00247C1B">
        <w:t>ednarodn</w:t>
      </w:r>
      <w:r w:rsidR="00877286">
        <w:t>ih</w:t>
      </w:r>
      <w:r w:rsidR="004C2585" w:rsidRPr="00247C1B">
        <w:t xml:space="preserve"> standard</w:t>
      </w:r>
      <w:r w:rsidR="00877286">
        <w:t>ov</w:t>
      </w:r>
      <w:r w:rsidR="004C2585" w:rsidRPr="00247C1B">
        <w:t xml:space="preserve"> računovodskega poročanja </w:t>
      </w:r>
      <w:r w:rsidR="004C2585">
        <w:t xml:space="preserve">(v nadaljevanju </w:t>
      </w:r>
      <w:r w:rsidRPr="003C42B3">
        <w:t>MSRP</w:t>
      </w:r>
      <w:r w:rsidR="004C2585">
        <w:t>)</w:t>
      </w:r>
      <w:r w:rsidRPr="003C42B3">
        <w:t xml:space="preserve">, s katero </w:t>
      </w:r>
      <w:r w:rsidR="00FF44DB">
        <w:t xml:space="preserve">naj </w:t>
      </w:r>
      <w:r w:rsidRPr="003C42B3">
        <w:t>bi se zagotovil</w:t>
      </w:r>
      <w:r w:rsidR="008D0E46">
        <w:t>a</w:t>
      </w:r>
      <w:r w:rsidRPr="003C42B3">
        <w:t xml:space="preserve"> </w:t>
      </w:r>
      <w:r>
        <w:t>enotn</w:t>
      </w:r>
      <w:r w:rsidR="008D0E46">
        <w:t>ejša</w:t>
      </w:r>
      <w:r>
        <w:t xml:space="preserve"> obravnava</w:t>
      </w:r>
      <w:r w:rsidR="008D0E46">
        <w:t xml:space="preserve"> pri računovodenju finančnih </w:t>
      </w:r>
      <w:r w:rsidR="000E5ED6">
        <w:t xml:space="preserve">sredstev </w:t>
      </w:r>
      <w:r w:rsidR="008D0E46">
        <w:t xml:space="preserve">in prevzetih obveznosti po zunajbilančnih postavkah </w:t>
      </w:r>
      <w:r>
        <w:t>v bankah</w:t>
      </w:r>
      <w:r w:rsidRPr="003C42B3">
        <w:t xml:space="preserve">, zlasti na </w:t>
      </w:r>
      <w:r w:rsidRPr="00850CC1">
        <w:t xml:space="preserve">področju oblikovanja </w:t>
      </w:r>
      <w:r w:rsidR="00B45318" w:rsidRPr="00850CC1">
        <w:t xml:space="preserve">popravkov vrednosti </w:t>
      </w:r>
      <w:r w:rsidRPr="00850CC1">
        <w:t>in rezervacij</w:t>
      </w:r>
      <w:r w:rsidR="00B45318" w:rsidRPr="00850CC1">
        <w:t xml:space="preserve"> za kreditne izgube</w:t>
      </w:r>
      <w:r w:rsidR="00877286" w:rsidRPr="00850CC1">
        <w:t xml:space="preserve"> v skladu z MSRP</w:t>
      </w:r>
      <w:r w:rsidR="00877286">
        <w:t xml:space="preserve"> 9</w:t>
      </w:r>
      <w:r w:rsidR="003F723E">
        <w:t xml:space="preserve">, in </w:t>
      </w:r>
      <w:r w:rsidR="003F723E" w:rsidRPr="003C42B3">
        <w:t>večja primerljivost</w:t>
      </w:r>
      <w:r w:rsidR="003F723E">
        <w:t xml:space="preserve"> </w:t>
      </w:r>
      <w:r w:rsidR="003F723E" w:rsidRPr="003C42B3">
        <w:t>računovodski</w:t>
      </w:r>
      <w:r w:rsidR="003F723E">
        <w:t xml:space="preserve">h </w:t>
      </w:r>
      <w:r w:rsidR="003F723E" w:rsidRPr="003C42B3">
        <w:t>izkaz</w:t>
      </w:r>
      <w:r w:rsidR="003F723E">
        <w:t>ov</w:t>
      </w:r>
      <w:r w:rsidR="002B7724">
        <w:t xml:space="preserve"> bank</w:t>
      </w:r>
      <w:r w:rsidRPr="003C42B3">
        <w:t>.</w:t>
      </w:r>
      <w:r w:rsidRPr="00D071C9">
        <w:t xml:space="preserve"> </w:t>
      </w:r>
      <w:r w:rsidR="005F653C">
        <w:t>Us</w:t>
      </w:r>
      <w:r w:rsidR="00D071C9">
        <w:t>meri</w:t>
      </w:r>
      <w:r w:rsidR="005F653C">
        <w:t>tv</w:t>
      </w:r>
      <w:r w:rsidR="00D071C9">
        <w:t xml:space="preserve">e </w:t>
      </w:r>
      <w:r>
        <w:t>predstavljajo nadzorniška pričakovanja glede</w:t>
      </w:r>
      <w:r w:rsidR="00600603">
        <w:t xml:space="preserve"> obravnave</w:t>
      </w:r>
      <w:r w:rsidR="00877286">
        <w:t>:</w:t>
      </w:r>
    </w:p>
    <w:p w:rsidR="00D071C9" w:rsidRPr="00E50D08" w:rsidRDefault="00BE322D" w:rsidP="00794307">
      <w:pPr>
        <w:pStyle w:val="Odstavekseznama"/>
        <w:numPr>
          <w:ilvl w:val="0"/>
          <w:numId w:val="43"/>
        </w:numPr>
        <w:jc w:val="both"/>
      </w:pPr>
      <w:r>
        <w:t xml:space="preserve">določenih </w:t>
      </w:r>
      <w:r w:rsidR="009239B9">
        <w:t>specifičn</w:t>
      </w:r>
      <w:r>
        <w:t>ih</w:t>
      </w:r>
      <w:r w:rsidR="009239B9">
        <w:t xml:space="preserve"> področ</w:t>
      </w:r>
      <w:r>
        <w:t>i</w:t>
      </w:r>
      <w:r w:rsidR="009239B9">
        <w:t>j</w:t>
      </w:r>
      <w:r>
        <w:t>, ki v MS</w:t>
      </w:r>
      <w:r w:rsidR="00E93D85">
        <w:t>R</w:t>
      </w:r>
      <w:r>
        <w:t xml:space="preserve">P 9 niso </w:t>
      </w:r>
      <w:r w:rsidR="008D7B6B">
        <w:t xml:space="preserve">podrobneje </w:t>
      </w:r>
      <w:r w:rsidR="008D7B6B" w:rsidRPr="00E50D08">
        <w:t>pojasnjena</w:t>
      </w:r>
      <w:r w:rsidR="00877286">
        <w:t>:</w:t>
      </w:r>
      <w:r w:rsidR="00D071C9" w:rsidRPr="00E50D08">
        <w:t xml:space="preserve"> </w:t>
      </w:r>
    </w:p>
    <w:p w:rsidR="00D071C9" w:rsidRPr="00052F21" w:rsidRDefault="008D7B6B" w:rsidP="000E213E">
      <w:pPr>
        <w:pStyle w:val="Odstavekseznama"/>
        <w:numPr>
          <w:ilvl w:val="0"/>
          <w:numId w:val="33"/>
        </w:numPr>
        <w:jc w:val="both"/>
      </w:pPr>
      <w:r w:rsidRPr="00052F21">
        <w:t xml:space="preserve">razvrščanje izpostavljenosti v skupine za namen ocenjevanja </w:t>
      </w:r>
      <w:r w:rsidR="00E50D08" w:rsidRPr="00052F21">
        <w:t>kreditnih izgub</w:t>
      </w:r>
      <w:r w:rsidR="00D071C9" w:rsidRPr="00052F21">
        <w:t>,</w:t>
      </w:r>
    </w:p>
    <w:p w:rsidR="0081135E" w:rsidRPr="00052F21" w:rsidRDefault="0081135E" w:rsidP="000E213E">
      <w:pPr>
        <w:pStyle w:val="Odstavekseznama"/>
        <w:numPr>
          <w:ilvl w:val="0"/>
          <w:numId w:val="33"/>
        </w:numPr>
        <w:jc w:val="both"/>
      </w:pPr>
      <w:r w:rsidRPr="00052F21">
        <w:t xml:space="preserve">ocenjevanje </w:t>
      </w:r>
      <w:r w:rsidR="00B45318" w:rsidRPr="00052F21">
        <w:t>kreditn</w:t>
      </w:r>
      <w:r w:rsidR="00E50D08" w:rsidRPr="00052F21">
        <w:t>ih</w:t>
      </w:r>
      <w:r w:rsidR="00B45318" w:rsidRPr="00052F21">
        <w:t xml:space="preserve"> izgub</w:t>
      </w:r>
      <w:r w:rsidR="00E50D08" w:rsidRPr="00052F21">
        <w:t xml:space="preserve"> za namen oblikovanja popravkov vrednosti in rezervacij</w:t>
      </w:r>
      <w:r w:rsidRPr="00052F21">
        <w:t>,</w:t>
      </w:r>
    </w:p>
    <w:p w:rsidR="006511EF" w:rsidRPr="00052F21" w:rsidRDefault="006511EF" w:rsidP="000E213E">
      <w:pPr>
        <w:pStyle w:val="Odstavekseznama"/>
        <w:numPr>
          <w:ilvl w:val="0"/>
          <w:numId w:val="33"/>
        </w:numPr>
        <w:jc w:val="both"/>
      </w:pPr>
      <w:r w:rsidRPr="00052F21">
        <w:t xml:space="preserve">obravnava </w:t>
      </w:r>
      <w:r w:rsidR="00E50D08" w:rsidRPr="00052F21">
        <w:t>izpostavljenosti</w:t>
      </w:r>
      <w:r w:rsidRPr="00052F21">
        <w:t xml:space="preserve"> ob spremembi pogojev odplačevanja</w:t>
      </w:r>
      <w:r w:rsidR="00CF3EF0">
        <w:t>;</w:t>
      </w:r>
    </w:p>
    <w:p w:rsidR="00A9592A" w:rsidRPr="00052F21" w:rsidRDefault="002C1281" w:rsidP="00794307">
      <w:pPr>
        <w:pStyle w:val="Odstavekseznama"/>
        <w:numPr>
          <w:ilvl w:val="0"/>
          <w:numId w:val="43"/>
        </w:numPr>
        <w:jc w:val="both"/>
      </w:pPr>
      <w:r w:rsidRPr="00052F21">
        <w:t>nepremičnin in premičnin, pridobljenih</w:t>
      </w:r>
      <w:r w:rsidR="00A9592A" w:rsidRPr="00052F21">
        <w:t xml:space="preserve"> z</w:t>
      </w:r>
      <w:r w:rsidRPr="00052F21">
        <w:t>a poplačilo</w:t>
      </w:r>
      <w:r w:rsidR="001837BC">
        <w:t xml:space="preserve"> izpostavljenosti</w:t>
      </w:r>
      <w:r w:rsidR="00A9592A" w:rsidRPr="00052F21">
        <w:t>.</w:t>
      </w:r>
    </w:p>
    <w:p w:rsidR="0081135E" w:rsidRDefault="0081135E" w:rsidP="003C42B3">
      <w:pPr>
        <w:pStyle w:val="Odstavekseznama"/>
        <w:ind w:left="360"/>
        <w:jc w:val="both"/>
      </w:pPr>
    </w:p>
    <w:p w:rsidR="00E91E77" w:rsidRDefault="00E91E77" w:rsidP="000E213E">
      <w:pPr>
        <w:pStyle w:val="Odstavekseznama"/>
        <w:numPr>
          <w:ilvl w:val="0"/>
          <w:numId w:val="4"/>
        </w:numPr>
        <w:jc w:val="both"/>
      </w:pPr>
      <w:r w:rsidRPr="0016340E">
        <w:t>Kadar se te usmeritve sklicujejo na določbe drugih predpisov, se te določbe uporabljajo v njihov</w:t>
      </w:r>
      <w:r w:rsidR="00A54A6A">
        <w:t>em vsakokrat veljavnem besedilu</w:t>
      </w:r>
      <w:r w:rsidR="00EA4A70">
        <w:t>.</w:t>
      </w:r>
    </w:p>
    <w:p w:rsidR="00A54A6A" w:rsidRDefault="00A54A6A" w:rsidP="00A54A6A">
      <w:pPr>
        <w:pStyle w:val="Odstavekseznama"/>
        <w:ind w:left="360"/>
        <w:jc w:val="both"/>
      </w:pPr>
    </w:p>
    <w:p w:rsidR="00A54A6A" w:rsidRDefault="00A54A6A" w:rsidP="00A54A6A">
      <w:pPr>
        <w:pStyle w:val="Odstavekseznama"/>
        <w:ind w:left="360"/>
        <w:jc w:val="both"/>
      </w:pPr>
    </w:p>
    <w:p w:rsidR="00A54A6A" w:rsidRPr="00AF17C9" w:rsidRDefault="00A54A6A" w:rsidP="000E213E">
      <w:pPr>
        <w:pStyle w:val="Odstavekseznama"/>
        <w:numPr>
          <w:ilvl w:val="0"/>
          <w:numId w:val="14"/>
        </w:numPr>
        <w:jc w:val="center"/>
        <w:rPr>
          <w:b/>
        </w:rPr>
      </w:pPr>
      <w:r w:rsidRPr="00AF17C9">
        <w:rPr>
          <w:b/>
        </w:rPr>
        <w:t>Opredelitve pojmov</w:t>
      </w:r>
    </w:p>
    <w:p w:rsidR="00A54A6A" w:rsidRPr="0016340E" w:rsidRDefault="00A54A6A" w:rsidP="00A54A6A">
      <w:pPr>
        <w:pStyle w:val="Odstavekseznama"/>
        <w:ind w:left="360"/>
        <w:jc w:val="both"/>
      </w:pPr>
    </w:p>
    <w:p w:rsidR="00430480" w:rsidRDefault="00430480" w:rsidP="000E213E">
      <w:pPr>
        <w:pStyle w:val="Odstavekseznama"/>
        <w:numPr>
          <w:ilvl w:val="0"/>
          <w:numId w:val="4"/>
        </w:numPr>
        <w:jc w:val="both"/>
      </w:pPr>
      <w:r>
        <w:t>V teh usmeritvah so za akte Evropske unije, Evropskega bančnega organa</w:t>
      </w:r>
      <w:r w:rsidR="00AE6672">
        <w:t xml:space="preserve">, </w:t>
      </w:r>
      <w:r>
        <w:t xml:space="preserve">Evropske centralne banke </w:t>
      </w:r>
      <w:r w:rsidR="00AE6672">
        <w:t xml:space="preserve">in Banke Slovenije </w:t>
      </w:r>
      <w:r>
        <w:t>uporabljeni naslednji skrajšani naslovi:</w:t>
      </w:r>
    </w:p>
    <w:p w:rsidR="00430480" w:rsidRDefault="00430480" w:rsidP="000E213E">
      <w:pPr>
        <w:pStyle w:val="Odstavekseznama"/>
        <w:numPr>
          <w:ilvl w:val="0"/>
          <w:numId w:val="15"/>
        </w:numPr>
        <w:jc w:val="both"/>
      </w:pPr>
      <w:r>
        <w:t xml:space="preserve">MSRP 9 je </w:t>
      </w:r>
      <w:r w:rsidR="00794307">
        <w:t xml:space="preserve">Uredba Komisije (EU) 2016/2067 z dne 22. novembra 2016 o spremembi Uredbe (ES) št. 1126/2008 o sprejetju nekaterih mednarodnih računovodskih standardov </w:t>
      </w:r>
      <w:r w:rsidR="007A15A2">
        <w:t xml:space="preserve">v skladu z Uredbo (ES) št. 1606/2002 </w:t>
      </w:r>
      <w:r>
        <w:t xml:space="preserve">Evropskega parlamenta in Sveta </w:t>
      </w:r>
      <w:r w:rsidR="007A15A2">
        <w:t>glede Mednarodnega standarda računovodskega poročanja 9</w:t>
      </w:r>
      <w:r w:rsidR="00A37334">
        <w:t xml:space="preserve"> (UL L št. 323 z dne 29. novembra 2016, str. 1)</w:t>
      </w:r>
      <w:r w:rsidR="005107C2">
        <w:t>;</w:t>
      </w:r>
    </w:p>
    <w:p w:rsidR="005107C2" w:rsidRDefault="005107C2" w:rsidP="000E213E">
      <w:pPr>
        <w:pStyle w:val="Odstavekseznama"/>
        <w:numPr>
          <w:ilvl w:val="0"/>
          <w:numId w:val="15"/>
        </w:numPr>
        <w:jc w:val="both"/>
      </w:pPr>
      <w:r>
        <w:t xml:space="preserve">Uredba CRR je </w:t>
      </w:r>
      <w:r w:rsidRPr="001B3C26">
        <w:t>Uredb</w:t>
      </w:r>
      <w:r>
        <w:t>a</w:t>
      </w:r>
      <w:r w:rsidRPr="001B3C26">
        <w:t xml:space="preserve"> (EU) št. 575/2013</w:t>
      </w:r>
      <w:r>
        <w:t xml:space="preserve"> Evropskega parlamenta in Sveta z dne 26. junija 2013 o bonitetnih zahtevah za kreditne institucije in investicijska podjetja ter o spremembi Uredbe (EU) št. 648/2012 (UL L št. 176 z dne 27. junija 2013, str. 1);</w:t>
      </w:r>
    </w:p>
    <w:p w:rsidR="00A2650A" w:rsidRPr="00934EDD" w:rsidRDefault="00A2650A" w:rsidP="000E213E">
      <w:pPr>
        <w:pStyle w:val="Odstavekseznama"/>
        <w:numPr>
          <w:ilvl w:val="0"/>
          <w:numId w:val="15"/>
        </w:numPr>
        <w:jc w:val="both"/>
      </w:pPr>
      <w:r>
        <w:t xml:space="preserve">Izvedbena uredba Komisije (EU) št. 680/2014 je Izvedbena uredba Komisije (EU) št. 680/2014 z dne </w:t>
      </w:r>
      <w:r w:rsidR="00537429">
        <w:t xml:space="preserve">16. aprila 2014 o določitvi izvedbenih tehničnih standardov v zvezi z nadzorniškim poročanjem institucij v skladu z Uredbo (EU) št. 575/2013 Evropskega parlamenta in </w:t>
      </w:r>
      <w:r w:rsidR="00537429" w:rsidRPr="00537429">
        <w:t>Sveta</w:t>
      </w:r>
      <w:r w:rsidR="00537429">
        <w:t xml:space="preserve"> (UL L št. 191 z dne 28. junija 2014, str. 1)</w:t>
      </w:r>
      <w:r w:rsidRPr="00537429">
        <w:t xml:space="preserve">, </w:t>
      </w:r>
      <w:r w:rsidR="00850CC1" w:rsidRPr="00934EDD">
        <w:t>zadnjič spremenjena z Izvedbeno uredbo Komisije (EU)</w:t>
      </w:r>
      <w:r w:rsidR="004E6D48" w:rsidRPr="00934EDD">
        <w:t xml:space="preserve"> št.</w:t>
      </w:r>
      <w:r w:rsidR="00850CC1" w:rsidRPr="00934EDD">
        <w:t xml:space="preserve"> 2017/</w:t>
      </w:r>
      <w:r w:rsidR="005435C5" w:rsidRPr="00934EDD">
        <w:t>1443</w:t>
      </w:r>
      <w:r w:rsidR="00850CC1" w:rsidRPr="00934EDD">
        <w:t xml:space="preserve"> z dne </w:t>
      </w:r>
      <w:r w:rsidR="005435C5" w:rsidRPr="00934EDD">
        <w:t>29</w:t>
      </w:r>
      <w:r w:rsidR="00850CC1" w:rsidRPr="00934EDD">
        <w:t xml:space="preserve">. </w:t>
      </w:r>
      <w:r w:rsidR="005435C5" w:rsidRPr="00934EDD">
        <w:t>junija</w:t>
      </w:r>
      <w:r w:rsidR="00850CC1" w:rsidRPr="00934EDD">
        <w:t xml:space="preserve"> 2017 (UL L št. </w:t>
      </w:r>
      <w:r w:rsidR="005435C5" w:rsidRPr="00934EDD">
        <w:t>213</w:t>
      </w:r>
      <w:r w:rsidR="00850CC1" w:rsidRPr="00934EDD">
        <w:t xml:space="preserve"> z dne </w:t>
      </w:r>
      <w:r w:rsidR="005435C5" w:rsidRPr="00934EDD">
        <w:t>17</w:t>
      </w:r>
      <w:r w:rsidR="00850CC1" w:rsidRPr="00934EDD">
        <w:t xml:space="preserve">. </w:t>
      </w:r>
      <w:r w:rsidR="005435C5" w:rsidRPr="00934EDD">
        <w:t>avgusta</w:t>
      </w:r>
      <w:r w:rsidR="00850CC1" w:rsidRPr="00934EDD">
        <w:t xml:space="preserve"> 2017, str. </w:t>
      </w:r>
      <w:r w:rsidR="005435C5" w:rsidRPr="00934EDD">
        <w:t>1</w:t>
      </w:r>
      <w:r w:rsidR="00850CC1" w:rsidRPr="00934EDD">
        <w:t>)</w:t>
      </w:r>
      <w:r w:rsidR="00041891" w:rsidRPr="00934EDD">
        <w:t>;</w:t>
      </w:r>
      <w:r w:rsidR="00850CC1" w:rsidRPr="00934EDD">
        <w:rPr>
          <w:rStyle w:val="Hiperpovezava"/>
        </w:rPr>
        <w:t xml:space="preserve"> </w:t>
      </w:r>
    </w:p>
    <w:p w:rsidR="00905467" w:rsidRDefault="00AA10AB" w:rsidP="000E213E">
      <w:pPr>
        <w:pStyle w:val="Odstavekseznama"/>
        <w:numPr>
          <w:ilvl w:val="0"/>
          <w:numId w:val="15"/>
        </w:numPr>
        <w:jc w:val="both"/>
      </w:pPr>
      <w:r>
        <w:t>Izvedbena</w:t>
      </w:r>
      <w:r w:rsidRPr="00905467">
        <w:t xml:space="preserve"> Uredb</w:t>
      </w:r>
      <w:r>
        <w:t>a</w:t>
      </w:r>
      <w:r w:rsidRPr="00905467">
        <w:t xml:space="preserve"> Komisije (EU) 2016/1799</w:t>
      </w:r>
      <w:r>
        <w:t xml:space="preserve"> je </w:t>
      </w:r>
      <w:r w:rsidR="00905467">
        <w:t>Izvedbena</w:t>
      </w:r>
      <w:r w:rsidR="00905467" w:rsidRPr="00905467">
        <w:t xml:space="preserve"> Uredb</w:t>
      </w:r>
      <w:r w:rsidR="00905467">
        <w:t>a</w:t>
      </w:r>
      <w:r w:rsidR="00905467" w:rsidRPr="00905467">
        <w:t xml:space="preserve"> Komisije (EU) 2016/1799 z dne 7. oktobra 2016 o določitvi izvedbenih</w:t>
      </w:r>
      <w:r w:rsidR="00905467" w:rsidRPr="005F60D7">
        <w:t xml:space="preserve"> tehničnih standardov v zvezi z vzporejanjem bonitetnih ocen zunanjih bonitetnih institucij za kreditno tveganje v skladu s členom 136(1) in (3) Uredbe (EU) št. 575/2013 Evropskega parlamenta in Sveta</w:t>
      </w:r>
      <w:r w:rsidR="000926F0">
        <w:t xml:space="preserve"> (UL L št. 275 z dne 12. </w:t>
      </w:r>
      <w:r w:rsidR="003953C3">
        <w:t>o</w:t>
      </w:r>
      <w:r w:rsidR="000926F0">
        <w:t>ktobra 2016</w:t>
      </w:r>
      <w:r w:rsidR="00CF3EF0">
        <w:t>, str. 3</w:t>
      </w:r>
      <w:r w:rsidR="000926F0">
        <w:t>);</w:t>
      </w:r>
    </w:p>
    <w:p w:rsidR="00430480" w:rsidRPr="007B2C5B" w:rsidRDefault="005107C2" w:rsidP="000E213E">
      <w:pPr>
        <w:pStyle w:val="Odstavekseznama"/>
        <w:numPr>
          <w:ilvl w:val="0"/>
          <w:numId w:val="15"/>
        </w:numPr>
        <w:jc w:val="both"/>
      </w:pPr>
      <w:r w:rsidRPr="007B2C5B">
        <w:t xml:space="preserve">Uredba CRA je Uredba (ES) št. 1060/2009 Evropskega parlamenta in Sveta </w:t>
      </w:r>
      <w:r w:rsidR="007B2C5B">
        <w:t xml:space="preserve">z dne 16. septembra 2009 </w:t>
      </w:r>
      <w:r w:rsidRPr="007B2C5B">
        <w:t>o bonitetnih agencijah (</w:t>
      </w:r>
      <w:r w:rsidR="00AA135D">
        <w:t xml:space="preserve">UL L št. 302 z dne </w:t>
      </w:r>
      <w:r w:rsidRPr="007B2C5B">
        <w:t>17. novembra 2009, str. 1)</w:t>
      </w:r>
      <w:r w:rsidR="00AA135D">
        <w:t>;</w:t>
      </w:r>
    </w:p>
    <w:p w:rsidR="00CB2CEE" w:rsidRPr="003E0CFE" w:rsidRDefault="00CB2CEE" w:rsidP="000E213E">
      <w:pPr>
        <w:pStyle w:val="Odstavekseznama"/>
        <w:numPr>
          <w:ilvl w:val="0"/>
          <w:numId w:val="15"/>
        </w:numPr>
        <w:jc w:val="both"/>
      </w:pPr>
      <w:r w:rsidRPr="003E0CFE">
        <w:t xml:space="preserve">Smernice </w:t>
      </w:r>
      <w:r w:rsidR="007A24E9" w:rsidRPr="003E0CFE">
        <w:t xml:space="preserve">EBA </w:t>
      </w:r>
      <w:r w:rsidRPr="003E0CFE">
        <w:t xml:space="preserve">o opredelitvi neplačila so Smernice o uporabi opredelitve neplačila </w:t>
      </w:r>
      <w:r w:rsidR="00406879">
        <w:t>iz člena</w:t>
      </w:r>
      <w:r>
        <w:t xml:space="preserve"> 178 Uredbe (EU) št. 575/2013</w:t>
      </w:r>
      <w:r w:rsidR="00CF3EF0">
        <w:t xml:space="preserve"> </w:t>
      </w:r>
      <w:r w:rsidR="00CF3EF0" w:rsidRPr="00C40D4A">
        <w:t>z dne</w:t>
      </w:r>
      <w:r w:rsidR="00C40D4A">
        <w:t xml:space="preserve"> </w:t>
      </w:r>
      <w:r w:rsidR="00406879">
        <w:t>18</w:t>
      </w:r>
      <w:r w:rsidR="00C40D4A">
        <w:t xml:space="preserve">. </w:t>
      </w:r>
      <w:r w:rsidR="00406879">
        <w:t>januarja</w:t>
      </w:r>
      <w:r w:rsidR="00C40D4A">
        <w:t xml:space="preserve"> 201</w:t>
      </w:r>
      <w:r w:rsidR="00406879">
        <w:t>7</w:t>
      </w:r>
      <w:r>
        <w:rPr>
          <w:i/>
        </w:rPr>
        <w:t xml:space="preserve">, </w:t>
      </w:r>
      <w:r w:rsidRPr="002C3148">
        <w:t xml:space="preserve">objavljene na spletni strani </w:t>
      </w:r>
      <w:hyperlink r:id="rId8" w:history="1">
        <w:r w:rsidR="002C3148" w:rsidRPr="003E0CFE">
          <w:rPr>
            <w:rStyle w:val="Hiperpovezava"/>
          </w:rPr>
          <w:t>https://www.eba.europa.eu/documents/10180/1721448/Guidelines+on+default+definition+(EBA-GL-2016-07)_SL.pdf/701978ab-47b5-41bd-80ff-82e315da4edc</w:t>
        </w:r>
      </w:hyperlink>
      <w:r w:rsidR="002C3148" w:rsidRPr="003E0CFE">
        <w:t>;</w:t>
      </w:r>
    </w:p>
    <w:p w:rsidR="00934EDD" w:rsidRDefault="00CB2573" w:rsidP="00BF4D81">
      <w:pPr>
        <w:pStyle w:val="Odstavekseznama"/>
        <w:numPr>
          <w:ilvl w:val="0"/>
          <w:numId w:val="15"/>
        </w:numPr>
        <w:jc w:val="both"/>
      </w:pPr>
      <w:r>
        <w:t xml:space="preserve">Smernice EBA o </w:t>
      </w:r>
      <w:r w:rsidRPr="00C2387B">
        <w:t>model</w:t>
      </w:r>
      <w:r>
        <w:t>u</w:t>
      </w:r>
      <w:r w:rsidRPr="00C2387B">
        <w:t xml:space="preserve"> pričakovanih </w:t>
      </w:r>
      <w:r>
        <w:t xml:space="preserve">kreditnih </w:t>
      </w:r>
      <w:r w:rsidRPr="00C2387B">
        <w:t>izgub</w:t>
      </w:r>
      <w:r>
        <w:t xml:space="preserve"> so S</w:t>
      </w:r>
      <w:r w:rsidRPr="00C2387B">
        <w:t>mernic</w:t>
      </w:r>
      <w:r>
        <w:t>e</w:t>
      </w:r>
      <w:r w:rsidRPr="00C2387B">
        <w:t xml:space="preserve"> </w:t>
      </w:r>
      <w:r w:rsidR="005435C5">
        <w:t>za</w:t>
      </w:r>
      <w:r>
        <w:t xml:space="preserve"> upravljanj</w:t>
      </w:r>
      <w:r w:rsidR="005435C5">
        <w:t>e</w:t>
      </w:r>
      <w:r>
        <w:t xml:space="preserve"> kreditnega tveganja in </w:t>
      </w:r>
      <w:r w:rsidR="005435C5">
        <w:t xml:space="preserve">obračunavanje </w:t>
      </w:r>
      <w:r w:rsidRPr="00C2387B">
        <w:t xml:space="preserve">pričakovanih </w:t>
      </w:r>
      <w:r>
        <w:t xml:space="preserve">kreditnih </w:t>
      </w:r>
      <w:r w:rsidRPr="00C2387B">
        <w:t>izgub</w:t>
      </w:r>
      <w:r w:rsidR="005435C5">
        <w:t xml:space="preserve"> v kreditnih institucijah</w:t>
      </w:r>
      <w:r w:rsidR="00CF3EF0">
        <w:t xml:space="preserve"> </w:t>
      </w:r>
      <w:r w:rsidR="00CF3EF0" w:rsidRPr="00934EDD">
        <w:t xml:space="preserve">z dne </w:t>
      </w:r>
      <w:r w:rsidR="005435C5" w:rsidRPr="00934EDD">
        <w:t>2</w:t>
      </w:r>
      <w:r w:rsidR="00607769">
        <w:t>0</w:t>
      </w:r>
      <w:r w:rsidR="005435C5" w:rsidRPr="00934EDD">
        <w:t xml:space="preserve">. </w:t>
      </w:r>
      <w:r w:rsidR="00607769">
        <w:t>septembra</w:t>
      </w:r>
      <w:r w:rsidR="005435C5" w:rsidRPr="00934EDD">
        <w:t xml:space="preserve"> 2017</w:t>
      </w:r>
      <w:r w:rsidR="00894F7D" w:rsidRPr="00934EDD">
        <w:t>,</w:t>
      </w:r>
      <w:r w:rsidR="006D30DC" w:rsidRPr="00934EDD">
        <w:t xml:space="preserve"> </w:t>
      </w:r>
      <w:r w:rsidR="00041891" w:rsidRPr="00934EDD">
        <w:t xml:space="preserve">objavljene na spletni </w:t>
      </w:r>
      <w:r w:rsidR="00934EDD">
        <w:t>strani:</w:t>
      </w:r>
    </w:p>
    <w:p w:rsidR="00CB2573" w:rsidRPr="00041891" w:rsidRDefault="005510B7" w:rsidP="00934EDD">
      <w:pPr>
        <w:pStyle w:val="Odstavekseznama"/>
        <w:jc w:val="both"/>
      </w:pPr>
      <w:hyperlink r:id="rId9" w:history="1">
        <w:r w:rsidR="00BF4D81" w:rsidRPr="006F74D2">
          <w:rPr>
            <w:rStyle w:val="Hiperpovezava"/>
          </w:rPr>
          <w:t>https://www.eba.europa.eu/documents/10180/1965596/Guidelines+on+Accounting+for+ECL+%28EBA-GL-2017-06%29_SL.pdf/a85278ee-9a65-441a-9a21-60d10bf93e25</w:t>
        </w:r>
      </w:hyperlink>
      <w:r w:rsidR="006D30DC" w:rsidRPr="00041891">
        <w:t>;</w:t>
      </w:r>
    </w:p>
    <w:p w:rsidR="00B0346F" w:rsidRDefault="003126B1" w:rsidP="00B0346F">
      <w:pPr>
        <w:pStyle w:val="Odstavekseznama"/>
        <w:numPr>
          <w:ilvl w:val="0"/>
          <w:numId w:val="15"/>
        </w:numPr>
        <w:jc w:val="both"/>
      </w:pPr>
      <w:r>
        <w:t>Napotki</w:t>
      </w:r>
      <w:r w:rsidR="00124D58">
        <w:t xml:space="preserve"> ECB </w:t>
      </w:r>
      <w:r w:rsidR="007A24E9">
        <w:t xml:space="preserve">o </w:t>
      </w:r>
      <w:r w:rsidR="00E57C0B">
        <w:t xml:space="preserve">NPL </w:t>
      </w:r>
      <w:r w:rsidR="007A24E9">
        <w:t>so</w:t>
      </w:r>
      <w:r>
        <w:rPr>
          <w:rStyle w:val="Naslovknjige"/>
        </w:rPr>
        <w:t xml:space="preserve"> </w:t>
      </w:r>
      <w:r w:rsidR="00124D58">
        <w:t>Napotki bankam v zvezi s slabimi posojili</w:t>
      </w:r>
      <w:r w:rsidR="00CF3EF0">
        <w:t xml:space="preserve"> z dne 20. marca 2017</w:t>
      </w:r>
      <w:r w:rsidR="00D7455A" w:rsidRPr="002C3148">
        <w:t>,</w:t>
      </w:r>
      <w:r w:rsidR="00C5378C" w:rsidRPr="002C3148">
        <w:t xml:space="preserve"> objavljen</w:t>
      </w:r>
      <w:r w:rsidR="00E57C0B">
        <w:t>i</w:t>
      </w:r>
      <w:r w:rsidR="00C5378C" w:rsidRPr="002C3148">
        <w:t xml:space="preserve"> na spletni strani</w:t>
      </w:r>
    </w:p>
    <w:p w:rsidR="007A24E9" w:rsidRDefault="005510B7" w:rsidP="00B0346F">
      <w:pPr>
        <w:pStyle w:val="Odstavekseznama"/>
        <w:jc w:val="both"/>
      </w:pPr>
      <w:hyperlink r:id="rId10" w:history="1">
        <w:r w:rsidR="003E0CFE" w:rsidRPr="007B219C">
          <w:rPr>
            <w:rStyle w:val="Hiperpovezava"/>
          </w:rPr>
          <w:t>https://www.bankingsupervision.europa.eu/ecb/pub/pdf/guidance_on_npl.sl.pdf?6a577105003e05b936c2e2c4fbbb9411</w:t>
        </w:r>
      </w:hyperlink>
      <w:r w:rsidR="00C5378C">
        <w:t>;</w:t>
      </w:r>
    </w:p>
    <w:p w:rsidR="00CF3EF0" w:rsidRDefault="0053223E" w:rsidP="000E213E">
      <w:pPr>
        <w:pStyle w:val="Odstavekseznama"/>
        <w:numPr>
          <w:ilvl w:val="0"/>
          <w:numId w:val="15"/>
        </w:numPr>
        <w:jc w:val="both"/>
      </w:pPr>
      <w:r>
        <w:t xml:space="preserve">Sklep o upravljanju kreditnega tveganja je Sklep o upravljanju kreditnega tveganja v bankah in hranilnicah </w:t>
      </w:r>
      <w:r w:rsidR="00EE7574" w:rsidRPr="00EE7574">
        <w:t xml:space="preserve">(Uradni list RS, št. </w:t>
      </w:r>
      <w:r w:rsidR="00CA0978">
        <w:t>68</w:t>
      </w:r>
      <w:r>
        <w:t>/17</w:t>
      </w:r>
      <w:r w:rsidR="00EE7574" w:rsidRPr="00EE7574">
        <w:t>)</w:t>
      </w:r>
      <w:r w:rsidR="00C40D4A">
        <w:t>;</w:t>
      </w:r>
    </w:p>
    <w:p w:rsidR="00C40D4A" w:rsidRDefault="00CF3EF0" w:rsidP="00CA0978">
      <w:pPr>
        <w:pStyle w:val="Odstavekseznama"/>
        <w:numPr>
          <w:ilvl w:val="0"/>
          <w:numId w:val="15"/>
        </w:numPr>
        <w:jc w:val="both"/>
      </w:pPr>
      <w:r w:rsidRPr="00C40D4A">
        <w:t>Smernic</w:t>
      </w:r>
      <w:r w:rsidR="00C40D4A" w:rsidRPr="00D40182">
        <w:t>e</w:t>
      </w:r>
      <w:r w:rsidRPr="00C40D4A">
        <w:t xml:space="preserve"> B</w:t>
      </w:r>
      <w:r w:rsidR="00C40D4A" w:rsidRPr="00D40182">
        <w:t>S</w:t>
      </w:r>
      <w:r w:rsidRPr="00C40D4A">
        <w:t xml:space="preserve"> </w:t>
      </w:r>
      <w:r w:rsidR="00406879">
        <w:t>za izračun</w:t>
      </w:r>
      <w:r w:rsidRPr="00C40D4A">
        <w:t xml:space="preserve"> stopnje neplačila</w:t>
      </w:r>
      <w:r w:rsidR="00C40D4A" w:rsidRPr="00D40182">
        <w:t xml:space="preserve"> in stopnje izgube so Smernice </w:t>
      </w:r>
      <w:r w:rsidR="00F758AA">
        <w:t>za izračun</w:t>
      </w:r>
      <w:r w:rsidR="00C40D4A" w:rsidRPr="00D40182">
        <w:t xml:space="preserve"> stopnje neplačila in stopnje izgube z dne 27. oktobra 2015, objavljen</w:t>
      </w:r>
      <w:r w:rsidR="00F758AA">
        <w:t>e</w:t>
      </w:r>
      <w:r w:rsidR="00C40D4A" w:rsidRPr="00D40182">
        <w:t xml:space="preserve"> na spletni </w:t>
      </w:r>
      <w:r w:rsidR="00CA0978" w:rsidRPr="00D40182">
        <w:t>s</w:t>
      </w:r>
      <w:r w:rsidR="00CA0978">
        <w:t xml:space="preserve">trani </w:t>
      </w:r>
      <w:hyperlink r:id="rId11" w:history="1">
        <w:r w:rsidR="00CA0978" w:rsidRPr="006F74D2">
          <w:rPr>
            <w:rStyle w:val="Hiperpovezava"/>
          </w:rPr>
          <w:t>https://www.bsi.si/financna-stabilnost/predpisi/seznam-predpisov/kreditno-tveganje/kreditno-tveganje-splosni-predpisi</w:t>
        </w:r>
      </w:hyperlink>
      <w:r w:rsidR="00253A4C">
        <w:t>;</w:t>
      </w:r>
    </w:p>
    <w:p w:rsidR="00253A4C" w:rsidRPr="00C40D4A" w:rsidRDefault="00253A4C" w:rsidP="00CA0978">
      <w:pPr>
        <w:pStyle w:val="Odstavekseznama"/>
        <w:numPr>
          <w:ilvl w:val="0"/>
          <w:numId w:val="15"/>
        </w:numPr>
        <w:jc w:val="both"/>
      </w:pPr>
      <w:r>
        <w:t xml:space="preserve">Uredba Sveta </w:t>
      </w:r>
      <w:r w:rsidRPr="001B3C26">
        <w:t xml:space="preserve">(EU) št. </w:t>
      </w:r>
      <w:r>
        <w:t>1024</w:t>
      </w:r>
      <w:r w:rsidRPr="001B3C26">
        <w:t>/2013</w:t>
      </w:r>
      <w:r>
        <w:t xml:space="preserve"> </w:t>
      </w:r>
      <w:r w:rsidR="00E25E11">
        <w:t xml:space="preserve"> je Uredba Sveta </w:t>
      </w:r>
      <w:r w:rsidR="00E25E11" w:rsidRPr="001B3C26">
        <w:t xml:space="preserve">(EU) št. </w:t>
      </w:r>
      <w:r w:rsidR="00E25E11">
        <w:t>1024</w:t>
      </w:r>
      <w:r w:rsidR="00E25E11" w:rsidRPr="001B3C26">
        <w:t>/2013</w:t>
      </w:r>
      <w:r w:rsidR="00E25E11">
        <w:t xml:space="preserve"> </w:t>
      </w:r>
      <w:r>
        <w:t>z dne 15. oktobra 2013 o prenosu posebnih nalog, ki se nanašajo na politike bonitetnega nadzora kreditnih institucij, na Evropsko centralno banko (UL L št. 287 z dne 29. oktobra 2013, str. 63).</w:t>
      </w:r>
    </w:p>
    <w:p w:rsidR="005107C2" w:rsidRDefault="005107C2" w:rsidP="005107C2">
      <w:pPr>
        <w:pStyle w:val="Odstavekseznama"/>
        <w:ind w:left="360"/>
        <w:jc w:val="both"/>
      </w:pPr>
    </w:p>
    <w:p w:rsidR="00A54A6A" w:rsidRDefault="00A54A6A" w:rsidP="000E213E">
      <w:pPr>
        <w:pStyle w:val="Odstavekseznama"/>
        <w:numPr>
          <w:ilvl w:val="0"/>
          <w:numId w:val="4"/>
        </w:numPr>
        <w:jc w:val="both"/>
      </w:pPr>
      <w:r>
        <w:t>Pojmi, uporabljeni v teh usmeritvah, imajo enak pomen kot v določbah MSRP 9</w:t>
      </w:r>
      <w:r w:rsidR="00430C9B">
        <w:t xml:space="preserve"> in Uredbi CRR.</w:t>
      </w:r>
    </w:p>
    <w:p w:rsidR="0045416A" w:rsidRDefault="0045416A" w:rsidP="0045416A">
      <w:pPr>
        <w:pStyle w:val="Odstavekseznama"/>
        <w:ind w:left="360"/>
        <w:jc w:val="both"/>
      </w:pPr>
    </w:p>
    <w:p w:rsidR="002B7724" w:rsidRPr="00D4157E" w:rsidRDefault="0045416A" w:rsidP="000E213E">
      <w:pPr>
        <w:pStyle w:val="Odstavekseznama"/>
        <w:numPr>
          <w:ilvl w:val="0"/>
          <w:numId w:val="4"/>
        </w:numPr>
        <w:ind w:left="357"/>
        <w:jc w:val="both"/>
      </w:pPr>
      <w:r w:rsidRPr="00D4157E">
        <w:t>Za namen</w:t>
      </w:r>
      <w:r w:rsidR="008160C2" w:rsidRPr="00D4157E">
        <w:t xml:space="preserve"> </w:t>
      </w:r>
      <w:r w:rsidR="00330C29" w:rsidRPr="00D4157E">
        <w:fldChar w:fldCharType="begin"/>
      </w:r>
      <w:r w:rsidR="008160C2" w:rsidRPr="00D4157E">
        <w:instrText xml:space="preserve"> REF _Ref345876382 \r \h </w:instrText>
      </w:r>
      <w:r w:rsidR="009E2072" w:rsidRPr="00D4157E">
        <w:instrText xml:space="preserve"> \* MERGEFORMAT </w:instrText>
      </w:r>
      <w:r w:rsidR="00330C29" w:rsidRPr="00D4157E">
        <w:fldChar w:fldCharType="separate"/>
      </w:r>
      <w:r w:rsidR="009C653A">
        <w:t>17</w:t>
      </w:r>
      <w:r w:rsidR="00330C29" w:rsidRPr="00D4157E">
        <w:fldChar w:fldCharType="end"/>
      </w:r>
      <w:r w:rsidR="008160C2" w:rsidRPr="00D4157E">
        <w:t>. in</w:t>
      </w:r>
      <w:r w:rsidRPr="00D4157E">
        <w:t xml:space="preserve"> </w:t>
      </w:r>
      <w:r w:rsidR="00330C29" w:rsidRPr="00D4157E">
        <w:fldChar w:fldCharType="begin"/>
      </w:r>
      <w:r w:rsidR="00113778" w:rsidRPr="00D4157E">
        <w:instrText xml:space="preserve"> REF _Ref345876101 \r \h </w:instrText>
      </w:r>
      <w:r w:rsidR="009E2072" w:rsidRPr="00D4157E">
        <w:instrText xml:space="preserve"> \* MERGEFORMAT </w:instrText>
      </w:r>
      <w:r w:rsidR="00330C29" w:rsidRPr="00D4157E">
        <w:fldChar w:fldCharType="separate"/>
      </w:r>
      <w:r w:rsidR="009C653A">
        <w:t>24</w:t>
      </w:r>
      <w:r w:rsidR="00330C29" w:rsidRPr="00D4157E">
        <w:fldChar w:fldCharType="end"/>
      </w:r>
      <w:r w:rsidR="00275C9A">
        <w:t xml:space="preserve">. do </w:t>
      </w:r>
      <w:r w:rsidR="00667E04">
        <w:fldChar w:fldCharType="begin"/>
      </w:r>
      <w:r w:rsidR="00667E04">
        <w:instrText xml:space="preserve"> REF _Ref479754577 \r \h </w:instrText>
      </w:r>
      <w:r w:rsidR="00667E04">
        <w:fldChar w:fldCharType="separate"/>
      </w:r>
      <w:r w:rsidR="009C653A">
        <w:t>30</w:t>
      </w:r>
      <w:r w:rsidR="00667E04">
        <w:fldChar w:fldCharType="end"/>
      </w:r>
      <w:r w:rsidR="00275C9A">
        <w:t>.</w:t>
      </w:r>
      <w:r w:rsidR="00113778" w:rsidRPr="00D4157E">
        <w:t xml:space="preserve"> odstavka </w:t>
      </w:r>
      <w:r w:rsidRPr="00D4157E">
        <w:t xml:space="preserve">teh usmeritev </w:t>
      </w:r>
      <w:r w:rsidR="00892E80" w:rsidRPr="00D4157E">
        <w:t>"bonitetna agencija</w:t>
      </w:r>
      <w:r w:rsidRPr="00D4157E">
        <w:t>" pomeni bonitetno agencijo</w:t>
      </w:r>
      <w:r w:rsidR="00892E80" w:rsidRPr="00D4157E">
        <w:t xml:space="preserve">, </w:t>
      </w:r>
      <w:r w:rsidRPr="00D4157E">
        <w:t xml:space="preserve">ki je </w:t>
      </w:r>
      <w:r w:rsidR="00892E80" w:rsidRPr="00D4157E">
        <w:t>registriran</w:t>
      </w:r>
      <w:r w:rsidRPr="00D4157E">
        <w:t xml:space="preserve">a ali </w:t>
      </w:r>
      <w:r w:rsidR="00892E80" w:rsidRPr="00D4157E">
        <w:t>certificiran</w:t>
      </w:r>
      <w:r w:rsidRPr="00D4157E">
        <w:t>a</w:t>
      </w:r>
      <w:r w:rsidR="00892E80" w:rsidRPr="00D4157E">
        <w:t xml:space="preserve"> v skladu z Uredbo CRA</w:t>
      </w:r>
      <w:r w:rsidRPr="00D4157E">
        <w:t>.</w:t>
      </w:r>
    </w:p>
    <w:p w:rsidR="00735F7D" w:rsidRDefault="00735F7D" w:rsidP="00735F7D">
      <w:pPr>
        <w:pStyle w:val="Odstavekseznama"/>
        <w:rPr>
          <w:strike/>
        </w:rPr>
      </w:pPr>
    </w:p>
    <w:p w:rsidR="0096047D" w:rsidRDefault="0096047D" w:rsidP="00735F7D">
      <w:pPr>
        <w:pStyle w:val="Odstavekseznama"/>
        <w:rPr>
          <w:strike/>
        </w:rPr>
      </w:pPr>
    </w:p>
    <w:p w:rsidR="00E71F5B" w:rsidRDefault="00E71F5B" w:rsidP="00735F7D">
      <w:pPr>
        <w:pStyle w:val="Odstavekseznama"/>
        <w:rPr>
          <w:strike/>
        </w:rPr>
      </w:pPr>
    </w:p>
    <w:p w:rsidR="003D6593" w:rsidRPr="009E2072" w:rsidRDefault="00C2387B" w:rsidP="0016450F">
      <w:pPr>
        <w:pStyle w:val="Odstavekseznama"/>
        <w:keepNext/>
        <w:numPr>
          <w:ilvl w:val="0"/>
          <w:numId w:val="3"/>
        </w:numPr>
        <w:ind w:left="811" w:hanging="454"/>
        <w:jc w:val="center"/>
        <w:rPr>
          <w:b/>
        </w:rPr>
      </w:pPr>
      <w:r w:rsidRPr="009E2072">
        <w:rPr>
          <w:b/>
        </w:rPr>
        <w:t xml:space="preserve">RAZVRŠČANJE IZPOSTAVLJENOSTI V SKUPINE ZA NAMEN OCENJEVANJA </w:t>
      </w:r>
      <w:r w:rsidR="007251AB" w:rsidRPr="009E2072">
        <w:rPr>
          <w:b/>
        </w:rPr>
        <w:t>KREDITNIH</w:t>
      </w:r>
      <w:r w:rsidR="005F3B87" w:rsidRPr="009E2072">
        <w:rPr>
          <w:b/>
        </w:rPr>
        <w:t xml:space="preserve"> </w:t>
      </w:r>
      <w:r w:rsidR="007251AB" w:rsidRPr="009E2072">
        <w:rPr>
          <w:b/>
        </w:rPr>
        <w:t>IZGUB</w:t>
      </w:r>
    </w:p>
    <w:p w:rsidR="00527192" w:rsidRPr="009E2072" w:rsidRDefault="00527192" w:rsidP="0016450F">
      <w:pPr>
        <w:keepNext/>
        <w:jc w:val="both"/>
      </w:pPr>
    </w:p>
    <w:p w:rsidR="00BE322D" w:rsidRPr="009E2072" w:rsidRDefault="00701709" w:rsidP="0016450F">
      <w:pPr>
        <w:pStyle w:val="Odstavekseznama"/>
        <w:keepNext/>
        <w:numPr>
          <w:ilvl w:val="0"/>
          <w:numId w:val="9"/>
        </w:numPr>
        <w:jc w:val="center"/>
        <w:rPr>
          <w:b/>
        </w:rPr>
      </w:pPr>
      <w:r w:rsidRPr="009E2072">
        <w:rPr>
          <w:b/>
        </w:rPr>
        <w:t xml:space="preserve">Splošno </w:t>
      </w:r>
    </w:p>
    <w:p w:rsidR="00BE322D" w:rsidRPr="009E2072" w:rsidRDefault="00BE322D" w:rsidP="0016450F">
      <w:pPr>
        <w:keepNext/>
        <w:jc w:val="center"/>
        <w:rPr>
          <w:b/>
        </w:rPr>
      </w:pPr>
    </w:p>
    <w:p w:rsidR="0035378C" w:rsidRPr="009E2072" w:rsidRDefault="0035378C" w:rsidP="0016450F">
      <w:pPr>
        <w:pStyle w:val="Odstavekseznama"/>
        <w:keepNext/>
        <w:numPr>
          <w:ilvl w:val="0"/>
          <w:numId w:val="4"/>
        </w:numPr>
        <w:jc w:val="both"/>
      </w:pPr>
      <w:r w:rsidRPr="007A549D">
        <w:rPr>
          <w:shd w:val="clear" w:color="auto" w:fill="FFFFFF" w:themeFill="background1"/>
        </w:rPr>
        <w:t xml:space="preserve">MSRP 9 v poglavjih 5.4 in 5.5 določa, da banka za namen </w:t>
      </w:r>
      <w:r w:rsidR="007251AB" w:rsidRPr="007A549D">
        <w:rPr>
          <w:shd w:val="clear" w:color="auto" w:fill="FFFFFF" w:themeFill="background1"/>
        </w:rPr>
        <w:t>ocenjevanja</w:t>
      </w:r>
      <w:r w:rsidRPr="007A549D">
        <w:rPr>
          <w:shd w:val="clear" w:color="auto" w:fill="FFFFFF" w:themeFill="background1"/>
        </w:rPr>
        <w:t xml:space="preserve"> kreditn</w:t>
      </w:r>
      <w:r w:rsidR="007251AB" w:rsidRPr="007A549D">
        <w:rPr>
          <w:shd w:val="clear" w:color="auto" w:fill="FFFFFF" w:themeFill="background1"/>
        </w:rPr>
        <w:t>ih</w:t>
      </w:r>
      <w:r w:rsidRPr="007A549D">
        <w:rPr>
          <w:shd w:val="clear" w:color="auto" w:fill="FFFFFF" w:themeFill="background1"/>
        </w:rPr>
        <w:t xml:space="preserve"> izgub finančna sredstva, merjena po odplačni vrednosti, finančna sredstva, merjena po pošteni vrednosti prek drugega vseobsegajočega donosa, terjatve iz najema ter zunajbilančne izpostavljenosti iz prevzetih kreditnih obveznosti in pogodb o finančnem poroštvu, za katere se uporabljajo zahteve glede oslabitv</w:t>
      </w:r>
      <w:r w:rsidR="007A549D" w:rsidRPr="007A549D">
        <w:rPr>
          <w:shd w:val="clear" w:color="auto" w:fill="FFFFFF" w:themeFill="background1"/>
        </w:rPr>
        <w:t>e</w:t>
      </w:r>
      <w:r w:rsidR="00AD461B" w:rsidRPr="007A549D">
        <w:rPr>
          <w:shd w:val="clear" w:color="auto" w:fill="FFFFFF" w:themeFill="background1"/>
        </w:rPr>
        <w:t xml:space="preserve"> </w:t>
      </w:r>
      <w:r w:rsidRPr="007A549D">
        <w:rPr>
          <w:shd w:val="clear" w:color="auto" w:fill="FFFFFF" w:themeFill="background1"/>
        </w:rPr>
        <w:t>(v nadaljevanju</w:t>
      </w:r>
      <w:r w:rsidRPr="009E2072">
        <w:t xml:space="preserve"> izpostavljenosti), po stanju na dan, za katerega banka poroča, razvrsti v eno izmed </w:t>
      </w:r>
      <w:r w:rsidR="00AD461B" w:rsidRPr="009E2072">
        <w:t>naslednjih</w:t>
      </w:r>
      <w:r w:rsidRPr="009E2072">
        <w:t xml:space="preserve"> skupin:</w:t>
      </w:r>
    </w:p>
    <w:p w:rsidR="00646EB4" w:rsidRPr="009E2072" w:rsidRDefault="00646EB4" w:rsidP="000E213E">
      <w:pPr>
        <w:pStyle w:val="Odstavekseznama"/>
        <w:numPr>
          <w:ilvl w:val="0"/>
          <w:numId w:val="27"/>
        </w:numPr>
        <w:jc w:val="both"/>
      </w:pPr>
      <w:r w:rsidRPr="009E2072">
        <w:t>izpostavljenosti, pri katerih še ni nastalo pomembno povečanje kreditnega tveganja in za kater</w:t>
      </w:r>
      <w:r w:rsidR="00FD2F36" w:rsidRPr="009E2072">
        <w:t>e</w:t>
      </w:r>
      <w:r w:rsidRPr="009E2072">
        <w:t xml:space="preserve"> se popravk</w:t>
      </w:r>
      <w:r w:rsidR="00AD461B" w:rsidRPr="009E2072">
        <w:t>i</w:t>
      </w:r>
      <w:r w:rsidRPr="009E2072">
        <w:t xml:space="preserve"> vrednosti oziroma rezervacij</w:t>
      </w:r>
      <w:r w:rsidR="00AD461B" w:rsidRPr="009E2072">
        <w:t>e</w:t>
      </w:r>
      <w:r w:rsidR="00763664" w:rsidRPr="009E2072">
        <w:t xml:space="preserve"> za kreditne izgube</w:t>
      </w:r>
      <w:r w:rsidRPr="009E2072">
        <w:t xml:space="preserve"> izmeri</w:t>
      </w:r>
      <w:r w:rsidR="00AD461B" w:rsidRPr="009E2072">
        <w:t>jo</w:t>
      </w:r>
      <w:r w:rsidRPr="009E2072">
        <w:t xml:space="preserve"> na podlagi pričakovanih kreditnih izgub v 12-mesečnem obdobju (v nadaljevanju skupina 1);</w:t>
      </w:r>
    </w:p>
    <w:p w:rsidR="00646EB4" w:rsidRPr="009E2072" w:rsidRDefault="00646EB4" w:rsidP="000E213E">
      <w:pPr>
        <w:pStyle w:val="Odstavekseznama"/>
        <w:numPr>
          <w:ilvl w:val="0"/>
          <w:numId w:val="27"/>
        </w:numPr>
        <w:jc w:val="both"/>
      </w:pPr>
      <w:r w:rsidRPr="009E2072">
        <w:t>izpostavljenosti, pri katerih se je kreditno tveganje v obdobju od začetnega pripoznanja do datuma, za katerega banka poroča, pomembno povečalo</w:t>
      </w:r>
      <w:r w:rsidR="00FB2870" w:rsidRPr="009E2072">
        <w:t xml:space="preserve"> in za kater</w:t>
      </w:r>
      <w:r w:rsidR="00FD2F36" w:rsidRPr="009E2072">
        <w:t>e</w:t>
      </w:r>
      <w:r w:rsidR="00FB2870" w:rsidRPr="009E2072">
        <w:t xml:space="preserve"> se poprav</w:t>
      </w:r>
      <w:r w:rsidR="00AD461B" w:rsidRPr="009E2072">
        <w:t>ki</w:t>
      </w:r>
      <w:r w:rsidR="00FB2870" w:rsidRPr="009E2072">
        <w:t xml:space="preserve"> vrednosti oziroma rezervacije</w:t>
      </w:r>
      <w:r w:rsidR="00763664" w:rsidRPr="009E2072">
        <w:t xml:space="preserve"> za kreditne izgube</w:t>
      </w:r>
      <w:r w:rsidR="00FB2870" w:rsidRPr="009E2072">
        <w:t xml:space="preserve"> izmeri</w:t>
      </w:r>
      <w:r w:rsidR="00AD461B" w:rsidRPr="009E2072">
        <w:t>jo</w:t>
      </w:r>
      <w:r w:rsidR="00FB2870" w:rsidRPr="009E2072">
        <w:t xml:space="preserve"> na podlagi pričakovanih kreditnih izgub v celotnem obdobju trajanja </w:t>
      </w:r>
      <w:r w:rsidRPr="009E2072">
        <w:t>(v nadaljevanju skupina 2);</w:t>
      </w:r>
    </w:p>
    <w:p w:rsidR="00646EB4" w:rsidRPr="009E2072" w:rsidRDefault="00103457" w:rsidP="000E213E">
      <w:pPr>
        <w:pStyle w:val="Odstavekseznama"/>
        <w:numPr>
          <w:ilvl w:val="0"/>
          <w:numId w:val="27"/>
        </w:numPr>
        <w:jc w:val="both"/>
      </w:pPr>
      <w:r w:rsidRPr="009E2072">
        <w:t>izpostavljenosti v položaju neplačila (v nadaljevanju skupina 3).</w:t>
      </w:r>
    </w:p>
    <w:p w:rsidR="000A2D9C" w:rsidRPr="009E2072" w:rsidRDefault="00C2387B" w:rsidP="000A2D9C">
      <w:pPr>
        <w:pStyle w:val="Odstavekseznama"/>
        <w:ind w:left="360"/>
        <w:jc w:val="both"/>
      </w:pPr>
      <w:r w:rsidRPr="009E2072">
        <w:t xml:space="preserve"> </w:t>
      </w:r>
    </w:p>
    <w:p w:rsidR="007B2897" w:rsidRPr="009E2072" w:rsidRDefault="007B2897" w:rsidP="007B2897">
      <w:pPr>
        <w:pStyle w:val="Odstavekseznama"/>
        <w:tabs>
          <w:tab w:val="left" w:pos="1276"/>
        </w:tabs>
        <w:ind w:left="360"/>
        <w:jc w:val="both"/>
      </w:pPr>
      <w:r w:rsidRPr="009E2072">
        <w:t xml:space="preserve">Pri razvrstitvi izpostavljenosti v skupino 1, 2 ali 3 banka ne upošteva kreditnih zavarovanj. </w:t>
      </w:r>
    </w:p>
    <w:p w:rsidR="007B2897" w:rsidRPr="009E2072" w:rsidRDefault="007B2897" w:rsidP="007B2897">
      <w:pPr>
        <w:pStyle w:val="Odstavekseznama"/>
        <w:tabs>
          <w:tab w:val="left" w:pos="1276"/>
        </w:tabs>
        <w:ind w:left="360"/>
        <w:jc w:val="both"/>
      </w:pPr>
    </w:p>
    <w:p w:rsidR="00C2387B" w:rsidRPr="009E2072" w:rsidRDefault="00C2387B" w:rsidP="000E213E">
      <w:pPr>
        <w:pStyle w:val="Odstavekseznama"/>
        <w:numPr>
          <w:ilvl w:val="0"/>
          <w:numId w:val="4"/>
        </w:numPr>
        <w:tabs>
          <w:tab w:val="left" w:pos="1276"/>
        </w:tabs>
        <w:jc w:val="both"/>
      </w:pPr>
      <w:bookmarkStart w:id="1" w:name="_Ref478376315"/>
      <w:r w:rsidRPr="009E2072">
        <w:t xml:space="preserve">V skupino 3 se razvrstijo vse izpostavljenosti, ki jih banka </w:t>
      </w:r>
      <w:r w:rsidR="000A2D9C" w:rsidRPr="009E2072">
        <w:t xml:space="preserve">v skladu s </w:t>
      </w:r>
      <w:r w:rsidR="0040149E" w:rsidRPr="009E2072">
        <w:t>členom</w:t>
      </w:r>
      <w:r w:rsidR="000A2D9C" w:rsidRPr="009E2072">
        <w:t xml:space="preserve"> B5.5.37 </w:t>
      </w:r>
      <w:r w:rsidR="00D104F1" w:rsidRPr="009E2072">
        <w:t xml:space="preserve">MSRP 9 </w:t>
      </w:r>
      <w:r w:rsidR="001F778A" w:rsidRPr="009E2072">
        <w:t xml:space="preserve">za namen notranjega </w:t>
      </w:r>
      <w:r w:rsidR="00AF17C9" w:rsidRPr="009E2072">
        <w:t>upravljanja</w:t>
      </w:r>
      <w:r w:rsidR="001F778A" w:rsidRPr="009E2072">
        <w:t xml:space="preserve"> kreditnega tveganja </w:t>
      </w:r>
      <w:r w:rsidR="000A2D9C" w:rsidRPr="009E2072">
        <w:t>opredeli kot</w:t>
      </w:r>
      <w:r w:rsidRPr="009E2072">
        <w:t xml:space="preserve"> neplačane izpostavljenosti, vključno z izpostavljenostmi, ki so </w:t>
      </w:r>
      <w:r w:rsidR="00CB2573" w:rsidRPr="009E2072">
        <w:t>opredeljene</w:t>
      </w:r>
      <w:r w:rsidRPr="009E2072">
        <w:t xml:space="preserve"> </w:t>
      </w:r>
      <w:r w:rsidR="00CB2573" w:rsidRPr="009E2072">
        <w:t xml:space="preserve">kot neplačane </w:t>
      </w:r>
      <w:r w:rsidR="001F778A" w:rsidRPr="009E2072">
        <w:t>izpostavljenosti</w:t>
      </w:r>
      <w:r w:rsidRPr="009E2072">
        <w:t xml:space="preserve"> </w:t>
      </w:r>
      <w:r w:rsidR="001F778A" w:rsidRPr="009E2072">
        <w:t xml:space="preserve">že </w:t>
      </w:r>
      <w:r w:rsidRPr="009E2072">
        <w:t>ob začetnem pripoznanju</w:t>
      </w:r>
      <w:r w:rsidR="00CB2573" w:rsidRPr="009E2072">
        <w:t xml:space="preserve">, </w:t>
      </w:r>
      <w:r w:rsidRPr="009E2072">
        <w:t>t</w:t>
      </w:r>
      <w:r w:rsidR="00D104F1" w:rsidRPr="009E2072">
        <w:t>.</w:t>
      </w:r>
      <w:r w:rsidR="003F3FDA" w:rsidRPr="009E2072">
        <w:t xml:space="preserve"> </w:t>
      </w:r>
      <w:r w:rsidRPr="009E2072">
        <w:t>i.</w:t>
      </w:r>
      <w:r w:rsidR="00C10FCE" w:rsidRPr="009E2072">
        <w:t xml:space="preserve"> kupljena ali izdana finančna sredstva s poslabšano kreditno kakovostjo</w:t>
      </w:r>
      <w:r w:rsidR="00CB2573" w:rsidRPr="009E2072">
        <w:t xml:space="preserve"> (</w:t>
      </w:r>
      <w:r w:rsidR="000A2D9C" w:rsidRPr="009E2072">
        <w:t>angl</w:t>
      </w:r>
      <w:r w:rsidR="00D104F1" w:rsidRPr="009E2072">
        <w:t>.</w:t>
      </w:r>
      <w:r w:rsidR="000A2D9C" w:rsidRPr="009E2072">
        <w:t xml:space="preserve"> </w:t>
      </w:r>
      <w:r w:rsidR="000A2D9C" w:rsidRPr="009E2072">
        <w:rPr>
          <w:i/>
          <w:lang w:val="en-US"/>
        </w:rPr>
        <w:t>purchased or originated credit-impaired financial assets</w:t>
      </w:r>
      <w:r w:rsidR="000E1781" w:rsidRPr="009E2072">
        <w:rPr>
          <w:lang w:val="en-US"/>
        </w:rPr>
        <w:t xml:space="preserve">; v </w:t>
      </w:r>
      <w:r w:rsidR="000E1781" w:rsidRPr="009E2072">
        <w:t xml:space="preserve">nadaljevanju </w:t>
      </w:r>
      <w:r w:rsidR="000A2D9C" w:rsidRPr="009E2072">
        <w:t>POCI</w:t>
      </w:r>
      <w:r w:rsidRPr="009E2072">
        <w:t xml:space="preserve">). V skladu </w:t>
      </w:r>
      <w:r w:rsidR="002311ED" w:rsidRPr="009E2072">
        <w:t xml:space="preserve">z </w:t>
      </w:r>
      <w:r w:rsidR="00EB03AC" w:rsidRPr="00CC72F6">
        <w:t>89. in 90. odstavkom</w:t>
      </w:r>
      <w:r w:rsidRPr="00CC72F6">
        <w:t xml:space="preserve"> </w:t>
      </w:r>
      <w:r w:rsidR="00EB03AC" w:rsidRPr="00CC72F6">
        <w:t>S</w:t>
      </w:r>
      <w:r w:rsidRPr="00CC72F6">
        <w:t xml:space="preserve">mernic </w:t>
      </w:r>
      <w:r w:rsidR="00717CA3" w:rsidRPr="00CC72F6">
        <w:t xml:space="preserve">EBA </w:t>
      </w:r>
      <w:r w:rsidR="001F778A" w:rsidRPr="00CC72F6">
        <w:t xml:space="preserve">o </w:t>
      </w:r>
      <w:r w:rsidRPr="00CC72F6">
        <w:t>model</w:t>
      </w:r>
      <w:r w:rsidR="00EB03AC" w:rsidRPr="00CC72F6">
        <w:t>u</w:t>
      </w:r>
      <w:r w:rsidRPr="00CC72F6">
        <w:t xml:space="preserve"> pričakovanih </w:t>
      </w:r>
      <w:r w:rsidR="00165536" w:rsidRPr="00CC72F6">
        <w:t xml:space="preserve">kreditnih </w:t>
      </w:r>
      <w:r w:rsidRPr="00CC72F6">
        <w:t>izgub</w:t>
      </w:r>
      <w:r w:rsidR="001F778A" w:rsidRPr="009E2072">
        <w:t xml:space="preserve"> </w:t>
      </w:r>
      <w:r w:rsidRPr="009E2072">
        <w:t xml:space="preserve">banka za namen te razvrstitve sledi </w:t>
      </w:r>
      <w:r w:rsidR="00AB79BD" w:rsidRPr="009E2072">
        <w:t xml:space="preserve">opredelitvi </w:t>
      </w:r>
      <w:r w:rsidRPr="009E2072">
        <w:t xml:space="preserve">neplačila iz </w:t>
      </w:r>
      <w:r w:rsidR="008A3306" w:rsidRPr="009E2072">
        <w:t>člena</w:t>
      </w:r>
      <w:r w:rsidR="00EB03AC" w:rsidRPr="009E2072">
        <w:t xml:space="preserve"> </w:t>
      </w:r>
      <w:r w:rsidR="0053347B">
        <w:t xml:space="preserve">178 </w:t>
      </w:r>
      <w:r w:rsidR="00EB03AC" w:rsidRPr="009E2072">
        <w:t xml:space="preserve">Uredbe </w:t>
      </w:r>
      <w:r w:rsidR="00E33A3A" w:rsidRPr="009E2072">
        <w:t>CRR</w:t>
      </w:r>
      <w:r w:rsidR="002E0C6E">
        <w:t>.</w:t>
      </w:r>
      <w:bookmarkEnd w:id="1"/>
      <w:r w:rsidR="004209A1" w:rsidRPr="009E2072">
        <w:t xml:space="preserve"> </w:t>
      </w:r>
      <w:r w:rsidR="008A3306" w:rsidRPr="009E2072">
        <w:t xml:space="preserve"> </w:t>
      </w:r>
    </w:p>
    <w:p w:rsidR="00C2387B" w:rsidRPr="009E2072" w:rsidRDefault="00C2387B" w:rsidP="00880507">
      <w:pPr>
        <w:pStyle w:val="Odstavekseznama"/>
        <w:ind w:left="360"/>
        <w:jc w:val="both"/>
      </w:pPr>
    </w:p>
    <w:p w:rsidR="00C2387B" w:rsidRPr="009E2072" w:rsidRDefault="00C2387B" w:rsidP="000E213E">
      <w:pPr>
        <w:pStyle w:val="Odstavekseznama"/>
        <w:numPr>
          <w:ilvl w:val="0"/>
          <w:numId w:val="4"/>
        </w:numPr>
        <w:jc w:val="both"/>
      </w:pPr>
      <w:r w:rsidRPr="009E2072">
        <w:t xml:space="preserve">Če ne gre za </w:t>
      </w:r>
      <w:r w:rsidR="00471310" w:rsidRPr="009E2072">
        <w:t>izpostavljenost</w:t>
      </w:r>
      <w:r w:rsidRPr="009E2072">
        <w:t xml:space="preserve"> iz prejšnjega odstavka, banka</w:t>
      </w:r>
      <w:r w:rsidR="00471310" w:rsidRPr="009E2072">
        <w:t xml:space="preserve"> izpostavljenost </w:t>
      </w:r>
      <w:r w:rsidRPr="009E2072">
        <w:t>ob začetnem pripoznanju razvrsti v skupino 1. Ob kasnejšem merjenju banka</w:t>
      </w:r>
      <w:r w:rsidR="005C2285" w:rsidRPr="009E2072">
        <w:t xml:space="preserve"> v skladu s </w:t>
      </w:r>
      <w:r w:rsidR="0040149E" w:rsidRPr="009E2072">
        <w:t>členom</w:t>
      </w:r>
      <w:r w:rsidR="005C2285" w:rsidRPr="009E2072">
        <w:t xml:space="preserve"> 5.5.9 MSRP 9</w:t>
      </w:r>
      <w:r w:rsidRPr="009E2072">
        <w:t xml:space="preserve"> oceni, ali se je kreditno tveganje </w:t>
      </w:r>
      <w:r w:rsidR="00471310" w:rsidRPr="009E2072">
        <w:t xml:space="preserve">izpostavljenosti </w:t>
      </w:r>
      <w:r w:rsidRPr="009E2072">
        <w:t>v obdobju od začetnega pripoznanja do</w:t>
      </w:r>
      <w:r w:rsidR="004209A1" w:rsidRPr="009E2072">
        <w:t xml:space="preserve"> datuma, za katerega banka poroča,</w:t>
      </w:r>
      <w:r w:rsidRPr="009E2072">
        <w:t xml:space="preserve"> </w:t>
      </w:r>
      <w:r w:rsidR="00471310" w:rsidRPr="009E2072">
        <w:t>pomembno</w:t>
      </w:r>
      <w:r w:rsidR="00C10FCE" w:rsidRPr="009E2072">
        <w:t xml:space="preserve"> </w:t>
      </w:r>
      <w:r w:rsidRPr="009E2072">
        <w:t xml:space="preserve">povečalo. Če </w:t>
      </w:r>
      <w:r w:rsidR="00AB79BD" w:rsidRPr="009E2072">
        <w:t xml:space="preserve">se kreditno tveganje ni </w:t>
      </w:r>
      <w:r w:rsidRPr="009E2072">
        <w:t>pomembno</w:t>
      </w:r>
      <w:r w:rsidR="004F22AD" w:rsidRPr="009E2072">
        <w:t xml:space="preserve"> </w:t>
      </w:r>
      <w:r w:rsidR="00AB79BD" w:rsidRPr="009E2072">
        <w:t xml:space="preserve">povečalo </w:t>
      </w:r>
      <w:r w:rsidR="004F22AD" w:rsidRPr="009E2072">
        <w:t xml:space="preserve">ali če gre za </w:t>
      </w:r>
      <w:r w:rsidR="00471310" w:rsidRPr="009E2072">
        <w:t xml:space="preserve">izpostavljenost </w:t>
      </w:r>
      <w:r w:rsidR="004F22AD" w:rsidRPr="009E2072">
        <w:t>z nizkim kreditnim tveganjem</w:t>
      </w:r>
      <w:r w:rsidRPr="009E2072">
        <w:t>,</w:t>
      </w:r>
      <w:r w:rsidR="005C2285" w:rsidRPr="009E2072">
        <w:t xml:space="preserve"> </w:t>
      </w:r>
      <w:r w:rsidR="00471310" w:rsidRPr="009E2072">
        <w:t xml:space="preserve">izpostavljenost </w:t>
      </w:r>
      <w:r w:rsidR="00863921" w:rsidRPr="009E2072">
        <w:t xml:space="preserve">v skladu s </w:t>
      </w:r>
      <w:r w:rsidR="0040149E" w:rsidRPr="009E2072">
        <w:t>členoma</w:t>
      </w:r>
      <w:r w:rsidR="00863921" w:rsidRPr="009E2072">
        <w:t xml:space="preserve"> 5.5.5 in 5.5.10 MSRP 9 </w:t>
      </w:r>
      <w:r w:rsidRPr="009E2072">
        <w:t xml:space="preserve">ostane v skupini </w:t>
      </w:r>
      <w:r w:rsidR="00BE322D" w:rsidRPr="009E2072">
        <w:t xml:space="preserve">1. </w:t>
      </w:r>
      <w:r w:rsidRPr="009E2072">
        <w:t xml:space="preserve">Če </w:t>
      </w:r>
      <w:r w:rsidR="00282B0B" w:rsidRPr="009E2072">
        <w:t xml:space="preserve">se </w:t>
      </w:r>
      <w:r w:rsidRPr="009E2072">
        <w:t xml:space="preserve">je </w:t>
      </w:r>
      <w:r w:rsidR="00471310" w:rsidRPr="009E2072">
        <w:t>kreditn</w:t>
      </w:r>
      <w:r w:rsidR="00282B0B" w:rsidRPr="009E2072">
        <w:t>o</w:t>
      </w:r>
      <w:r w:rsidR="00471310" w:rsidRPr="009E2072">
        <w:t xml:space="preserve"> tveganj</w:t>
      </w:r>
      <w:r w:rsidR="00282B0B" w:rsidRPr="009E2072">
        <w:t>e</w:t>
      </w:r>
      <w:r w:rsidRPr="009E2072">
        <w:t xml:space="preserve"> </w:t>
      </w:r>
      <w:r w:rsidR="00471310" w:rsidRPr="009E2072">
        <w:t>pomembno</w:t>
      </w:r>
      <w:r w:rsidR="00C10FCE" w:rsidRPr="009E2072">
        <w:t xml:space="preserve"> </w:t>
      </w:r>
      <w:r w:rsidR="00282B0B" w:rsidRPr="009E2072">
        <w:t xml:space="preserve">povečalo </w:t>
      </w:r>
      <w:r w:rsidRPr="009E2072">
        <w:t xml:space="preserve">in </w:t>
      </w:r>
      <w:r w:rsidR="00471310" w:rsidRPr="009E2072">
        <w:t xml:space="preserve">izpostavljenost </w:t>
      </w:r>
      <w:r w:rsidRPr="009E2072">
        <w:t xml:space="preserve">še ni </w:t>
      </w:r>
      <w:r w:rsidR="00FD2F36" w:rsidRPr="009E2072">
        <w:t xml:space="preserve">opredeljena </w:t>
      </w:r>
      <w:r w:rsidR="00471310" w:rsidRPr="009E2072">
        <w:t>kot neplačana</w:t>
      </w:r>
      <w:r w:rsidRPr="009E2072">
        <w:t xml:space="preserve">, banka </w:t>
      </w:r>
      <w:r w:rsidR="005C2285" w:rsidRPr="009E2072">
        <w:t xml:space="preserve">v skladu s </w:t>
      </w:r>
      <w:r w:rsidR="0040149E" w:rsidRPr="009E2072">
        <w:t>členom</w:t>
      </w:r>
      <w:r w:rsidR="005C2285" w:rsidRPr="009E2072">
        <w:t xml:space="preserve"> 5.5.3 MSRP 9 </w:t>
      </w:r>
      <w:r w:rsidR="00471310" w:rsidRPr="009E2072">
        <w:t xml:space="preserve">izpostavljenost </w:t>
      </w:r>
      <w:r w:rsidRPr="009E2072">
        <w:t xml:space="preserve">razvrsti v skupino 2. </w:t>
      </w:r>
    </w:p>
    <w:p w:rsidR="00C515AD" w:rsidRPr="009E2072" w:rsidRDefault="00C515AD" w:rsidP="008F2AB2">
      <w:pPr>
        <w:pStyle w:val="Odstavekseznama"/>
        <w:ind w:left="0"/>
        <w:jc w:val="both"/>
        <w:rPr>
          <w:b/>
        </w:rPr>
      </w:pPr>
    </w:p>
    <w:p w:rsidR="00863921" w:rsidRPr="009E2072" w:rsidRDefault="00863921" w:rsidP="008F2AB2">
      <w:pPr>
        <w:pStyle w:val="Odstavekseznama"/>
        <w:ind w:left="0"/>
        <w:jc w:val="both"/>
        <w:rPr>
          <w:b/>
        </w:rPr>
      </w:pPr>
    </w:p>
    <w:p w:rsidR="00C12BB8" w:rsidRPr="009E2072" w:rsidRDefault="008C5E91" w:rsidP="000E213E">
      <w:pPr>
        <w:pStyle w:val="Odstavekseznama"/>
        <w:numPr>
          <w:ilvl w:val="0"/>
          <w:numId w:val="9"/>
        </w:numPr>
        <w:jc w:val="center"/>
        <w:rPr>
          <w:b/>
        </w:rPr>
      </w:pPr>
      <w:r w:rsidRPr="009E2072">
        <w:rPr>
          <w:b/>
        </w:rPr>
        <w:t xml:space="preserve">Ocenjevanje </w:t>
      </w:r>
      <w:r w:rsidR="00471310" w:rsidRPr="009E2072">
        <w:rPr>
          <w:b/>
        </w:rPr>
        <w:t>pomembnega</w:t>
      </w:r>
      <w:r w:rsidRPr="009E2072">
        <w:rPr>
          <w:b/>
        </w:rPr>
        <w:t xml:space="preserve"> povečanja kreditnega tveganja</w:t>
      </w:r>
    </w:p>
    <w:p w:rsidR="003660F6" w:rsidRPr="009E2072" w:rsidRDefault="003660F6" w:rsidP="00CB2D0D">
      <w:pPr>
        <w:jc w:val="center"/>
        <w:rPr>
          <w:b/>
        </w:rPr>
      </w:pPr>
    </w:p>
    <w:p w:rsidR="00CB2D0D" w:rsidRPr="009E2072" w:rsidRDefault="00CB2D0D" w:rsidP="000E213E">
      <w:pPr>
        <w:pStyle w:val="Odstavekseznama"/>
        <w:numPr>
          <w:ilvl w:val="0"/>
          <w:numId w:val="4"/>
        </w:numPr>
        <w:jc w:val="both"/>
      </w:pPr>
      <w:r w:rsidRPr="009E2072">
        <w:t xml:space="preserve">Banka </w:t>
      </w:r>
      <w:r w:rsidR="00E854EE" w:rsidRPr="009E2072">
        <w:t xml:space="preserve">v skladu s </w:t>
      </w:r>
      <w:r w:rsidR="00F64875" w:rsidRPr="009E2072">
        <w:t>členom</w:t>
      </w:r>
      <w:r w:rsidR="00442DA0" w:rsidRPr="009E2072">
        <w:t xml:space="preserve"> 5.5.4</w:t>
      </w:r>
      <w:r w:rsidR="00E854EE" w:rsidRPr="009E2072">
        <w:t xml:space="preserve"> MSRP 9 </w:t>
      </w:r>
      <w:r w:rsidRPr="009E2072">
        <w:t xml:space="preserve">ocenjuje </w:t>
      </w:r>
      <w:r w:rsidR="00471310" w:rsidRPr="009E2072">
        <w:t>pomembno</w:t>
      </w:r>
      <w:r w:rsidRPr="009E2072">
        <w:t xml:space="preserve"> povečanje kreditnega tveganja z uporabo </w:t>
      </w:r>
      <w:r w:rsidR="00AC4B5A" w:rsidRPr="009E2072">
        <w:t>primernih</w:t>
      </w:r>
      <w:r w:rsidRPr="009E2072">
        <w:t xml:space="preserve"> in </w:t>
      </w:r>
      <w:r w:rsidR="00471310" w:rsidRPr="009E2072">
        <w:t>dokazljivih</w:t>
      </w:r>
      <w:r w:rsidRPr="009E2072">
        <w:t xml:space="preserve"> </w:t>
      </w:r>
      <w:r w:rsidR="007A1AE2" w:rsidRPr="009E2072">
        <w:t>informacij</w:t>
      </w:r>
      <w:r w:rsidR="008A1444" w:rsidRPr="009E2072">
        <w:rPr>
          <w:rStyle w:val="Sprotnaopomba-sklic"/>
        </w:rPr>
        <w:footnoteReference w:id="1"/>
      </w:r>
      <w:r w:rsidR="007A1AE2" w:rsidRPr="009E2072">
        <w:t xml:space="preserve"> na ravni posamezne</w:t>
      </w:r>
      <w:r w:rsidRPr="009E2072">
        <w:t xml:space="preserve"> </w:t>
      </w:r>
      <w:r w:rsidR="007A1AE2" w:rsidRPr="009E2072">
        <w:t>izpostavljenosti</w:t>
      </w:r>
      <w:r w:rsidRPr="009E2072">
        <w:t xml:space="preserve">. </w:t>
      </w:r>
      <w:r w:rsidR="00C51A61" w:rsidRPr="009E2072">
        <w:t xml:space="preserve">Pomembno povečanje kreditnega tveganja lahko banka </w:t>
      </w:r>
      <w:r w:rsidR="00E854EE" w:rsidRPr="009E2072">
        <w:t xml:space="preserve">v skladu s </w:t>
      </w:r>
      <w:r w:rsidR="00F64875" w:rsidRPr="009E2072">
        <w:t>členom</w:t>
      </w:r>
      <w:r w:rsidR="00E854EE" w:rsidRPr="009E2072">
        <w:t xml:space="preserve"> B5.5.16 MSRP 9 </w:t>
      </w:r>
      <w:r w:rsidR="00C51A61" w:rsidRPr="009E2072">
        <w:t xml:space="preserve">ocenjuje tudi na ravni skupine izpostavljenosti, vendar le v primeru, kadar primernih in dokazljivih informacij </w:t>
      </w:r>
      <w:r w:rsidR="009D4A97" w:rsidRPr="009E2072">
        <w:t xml:space="preserve">(dejavnikov ali kazalnikov) </w:t>
      </w:r>
      <w:r w:rsidR="00C51A61" w:rsidRPr="009E2072">
        <w:t>na ravni posamezne izpostavljenosti ni mogoče pridobiti brez pretiranih stroškov in prizadevanj</w:t>
      </w:r>
      <w:r w:rsidR="00C3734F" w:rsidRPr="009E2072">
        <w:t xml:space="preserve"> ali jih </w:t>
      </w:r>
      <w:r w:rsidR="0040149E" w:rsidRPr="009E2072">
        <w:t xml:space="preserve">na ravni posamezne izpostavljenosti </w:t>
      </w:r>
      <w:r w:rsidR="00C3734F" w:rsidRPr="009E2072">
        <w:t>ni mogoče oceniti.</w:t>
      </w:r>
      <w:r w:rsidR="00C51A61" w:rsidRPr="009E2072">
        <w:t xml:space="preserve"> </w:t>
      </w:r>
      <w:r w:rsidR="00195AD3" w:rsidRPr="009E2072">
        <w:t xml:space="preserve"> </w:t>
      </w:r>
      <w:r w:rsidRPr="009E2072">
        <w:t xml:space="preserve"> </w:t>
      </w:r>
    </w:p>
    <w:p w:rsidR="00CB2D0D" w:rsidRPr="009E2072" w:rsidRDefault="00CB2D0D" w:rsidP="008F2AB2">
      <w:pPr>
        <w:pStyle w:val="Odstavekseznama"/>
        <w:ind w:left="360"/>
        <w:jc w:val="both"/>
      </w:pPr>
    </w:p>
    <w:p w:rsidR="00CB2D0D" w:rsidRPr="009E2072" w:rsidRDefault="00CB2D0D" w:rsidP="000E213E">
      <w:pPr>
        <w:pStyle w:val="Odstavekseznama"/>
        <w:numPr>
          <w:ilvl w:val="0"/>
          <w:numId w:val="4"/>
        </w:numPr>
        <w:jc w:val="both"/>
      </w:pPr>
      <w:r w:rsidRPr="009E2072">
        <w:t xml:space="preserve">Banka vzpostavi ustrezno metodologijo </w:t>
      </w:r>
      <w:r w:rsidR="00433B1C" w:rsidRPr="009E2072">
        <w:t>ocenjevanja</w:t>
      </w:r>
      <w:r w:rsidRPr="009E2072">
        <w:t xml:space="preserve"> </w:t>
      </w:r>
      <w:r w:rsidR="00195AD3" w:rsidRPr="009E2072">
        <w:t>pomembnega</w:t>
      </w:r>
      <w:r w:rsidRPr="009E2072">
        <w:t xml:space="preserve"> povečanja kreditnega tveganja, ki temelji na vnaprej jasno opredeljenih kvantitativnih in kvalitativnih </w:t>
      </w:r>
      <w:r w:rsidR="00AB1C3C" w:rsidRPr="009E2072">
        <w:t>merilih</w:t>
      </w:r>
      <w:r w:rsidRPr="009E2072">
        <w:t xml:space="preserve">. Le-ti se lahko razlikujejo </w:t>
      </w:r>
      <w:r w:rsidR="00195AD3" w:rsidRPr="009E2072">
        <w:t>za</w:t>
      </w:r>
      <w:r w:rsidRPr="009E2072">
        <w:t xml:space="preserve"> posamezne </w:t>
      </w:r>
      <w:r w:rsidR="00195AD3" w:rsidRPr="009E2072">
        <w:t>skupine izpostavljenosti</w:t>
      </w:r>
      <w:r w:rsidR="00E31FEA" w:rsidRPr="009E2072">
        <w:t>, tj. ustrezne portfelje, skupine portfeljev ali dele portfelja</w:t>
      </w:r>
      <w:r w:rsidRPr="009E2072">
        <w:t>.</w:t>
      </w:r>
    </w:p>
    <w:p w:rsidR="00CB2D0D" w:rsidRPr="009E2072" w:rsidRDefault="00CB2D0D" w:rsidP="00CB2D0D">
      <w:pPr>
        <w:pStyle w:val="Odstavekseznama"/>
        <w:ind w:left="360"/>
        <w:jc w:val="both"/>
      </w:pPr>
    </w:p>
    <w:p w:rsidR="006417CD" w:rsidRDefault="006417CD" w:rsidP="000E213E">
      <w:pPr>
        <w:pStyle w:val="Odstavekseznama"/>
        <w:numPr>
          <w:ilvl w:val="0"/>
          <w:numId w:val="4"/>
        </w:numPr>
        <w:jc w:val="both"/>
      </w:pPr>
      <w:bookmarkStart w:id="2" w:name="_Ref471979646"/>
      <w:r w:rsidRPr="009E2072">
        <w:t>Banka lahko pri ocenjevanju pomembnega povečanja kreditnega tveganja upošteva relevanten seznam informacij iz člena B5.5.17 MSRP 9</w:t>
      </w:r>
      <w:r>
        <w:t xml:space="preserve">, predvsem </w:t>
      </w:r>
      <w:r w:rsidRPr="009E2072">
        <w:t>pa</w:t>
      </w:r>
      <w:r>
        <w:t xml:space="preserve"> naj upošteva:</w:t>
      </w:r>
    </w:p>
    <w:p w:rsidR="006417CD" w:rsidRDefault="006417CD" w:rsidP="00DA61D6">
      <w:pPr>
        <w:pStyle w:val="Odstavekseznama"/>
        <w:numPr>
          <w:ilvl w:val="0"/>
          <w:numId w:val="41"/>
        </w:numPr>
        <w:jc w:val="both"/>
      </w:pPr>
      <w:r w:rsidRPr="009E2072">
        <w:t>informacije</w:t>
      </w:r>
      <w:r>
        <w:t xml:space="preserve"> iz </w:t>
      </w:r>
      <w:r w:rsidR="000944E9" w:rsidRPr="00CC72F6">
        <w:t xml:space="preserve">107. in 108. </w:t>
      </w:r>
      <w:r w:rsidRPr="00CC72F6">
        <w:t>odstavka Smernic EBA o modelu pričakovanih kreditnih izgub</w:t>
      </w:r>
      <w:r>
        <w:t xml:space="preserve"> ter</w:t>
      </w:r>
    </w:p>
    <w:p w:rsidR="006417CD" w:rsidRPr="009E2072" w:rsidRDefault="006417CD" w:rsidP="00DA61D6">
      <w:pPr>
        <w:pStyle w:val="Odstavekseznama"/>
        <w:numPr>
          <w:ilvl w:val="0"/>
          <w:numId w:val="41"/>
        </w:numPr>
        <w:jc w:val="both"/>
      </w:pPr>
      <w:r>
        <w:t xml:space="preserve">informacije, pridobljene v okviru sistema zgodnjih opozoril za odkrivanje povečanega kreditnega tveganja iz </w:t>
      </w:r>
      <w:r w:rsidR="0053223E">
        <w:t>27. člena Sklepa o upravljanju kreditnega tveganja</w:t>
      </w:r>
      <w:r>
        <w:t xml:space="preserve"> ob upoštevanju </w:t>
      </w:r>
      <w:r w:rsidR="00D4157E">
        <w:t xml:space="preserve">Napotkov </w:t>
      </w:r>
      <w:r w:rsidRPr="00D20D73">
        <w:t xml:space="preserve">ECB o </w:t>
      </w:r>
      <w:r w:rsidR="00D4157E" w:rsidRPr="00D20D73">
        <w:t>NPL</w:t>
      </w:r>
      <w:r w:rsidR="00213203">
        <w:t>.</w:t>
      </w:r>
      <w:bookmarkEnd w:id="2"/>
    </w:p>
    <w:p w:rsidR="00CB2D0D" w:rsidRPr="009E2072" w:rsidRDefault="00CB2D0D" w:rsidP="00CB2D0D">
      <w:pPr>
        <w:pStyle w:val="Odstavekseznama"/>
        <w:ind w:left="1080"/>
        <w:jc w:val="both"/>
      </w:pPr>
    </w:p>
    <w:p w:rsidR="00CB2D0D" w:rsidRDefault="00CB2D0D" w:rsidP="000E213E">
      <w:pPr>
        <w:pStyle w:val="Odstavekseznama"/>
        <w:numPr>
          <w:ilvl w:val="0"/>
          <w:numId w:val="4"/>
        </w:numPr>
        <w:jc w:val="both"/>
      </w:pPr>
      <w:bookmarkStart w:id="3" w:name="_Ref471979656"/>
      <w:r w:rsidRPr="009E2072">
        <w:t xml:space="preserve">Ne glede na določbe </w:t>
      </w:r>
      <w:r w:rsidR="00105243" w:rsidRPr="009E2072">
        <w:t>prejšnjega</w:t>
      </w:r>
      <w:r w:rsidRPr="009E2072">
        <w:t xml:space="preserve"> odstavka</w:t>
      </w:r>
      <w:r w:rsidR="00E11DAC" w:rsidRPr="009E2072">
        <w:t xml:space="preserve"> </w:t>
      </w:r>
      <w:r w:rsidR="00105243" w:rsidRPr="009E2072">
        <w:t>pomembno</w:t>
      </w:r>
      <w:r w:rsidRPr="009E2072">
        <w:t xml:space="preserve"> </w:t>
      </w:r>
      <w:r w:rsidR="00105243" w:rsidRPr="009E2072">
        <w:t xml:space="preserve">povečanje </w:t>
      </w:r>
      <w:r w:rsidRPr="009E2072">
        <w:t xml:space="preserve">kreditnega tveganja </w:t>
      </w:r>
      <w:r w:rsidR="00E11DAC" w:rsidRPr="009E2072">
        <w:t xml:space="preserve">izpostavljenosti </w:t>
      </w:r>
      <w:r w:rsidR="00E659CB" w:rsidRPr="009E2072">
        <w:t xml:space="preserve">od </w:t>
      </w:r>
      <w:r w:rsidR="00E11DAC" w:rsidRPr="009E2072">
        <w:t xml:space="preserve">njenega </w:t>
      </w:r>
      <w:r w:rsidR="00E659CB" w:rsidRPr="009E2072">
        <w:t xml:space="preserve">začetnega pripoznanja </w:t>
      </w:r>
      <w:r w:rsidR="00105243" w:rsidRPr="009E2072">
        <w:t xml:space="preserve">nastane </w:t>
      </w:r>
      <w:r w:rsidR="00AA2A34" w:rsidRPr="009E2072">
        <w:t>najkasneje</w:t>
      </w:r>
      <w:r w:rsidR="00A202D8" w:rsidRPr="009E2072">
        <w:t>,</w:t>
      </w:r>
      <w:r w:rsidRPr="009E2072">
        <w:t xml:space="preserve"> k</w:t>
      </w:r>
      <w:r w:rsidR="00AA2A34" w:rsidRPr="009E2072">
        <w:t>o</w:t>
      </w:r>
      <w:r w:rsidRPr="009E2072">
        <w:t>:</w:t>
      </w:r>
      <w:bookmarkEnd w:id="3"/>
    </w:p>
    <w:p w:rsidR="0030612C" w:rsidRDefault="00105243" w:rsidP="00253A4C">
      <w:pPr>
        <w:pStyle w:val="Odstavekseznama"/>
        <w:numPr>
          <w:ilvl w:val="0"/>
          <w:numId w:val="26"/>
        </w:numPr>
        <w:jc w:val="both"/>
      </w:pPr>
      <w:r w:rsidRPr="009E2072">
        <w:t xml:space="preserve">dolžnik </w:t>
      </w:r>
      <w:r w:rsidR="00BC0BB6" w:rsidRPr="009E2072">
        <w:t xml:space="preserve">s pomembnim zneskom </w:t>
      </w:r>
      <w:r w:rsidRPr="009E2072">
        <w:t xml:space="preserve">zamuja pri odplačevanju dolga po posamezni izpostavljenosti več kot 30 dni, </w:t>
      </w:r>
      <w:r w:rsidR="00384A7F" w:rsidRPr="009E2072">
        <w:t xml:space="preserve">razen izjem iz </w:t>
      </w:r>
      <w:r w:rsidR="00384A7F" w:rsidRPr="009E2072">
        <w:fldChar w:fldCharType="begin"/>
      </w:r>
      <w:r w:rsidR="00384A7F" w:rsidRPr="009E2072">
        <w:instrText xml:space="preserve"> REF _Ref471916476 \r \h  \* MERGEFORMAT </w:instrText>
      </w:r>
      <w:r w:rsidR="00384A7F" w:rsidRPr="009E2072">
        <w:fldChar w:fldCharType="separate"/>
      </w:r>
      <w:r w:rsidR="009C653A">
        <w:t>14</w:t>
      </w:r>
      <w:r w:rsidR="00384A7F" w:rsidRPr="009E2072">
        <w:fldChar w:fldCharType="end"/>
      </w:r>
      <w:r w:rsidR="00384A7F" w:rsidRPr="009E2072">
        <w:t>. odstavka teh usmeritev</w:t>
      </w:r>
      <w:r w:rsidR="00384A7F">
        <w:t>. Za namen</w:t>
      </w:r>
      <w:r w:rsidR="00384A7F" w:rsidRPr="009E2072">
        <w:t xml:space="preserve"> </w:t>
      </w:r>
      <w:r w:rsidR="00384A7F">
        <w:t>štetja števila dni zamud</w:t>
      </w:r>
      <w:r w:rsidR="009A6C12">
        <w:t>e</w:t>
      </w:r>
      <w:r w:rsidR="00384A7F">
        <w:t xml:space="preserve"> </w:t>
      </w:r>
      <w:r w:rsidR="00D5393C">
        <w:t xml:space="preserve">na ravni posamezne izpostavljenosti </w:t>
      </w:r>
      <w:r w:rsidR="00384A7F">
        <w:t xml:space="preserve">se </w:t>
      </w:r>
      <w:r w:rsidR="00150F00" w:rsidRPr="00A925DB">
        <w:t>smiselno</w:t>
      </w:r>
      <w:r w:rsidR="00150F00">
        <w:t xml:space="preserve"> </w:t>
      </w:r>
      <w:r w:rsidR="00384A7F">
        <w:t xml:space="preserve">upošteva opredelitev pomembne kreditne obveznosti v zamudi iz vrednostnega podatka </w:t>
      </w:r>
      <w:r w:rsidR="00D5393C">
        <w:t xml:space="preserve">pod </w:t>
      </w:r>
      <w:r w:rsidR="00384A7F">
        <w:t>zaporedn</w:t>
      </w:r>
      <w:r w:rsidR="00D5393C">
        <w:t>o</w:t>
      </w:r>
      <w:r w:rsidR="00384A7F">
        <w:t xml:space="preserve"> številk</w:t>
      </w:r>
      <w:r w:rsidR="00D5393C">
        <w:t>o</w:t>
      </w:r>
      <w:r w:rsidR="00384A7F">
        <w:t xml:space="preserve"> </w:t>
      </w:r>
      <w:r w:rsidR="00384A7F" w:rsidRPr="00AA493E">
        <w:rPr>
          <w:bCs/>
          <w:i/>
          <w:iCs/>
        </w:rPr>
        <w:t>117. Število dni pomembne zamude na nivoju celotne izpostavljenosti do dolžnika</w:t>
      </w:r>
      <w:r w:rsidR="00384A7F" w:rsidRPr="00AA493E">
        <w:rPr>
          <w:b/>
          <w:bCs/>
          <w:iCs/>
        </w:rPr>
        <w:t xml:space="preserve"> </w:t>
      </w:r>
      <w:r w:rsidR="00384A7F" w:rsidRPr="00AA493E">
        <w:rPr>
          <w:bCs/>
          <w:iCs/>
        </w:rPr>
        <w:t xml:space="preserve">veljavnega </w:t>
      </w:r>
      <w:r w:rsidR="00384A7F">
        <w:t>Navodila za izvajanje Sklepa o poročanju monetarnih finančnih institucij, ki je objavljen na spletni strani Banke Slovenije</w:t>
      </w:r>
      <w:r w:rsidR="00253A4C" w:rsidRPr="00253A4C">
        <w:t xml:space="preserve"> </w:t>
      </w:r>
      <w:hyperlink r:id="rId12" w:history="1">
        <w:r w:rsidR="00253A4C" w:rsidRPr="006F74D2">
          <w:rPr>
            <w:rStyle w:val="Hiperpovezava"/>
          </w:rPr>
          <w:t>https://www.bsi.si/porocanje/porocanje-banki-slovenije/porocila/porocanje-monetarnih-financnih-institucij</w:t>
        </w:r>
      </w:hyperlink>
      <w:r w:rsidR="00253A4C">
        <w:t xml:space="preserve">; </w:t>
      </w:r>
    </w:p>
    <w:p w:rsidR="000D0CAE" w:rsidRDefault="005C16E9" w:rsidP="000E213E">
      <w:pPr>
        <w:pStyle w:val="Odstavekseznama"/>
        <w:numPr>
          <w:ilvl w:val="0"/>
          <w:numId w:val="26"/>
        </w:numPr>
        <w:jc w:val="both"/>
      </w:pPr>
      <w:r w:rsidRPr="009E2072">
        <w:t>se</w:t>
      </w:r>
      <w:r w:rsidR="00CB2D0D" w:rsidRPr="009E2072">
        <w:t xml:space="preserve"> spreme</w:t>
      </w:r>
      <w:r w:rsidRPr="009E2072">
        <w:t>nijo</w:t>
      </w:r>
      <w:r w:rsidR="00CB2D0D" w:rsidRPr="009E2072">
        <w:t xml:space="preserve"> pogoj</w:t>
      </w:r>
      <w:r w:rsidRPr="009E2072">
        <w:t>i</w:t>
      </w:r>
      <w:r w:rsidR="00E11DAC" w:rsidRPr="009E2072">
        <w:t xml:space="preserve"> odplačevanja</w:t>
      </w:r>
      <w:r w:rsidR="00CB2D0D" w:rsidRPr="009E2072">
        <w:t xml:space="preserve"> zaradi nezmožnosti dolžnika odplačevati dolg pod prvotno dogovorjenimi pogoji, ne da bi pri tem pri</w:t>
      </w:r>
      <w:r w:rsidR="00526BCE" w:rsidRPr="009E2072">
        <w:t>šlo do pomembnega odpusta dolga</w:t>
      </w:r>
      <w:r w:rsidR="00E11DAC" w:rsidRPr="009E2072">
        <w:t>,</w:t>
      </w:r>
      <w:r w:rsidR="008534DB" w:rsidRPr="009E2072">
        <w:t xml:space="preserve"> ter </w:t>
      </w:r>
      <w:r w:rsidR="00E11DAC" w:rsidRPr="009E2072">
        <w:t xml:space="preserve">je </w:t>
      </w:r>
      <w:r w:rsidR="008534DB" w:rsidRPr="009E2072">
        <w:t xml:space="preserve">posledično </w:t>
      </w:r>
      <w:r w:rsidR="00E11DAC" w:rsidRPr="009E2072">
        <w:t>izpostavljenost</w:t>
      </w:r>
      <w:r w:rsidR="00526BCE" w:rsidRPr="009E2072">
        <w:t xml:space="preserve"> </w:t>
      </w:r>
      <w:r w:rsidR="00CB2D0D" w:rsidRPr="009E2072">
        <w:t xml:space="preserve">v skladu z Izvedbeno uredbo Komisije (EU) št. 680/2014 </w:t>
      </w:r>
      <w:r w:rsidR="00E11DAC" w:rsidRPr="009E2072">
        <w:t>opredeljena kot</w:t>
      </w:r>
      <w:r w:rsidR="00CB2D0D" w:rsidRPr="009E2072">
        <w:t xml:space="preserve"> donosn</w:t>
      </w:r>
      <w:r w:rsidR="00E11DAC" w:rsidRPr="009E2072">
        <w:t>a</w:t>
      </w:r>
      <w:r w:rsidR="008534DB" w:rsidRPr="009E2072">
        <w:t xml:space="preserve"> restrukturiran</w:t>
      </w:r>
      <w:r w:rsidR="00E11DAC" w:rsidRPr="009E2072">
        <w:t>a</w:t>
      </w:r>
      <w:r w:rsidR="00CB2D0D" w:rsidRPr="009E2072">
        <w:t xml:space="preserve"> izpostavljenost</w:t>
      </w:r>
      <w:r w:rsidR="0056503E">
        <w:t>.</w:t>
      </w:r>
    </w:p>
    <w:p w:rsidR="00CB2D0D" w:rsidRPr="009E2072" w:rsidRDefault="00CB2D0D" w:rsidP="00CB2D0D">
      <w:pPr>
        <w:pStyle w:val="Odstavekseznama"/>
        <w:jc w:val="both"/>
      </w:pPr>
    </w:p>
    <w:p w:rsidR="00CB2D0D" w:rsidRPr="009E2072" w:rsidRDefault="004B06F9" w:rsidP="000E213E">
      <w:pPr>
        <w:pStyle w:val="Odstavekseznama"/>
        <w:numPr>
          <w:ilvl w:val="0"/>
          <w:numId w:val="4"/>
        </w:numPr>
        <w:jc w:val="both"/>
      </w:pPr>
      <w:bookmarkStart w:id="4" w:name="_Ref471916476"/>
      <w:r w:rsidRPr="009E2072">
        <w:t>Ne glede na točko</w:t>
      </w:r>
      <w:r w:rsidR="00CB2D0D" w:rsidRPr="009E2072">
        <w:t xml:space="preserve"> </w:t>
      </w:r>
      <w:r w:rsidR="0030612C">
        <w:t>(</w:t>
      </w:r>
      <w:r w:rsidR="00CB2D0D" w:rsidRPr="009E2072">
        <w:t>a</w:t>
      </w:r>
      <w:r w:rsidR="0028772F" w:rsidRPr="009E2072">
        <w:t>)</w:t>
      </w:r>
      <w:r w:rsidR="00805FD3" w:rsidRPr="009E2072">
        <w:t xml:space="preserve"> prejšnjega odstavka </w:t>
      </w:r>
      <w:r w:rsidRPr="009E2072">
        <w:t>lahko banka</w:t>
      </w:r>
      <w:r w:rsidR="00CB2D0D" w:rsidRPr="009E2072">
        <w:t xml:space="preserve"> </w:t>
      </w:r>
      <w:r w:rsidR="000D003D" w:rsidRPr="009E2072">
        <w:t>zamud</w:t>
      </w:r>
      <w:r w:rsidR="00FC28CD" w:rsidRPr="009E2072">
        <w:t>e</w:t>
      </w:r>
      <w:r w:rsidR="000D003D" w:rsidRPr="009E2072">
        <w:t>, ki presega</w:t>
      </w:r>
      <w:r w:rsidR="00FC28CD" w:rsidRPr="009E2072">
        <w:t>jo</w:t>
      </w:r>
      <w:r w:rsidR="000D003D" w:rsidRPr="009E2072">
        <w:t xml:space="preserve"> 30 dni, </w:t>
      </w:r>
      <w:r w:rsidR="007F7DD1" w:rsidRPr="009E2072">
        <w:t xml:space="preserve">izjemoma </w:t>
      </w:r>
      <w:r w:rsidR="000D003D" w:rsidRPr="009E2072">
        <w:t xml:space="preserve">obravnava kot </w:t>
      </w:r>
      <w:r w:rsidRPr="009E2072">
        <w:t>nepomembno</w:t>
      </w:r>
      <w:r w:rsidR="000D003D" w:rsidRPr="009E2072">
        <w:t xml:space="preserve"> povečanje kreditnega tveganja</w:t>
      </w:r>
      <w:r w:rsidRPr="009E2072">
        <w:t>, če</w:t>
      </w:r>
      <w:r w:rsidR="00CB2D0D" w:rsidRPr="009E2072">
        <w:t>:</w:t>
      </w:r>
      <w:bookmarkEnd w:id="4"/>
    </w:p>
    <w:p w:rsidR="00CB2D0D" w:rsidRPr="009E2072" w:rsidRDefault="00CB2D0D" w:rsidP="000E213E">
      <w:pPr>
        <w:pStyle w:val="Odstavekseznama"/>
        <w:numPr>
          <w:ilvl w:val="0"/>
          <w:numId w:val="25"/>
        </w:numPr>
        <w:jc w:val="both"/>
      </w:pPr>
      <w:r w:rsidRPr="009E2072">
        <w:t xml:space="preserve">zamuda pri </w:t>
      </w:r>
      <w:r w:rsidR="000E1781" w:rsidRPr="009E2072">
        <w:t>od</w:t>
      </w:r>
      <w:r w:rsidRPr="009E2072">
        <w:t>plačilu</w:t>
      </w:r>
      <w:r w:rsidR="00805FD3" w:rsidRPr="009E2072">
        <w:t xml:space="preserve"> </w:t>
      </w:r>
      <w:r w:rsidR="000E1781" w:rsidRPr="009E2072">
        <w:t xml:space="preserve">posameznega </w:t>
      </w:r>
      <w:r w:rsidR="00FC28CD" w:rsidRPr="009E2072">
        <w:t>dolga</w:t>
      </w:r>
      <w:r w:rsidRPr="009E2072">
        <w:t xml:space="preserve"> </w:t>
      </w:r>
      <w:r w:rsidR="000D003D" w:rsidRPr="009E2072">
        <w:t xml:space="preserve">nastane </w:t>
      </w:r>
      <w:r w:rsidRPr="009E2072">
        <w:t xml:space="preserve">zaradi tehničnih situacij, opredeljenih v točkah </w:t>
      </w:r>
      <w:r w:rsidR="0030612C">
        <w:t>(</w:t>
      </w:r>
      <w:r w:rsidRPr="009E2072">
        <w:t xml:space="preserve">a), </w:t>
      </w:r>
      <w:r w:rsidR="0030612C">
        <w:t>(</w:t>
      </w:r>
      <w:r w:rsidRPr="009E2072">
        <w:t xml:space="preserve">b) in </w:t>
      </w:r>
      <w:r w:rsidR="0030612C">
        <w:t>(</w:t>
      </w:r>
      <w:r w:rsidRPr="009E2072">
        <w:t xml:space="preserve">c) 23. odstavka Smernic </w:t>
      </w:r>
      <w:r w:rsidR="00FC28CD" w:rsidRPr="009E2072">
        <w:t xml:space="preserve">EBA </w:t>
      </w:r>
      <w:r w:rsidRPr="009E2072">
        <w:t xml:space="preserve">o opredelitvi neplačila, pri čemer se v točki </w:t>
      </w:r>
      <w:r w:rsidR="0030612C">
        <w:t>(</w:t>
      </w:r>
      <w:r w:rsidRPr="009E2072">
        <w:t xml:space="preserve">c) </w:t>
      </w:r>
      <w:r w:rsidR="00FC28CD" w:rsidRPr="009E2072">
        <w:t xml:space="preserve">navedenih </w:t>
      </w:r>
      <w:r w:rsidR="00722B66" w:rsidRPr="009E2072">
        <w:t>s</w:t>
      </w:r>
      <w:r w:rsidR="000D003D" w:rsidRPr="009E2072">
        <w:t xml:space="preserve">mernic </w:t>
      </w:r>
      <w:r w:rsidRPr="009E2072">
        <w:t xml:space="preserve">namesto 90 </w:t>
      </w:r>
      <w:r w:rsidR="00FC28CD" w:rsidRPr="009E2072">
        <w:t xml:space="preserve">dni </w:t>
      </w:r>
      <w:r w:rsidRPr="009E2072">
        <w:t>upošteva 30 dni zamude</w:t>
      </w:r>
      <w:r w:rsidR="004B06F9" w:rsidRPr="009E2072">
        <w:t>;</w:t>
      </w:r>
    </w:p>
    <w:p w:rsidR="00CB2D0D" w:rsidRPr="009E2072" w:rsidRDefault="00CB2D0D" w:rsidP="000E213E">
      <w:pPr>
        <w:pStyle w:val="Odstavekseznama"/>
        <w:numPr>
          <w:ilvl w:val="0"/>
          <w:numId w:val="25"/>
        </w:numPr>
        <w:jc w:val="both"/>
      </w:pPr>
      <w:r w:rsidRPr="009E2072">
        <w:t xml:space="preserve">na podlagi drugih razpoložljivih informacij dokaže, da zamuda </w:t>
      </w:r>
      <w:r w:rsidR="000D003D" w:rsidRPr="009E2072">
        <w:t xml:space="preserve">več kot 30 dni </w:t>
      </w:r>
      <w:r w:rsidRPr="009E2072">
        <w:t xml:space="preserve">pri </w:t>
      </w:r>
      <w:r w:rsidR="000E1781" w:rsidRPr="009E2072">
        <w:t>od</w:t>
      </w:r>
      <w:r w:rsidRPr="009E2072">
        <w:t xml:space="preserve">plačilu </w:t>
      </w:r>
      <w:r w:rsidR="000E1781" w:rsidRPr="009E2072">
        <w:t>posameznega dolga</w:t>
      </w:r>
      <w:r w:rsidR="000D003D" w:rsidRPr="009E2072">
        <w:t xml:space="preserve"> </w:t>
      </w:r>
      <w:r w:rsidRPr="009E2072">
        <w:t xml:space="preserve">ni nastala zaradi </w:t>
      </w:r>
      <w:r w:rsidR="004B06F9" w:rsidRPr="009E2072">
        <w:t>pomembnega</w:t>
      </w:r>
      <w:r w:rsidRPr="009E2072">
        <w:t xml:space="preserve"> povečanja kreditnega tveganja</w:t>
      </w:r>
      <w:r w:rsidR="004B06F9" w:rsidRPr="009E2072">
        <w:t>.</w:t>
      </w:r>
      <w:r w:rsidRPr="009E2072">
        <w:t xml:space="preserve">  </w:t>
      </w:r>
    </w:p>
    <w:p w:rsidR="00CB2D0D" w:rsidRPr="009E2072" w:rsidRDefault="00CB2D0D" w:rsidP="00CB2D0D">
      <w:pPr>
        <w:pStyle w:val="Odstavekseznama"/>
        <w:jc w:val="both"/>
      </w:pPr>
    </w:p>
    <w:p w:rsidR="00E65EB3" w:rsidRDefault="00CB2D0D" w:rsidP="000E213E">
      <w:pPr>
        <w:pStyle w:val="Odstavekseznama"/>
        <w:numPr>
          <w:ilvl w:val="0"/>
          <w:numId w:val="4"/>
        </w:numPr>
        <w:jc w:val="both"/>
      </w:pPr>
      <w:bookmarkStart w:id="5" w:name="_Ref345787160"/>
      <w:r w:rsidRPr="009E2072">
        <w:t xml:space="preserve">Banka lahko </w:t>
      </w:r>
      <w:r w:rsidR="000E1781" w:rsidRPr="009E2072">
        <w:t>izpostavljenost</w:t>
      </w:r>
      <w:r w:rsidRPr="009E2072">
        <w:t xml:space="preserve"> prerazvrsti iz skupine 2 v skupino 1</w:t>
      </w:r>
      <w:r w:rsidR="00181277" w:rsidRPr="009E2072">
        <w:t xml:space="preserve">, </w:t>
      </w:r>
      <w:r w:rsidRPr="009E2072">
        <w:t>ko so</w:t>
      </w:r>
      <w:r w:rsidR="00E65EB3" w:rsidRPr="009E2072">
        <w:t xml:space="preserve"> izpolnjeni vsi naslednji pogoji:</w:t>
      </w:r>
      <w:bookmarkEnd w:id="5"/>
    </w:p>
    <w:p w:rsidR="00E65EB3" w:rsidRPr="009E2072" w:rsidRDefault="00E65EB3" w:rsidP="000E213E">
      <w:pPr>
        <w:pStyle w:val="Odstavekseznama"/>
        <w:numPr>
          <w:ilvl w:val="0"/>
          <w:numId w:val="13"/>
        </w:numPr>
        <w:jc w:val="both"/>
      </w:pPr>
      <w:bookmarkStart w:id="6" w:name="_Ref345787150"/>
      <w:r w:rsidRPr="009E2072">
        <w:t>o</w:t>
      </w:r>
      <w:r w:rsidR="007E649D" w:rsidRPr="009E2072">
        <w:t xml:space="preserve">b začetnem pripoznanju </w:t>
      </w:r>
      <w:r w:rsidR="000E1781" w:rsidRPr="009E2072">
        <w:t>izpostavljenost</w:t>
      </w:r>
      <w:r w:rsidRPr="009E2072">
        <w:t xml:space="preserve"> </w:t>
      </w:r>
      <w:r w:rsidR="007E649D" w:rsidRPr="009E2072">
        <w:t>ni bil</w:t>
      </w:r>
      <w:r w:rsidR="000E1781" w:rsidRPr="009E2072">
        <w:t>a</w:t>
      </w:r>
      <w:r w:rsidR="007E649D" w:rsidRPr="009E2072">
        <w:t xml:space="preserve"> </w:t>
      </w:r>
      <w:r w:rsidR="000E1781" w:rsidRPr="009E2072">
        <w:t>opredeljena</w:t>
      </w:r>
      <w:r w:rsidR="007E649D" w:rsidRPr="009E2072">
        <w:t xml:space="preserve"> kot neplačan</w:t>
      </w:r>
      <w:r w:rsidR="000E1781" w:rsidRPr="009E2072">
        <w:t>a</w:t>
      </w:r>
      <w:r w:rsidRPr="009E2072">
        <w:t xml:space="preserve"> </w:t>
      </w:r>
      <w:r w:rsidR="0053347B">
        <w:t xml:space="preserve">v skladu s </w:t>
      </w:r>
      <w:r w:rsidRPr="009E2072">
        <w:t>člen</w:t>
      </w:r>
      <w:r w:rsidR="0053347B">
        <w:t>om</w:t>
      </w:r>
      <w:r w:rsidRPr="009E2072">
        <w:t xml:space="preserve"> </w:t>
      </w:r>
      <w:r w:rsidR="0053347B">
        <w:t xml:space="preserve">178 </w:t>
      </w:r>
      <w:r w:rsidR="000E1781" w:rsidRPr="009E2072">
        <w:t xml:space="preserve">Uredbe </w:t>
      </w:r>
      <w:r w:rsidRPr="009E2072">
        <w:t>CRR oziroma</w:t>
      </w:r>
      <w:r w:rsidR="007E649D" w:rsidRPr="009E2072">
        <w:t xml:space="preserve"> kot </w:t>
      </w:r>
      <w:r w:rsidR="000E1781" w:rsidRPr="009E2072">
        <w:t>POCI (</w:t>
      </w:r>
      <w:r w:rsidR="00545951" w:rsidRPr="009E2072">
        <w:t xml:space="preserve">kot izhaja iz </w:t>
      </w:r>
      <w:r w:rsidR="007F7DD1" w:rsidRPr="009E2072">
        <w:t>členov</w:t>
      </w:r>
      <w:r w:rsidR="00545951" w:rsidRPr="009E2072">
        <w:t xml:space="preserve"> 5.5.13 in 5.5.14 MSRP 9</w:t>
      </w:r>
      <w:r w:rsidR="000E1781" w:rsidRPr="009E2072">
        <w:t>)</w:t>
      </w:r>
      <w:r w:rsidR="007E649D" w:rsidRPr="009E2072">
        <w:t>;</w:t>
      </w:r>
      <w:bookmarkEnd w:id="6"/>
      <w:r w:rsidRPr="009E2072">
        <w:t xml:space="preserve"> </w:t>
      </w:r>
    </w:p>
    <w:p w:rsidR="00E65EB3" w:rsidRPr="009E2072" w:rsidRDefault="00CB2D0D" w:rsidP="000E213E">
      <w:pPr>
        <w:pStyle w:val="Odstavekseznama"/>
        <w:numPr>
          <w:ilvl w:val="0"/>
          <w:numId w:val="13"/>
        </w:numPr>
        <w:jc w:val="both"/>
      </w:pPr>
      <w:r w:rsidRPr="009E2072">
        <w:t xml:space="preserve">prenehali </w:t>
      </w:r>
      <w:r w:rsidR="00E65EB3" w:rsidRPr="009E2072">
        <w:t xml:space="preserve">so </w:t>
      </w:r>
      <w:r w:rsidRPr="009E2072">
        <w:t xml:space="preserve">vsi razlogi, ki nakazujejo na </w:t>
      </w:r>
      <w:r w:rsidR="007E649D" w:rsidRPr="009E2072">
        <w:t>pomembno</w:t>
      </w:r>
      <w:r w:rsidRPr="009E2072">
        <w:t xml:space="preserve"> povečanje kreditnega tveganja v obdobju od začetnega pripoznanja</w:t>
      </w:r>
      <w:r w:rsidR="007E649D" w:rsidRPr="009E2072">
        <w:t xml:space="preserve"> </w:t>
      </w:r>
      <w:r w:rsidR="000E1781" w:rsidRPr="009E2072">
        <w:t xml:space="preserve">izpostavljenosti </w:t>
      </w:r>
      <w:r w:rsidRPr="009E2072">
        <w:t>do datuma, za katerega banka poroča</w:t>
      </w:r>
      <w:r w:rsidR="000D624A" w:rsidRPr="009E2072">
        <w:t xml:space="preserve">, </w:t>
      </w:r>
      <w:r w:rsidR="006458AD" w:rsidRPr="009E2072">
        <w:t xml:space="preserve">navedeni v </w:t>
      </w:r>
      <w:r w:rsidR="00330C29" w:rsidRPr="009E2072">
        <w:fldChar w:fldCharType="begin"/>
      </w:r>
      <w:r w:rsidR="006458AD" w:rsidRPr="009E2072">
        <w:instrText xml:space="preserve"> REF _Ref471979646 \r \h </w:instrText>
      </w:r>
      <w:r w:rsidR="00E86A1F" w:rsidRPr="009E2072">
        <w:instrText xml:space="preserve"> \* MERGEFORMAT </w:instrText>
      </w:r>
      <w:r w:rsidR="00330C29" w:rsidRPr="009E2072">
        <w:fldChar w:fldCharType="separate"/>
      </w:r>
      <w:r w:rsidR="009C653A">
        <w:t>12</w:t>
      </w:r>
      <w:r w:rsidR="00330C29" w:rsidRPr="009E2072">
        <w:fldChar w:fldCharType="end"/>
      </w:r>
      <w:r w:rsidR="006458AD" w:rsidRPr="009E2072">
        <w:t xml:space="preserve">. in </w:t>
      </w:r>
      <w:r w:rsidR="00330C29" w:rsidRPr="009E2072">
        <w:fldChar w:fldCharType="begin"/>
      </w:r>
      <w:r w:rsidR="006458AD" w:rsidRPr="009E2072">
        <w:instrText xml:space="preserve"> REF _Ref471979656 \r \h </w:instrText>
      </w:r>
      <w:r w:rsidR="00E86A1F" w:rsidRPr="009E2072">
        <w:instrText xml:space="preserve"> \* MERGEFORMAT </w:instrText>
      </w:r>
      <w:r w:rsidR="00330C29" w:rsidRPr="009E2072">
        <w:fldChar w:fldCharType="separate"/>
      </w:r>
      <w:r w:rsidR="009C653A">
        <w:t>13</w:t>
      </w:r>
      <w:r w:rsidR="00330C29" w:rsidRPr="009E2072">
        <w:fldChar w:fldCharType="end"/>
      </w:r>
      <w:r w:rsidR="006458AD" w:rsidRPr="009E2072">
        <w:t>. odstavku teh usmeritev</w:t>
      </w:r>
      <w:r w:rsidR="007E649D" w:rsidRPr="009E2072">
        <w:t>;</w:t>
      </w:r>
    </w:p>
    <w:p w:rsidR="006417CD" w:rsidRPr="009E2072" w:rsidRDefault="006417CD" w:rsidP="000E213E">
      <w:pPr>
        <w:pStyle w:val="Odstavekseznama"/>
        <w:numPr>
          <w:ilvl w:val="0"/>
          <w:numId w:val="13"/>
        </w:numPr>
        <w:jc w:val="both"/>
      </w:pPr>
      <w:r w:rsidRPr="009E2072">
        <w:t>ko preteče poskusno obdobje:</w:t>
      </w:r>
    </w:p>
    <w:p w:rsidR="006417CD" w:rsidRPr="009E2072" w:rsidRDefault="006417CD" w:rsidP="001F02E2">
      <w:pPr>
        <w:pStyle w:val="Odstavekseznama"/>
        <w:numPr>
          <w:ilvl w:val="0"/>
          <w:numId w:val="58"/>
        </w:numPr>
        <w:jc w:val="both"/>
      </w:pPr>
      <w:r w:rsidRPr="009E2072">
        <w:t>v primeru donosnih restrukturiranih izpostavljenosti</w:t>
      </w:r>
      <w:r w:rsidR="0030612C">
        <w:t xml:space="preserve"> </w:t>
      </w:r>
      <w:r w:rsidRPr="009E2072">
        <w:t>–</w:t>
      </w:r>
      <w:r w:rsidR="0030612C">
        <w:t xml:space="preserve"> </w:t>
      </w:r>
      <w:r w:rsidR="0090475A">
        <w:t>2</w:t>
      </w:r>
      <w:r w:rsidR="0090475A" w:rsidRPr="009E2072">
        <w:t xml:space="preserve"> </w:t>
      </w:r>
      <w:r w:rsidRPr="009E2072">
        <w:t>let</w:t>
      </w:r>
      <w:r w:rsidR="0090475A">
        <w:t>i</w:t>
      </w:r>
      <w:r w:rsidRPr="009E2072">
        <w:t xml:space="preserve"> od datuma zadnjega restrukturiranja oziroma od datuma prehoda iz nedonosnih med donosne restrukturirane izpostavljenosti ob hkratnem izpolnjevanju drugih pogojev iz </w:t>
      </w:r>
      <w:r w:rsidRPr="00E227FC">
        <w:t xml:space="preserve">256. in 257. odstavka Dela 2 Priloge V </w:t>
      </w:r>
      <w:r w:rsidRPr="00CC72F6">
        <w:t xml:space="preserve">Izvedbene uredbe </w:t>
      </w:r>
      <w:r w:rsidRPr="00E227FC">
        <w:t>Komisije (EU) št. 680/2014</w:t>
      </w:r>
      <w:r w:rsidRPr="009E2072">
        <w:t xml:space="preserve"> za izhod iz skupine restrukturiranih izpostavljenosti</w:t>
      </w:r>
      <w:r>
        <w:t>, oziroma prej</w:t>
      </w:r>
      <w:r w:rsidR="00CF3EF0">
        <w:t xml:space="preserve"> kot v 2 letih</w:t>
      </w:r>
      <w:r w:rsidR="0030612C">
        <w:t>,</w:t>
      </w:r>
      <w:r>
        <w:t xml:space="preserve"> če banka </w:t>
      </w:r>
      <w:r w:rsidR="00315428">
        <w:t xml:space="preserve">na podlagi empiričnih podatkov </w:t>
      </w:r>
      <w:r w:rsidR="00C011EE">
        <w:t>oziroma na podlagi utemeljenih razlogov</w:t>
      </w:r>
      <w:r w:rsidR="00C011EE">
        <w:rPr>
          <w:rStyle w:val="Sprotnaopomba-sklic"/>
        </w:rPr>
        <w:footnoteReference w:id="2"/>
      </w:r>
      <w:r w:rsidR="00C011EE">
        <w:t xml:space="preserve"> </w:t>
      </w:r>
      <w:r>
        <w:t xml:space="preserve">dokaže, da pri takšnih izpostavljenostih </w:t>
      </w:r>
      <w:r w:rsidR="00315428">
        <w:t xml:space="preserve">v kratkoročnem obdobju ni pričakovati </w:t>
      </w:r>
      <w:r>
        <w:t>pomembn</w:t>
      </w:r>
      <w:r w:rsidR="00315428">
        <w:t>ega</w:t>
      </w:r>
      <w:r>
        <w:t xml:space="preserve"> povečanj</w:t>
      </w:r>
      <w:r w:rsidR="00315428">
        <w:t>a</w:t>
      </w:r>
      <w:r>
        <w:t xml:space="preserve"> kreditnega tveganja</w:t>
      </w:r>
      <w:r w:rsidR="00C011EE">
        <w:t xml:space="preserve"> dolžnika</w:t>
      </w:r>
      <w:r w:rsidRPr="009E2072">
        <w:t>,</w:t>
      </w:r>
    </w:p>
    <w:p w:rsidR="00CB2D0D" w:rsidRPr="009E2072" w:rsidRDefault="006417CD" w:rsidP="001F02E2">
      <w:pPr>
        <w:pStyle w:val="Odstavekseznama"/>
        <w:numPr>
          <w:ilvl w:val="0"/>
          <w:numId w:val="58"/>
        </w:numPr>
        <w:jc w:val="both"/>
      </w:pPr>
      <w:r w:rsidRPr="009E2072">
        <w:t>v primeru donosnih nerestrukturiranih</w:t>
      </w:r>
      <w:r w:rsidR="0090475A">
        <w:t xml:space="preserve"> izpostavljenosti</w:t>
      </w:r>
      <w:r w:rsidRPr="009E2072">
        <w:t xml:space="preserve"> </w:t>
      </w:r>
      <w:r w:rsidR="0030612C" w:rsidRPr="009E2072">
        <w:t>–</w:t>
      </w:r>
      <w:r w:rsidRPr="009E2072">
        <w:t xml:space="preserve"> 3 meseci od datuma, ko so prenehali vsi razlogi, ki nakazujejo na pomembno povečanje kreditnega tveganja, oziroma od datuma izhoda iz položaja neplačila, če je bila izpostavljenost pred tem opredeljena kot neplačana</w:t>
      </w:r>
      <w:r>
        <w:t>, oziroma prej</w:t>
      </w:r>
      <w:r w:rsidR="00CF3EF0">
        <w:t xml:space="preserve"> kot v 3 mesecih</w:t>
      </w:r>
      <w:r>
        <w:t xml:space="preserve">, če banka </w:t>
      </w:r>
      <w:r w:rsidR="00C011EE">
        <w:t xml:space="preserve">na podlagi empiričnih podatkov </w:t>
      </w:r>
      <w:r>
        <w:t xml:space="preserve">dokaže, da pri takšnih izpostavljenostih </w:t>
      </w:r>
      <w:r w:rsidR="00C011EE">
        <w:t xml:space="preserve">v kratkoročnem obdobju ni pričakovati </w:t>
      </w:r>
      <w:r>
        <w:t>pomembn</w:t>
      </w:r>
      <w:r w:rsidR="00C011EE">
        <w:t>ega</w:t>
      </w:r>
      <w:r>
        <w:t xml:space="preserve"> povečanj</w:t>
      </w:r>
      <w:r w:rsidR="00C011EE">
        <w:t>a</w:t>
      </w:r>
      <w:r>
        <w:t xml:space="preserve"> kreditnega tveganja dolžnika</w:t>
      </w:r>
      <w:r w:rsidRPr="009E2072">
        <w:t xml:space="preserve">.  </w:t>
      </w:r>
    </w:p>
    <w:p w:rsidR="00CB2D0D" w:rsidRPr="009E2072" w:rsidRDefault="00CB2D0D" w:rsidP="00624E7D">
      <w:pPr>
        <w:pStyle w:val="Odstavekseznama"/>
        <w:ind w:left="360"/>
        <w:jc w:val="both"/>
      </w:pPr>
    </w:p>
    <w:p w:rsidR="00CB2D0D" w:rsidRPr="009E2072" w:rsidRDefault="00CB2D0D" w:rsidP="00CB2D0D">
      <w:pPr>
        <w:pStyle w:val="Odstavekseznama"/>
        <w:jc w:val="both"/>
        <w:rPr>
          <w:b/>
        </w:rPr>
      </w:pPr>
    </w:p>
    <w:p w:rsidR="004F22AD" w:rsidRPr="009E2072" w:rsidRDefault="0028441F" w:rsidP="000E213E">
      <w:pPr>
        <w:pStyle w:val="Odstavekseznama"/>
        <w:keepNext/>
        <w:numPr>
          <w:ilvl w:val="0"/>
          <w:numId w:val="9"/>
        </w:numPr>
        <w:jc w:val="center"/>
        <w:rPr>
          <w:b/>
        </w:rPr>
      </w:pPr>
      <w:r w:rsidRPr="009E2072">
        <w:rPr>
          <w:b/>
        </w:rPr>
        <w:t>Izpostavljenosti</w:t>
      </w:r>
      <w:r w:rsidR="004F22AD" w:rsidRPr="009E2072">
        <w:rPr>
          <w:b/>
        </w:rPr>
        <w:t xml:space="preserve"> z nizkim kreditnim tveganjem</w:t>
      </w:r>
      <w:r w:rsidR="00C92BCC" w:rsidRPr="009E2072">
        <w:rPr>
          <w:b/>
        </w:rPr>
        <w:t xml:space="preserve"> </w:t>
      </w:r>
    </w:p>
    <w:p w:rsidR="004F22AD" w:rsidRPr="009E2072" w:rsidRDefault="004F22AD" w:rsidP="00F545CE">
      <w:pPr>
        <w:keepNext/>
        <w:jc w:val="both"/>
        <w:rPr>
          <w:rFonts w:asciiTheme="majorHAnsi" w:hAnsiTheme="majorHAnsi" w:cs="Arial"/>
          <w:sz w:val="24"/>
          <w:szCs w:val="24"/>
        </w:rPr>
      </w:pPr>
    </w:p>
    <w:p w:rsidR="004F22AD" w:rsidRPr="009E2072" w:rsidRDefault="006940EA" w:rsidP="000E213E">
      <w:pPr>
        <w:pStyle w:val="Odstavekseznama"/>
        <w:keepNext/>
        <w:numPr>
          <w:ilvl w:val="0"/>
          <w:numId w:val="4"/>
        </w:numPr>
        <w:jc w:val="both"/>
      </w:pPr>
      <w:r w:rsidRPr="009E2072">
        <w:t>Banka lahko v</w:t>
      </w:r>
      <w:r w:rsidR="001C19B2" w:rsidRPr="009E2072">
        <w:t xml:space="preserve"> skladu z določbami iz </w:t>
      </w:r>
      <w:r w:rsidR="00BC1F22" w:rsidRPr="009E2072">
        <w:t>člena</w:t>
      </w:r>
      <w:r w:rsidR="00E679CC" w:rsidRPr="009E2072">
        <w:t xml:space="preserve"> </w:t>
      </w:r>
      <w:r w:rsidR="004F22AD" w:rsidRPr="009E2072">
        <w:t>5.5.10</w:t>
      </w:r>
      <w:r w:rsidR="00F42746" w:rsidRPr="009E2072">
        <w:t xml:space="preserve"> in </w:t>
      </w:r>
      <w:r w:rsidR="00BC1F22" w:rsidRPr="009E2072">
        <w:t>členov</w:t>
      </w:r>
      <w:r w:rsidR="00F42746" w:rsidRPr="009E2072">
        <w:t xml:space="preserve"> B5.5.22 do B5.5.24</w:t>
      </w:r>
      <w:r w:rsidR="001C19B2" w:rsidRPr="009E2072">
        <w:t xml:space="preserve"> </w:t>
      </w:r>
      <w:r w:rsidR="00E679CC" w:rsidRPr="009E2072">
        <w:t xml:space="preserve">MSRP 9 predpostavi, da se kreditno tveganje </w:t>
      </w:r>
      <w:r w:rsidR="0028441F" w:rsidRPr="009E2072">
        <w:t>izpostavljenosti</w:t>
      </w:r>
      <w:r w:rsidR="00E679CC" w:rsidRPr="009E2072">
        <w:t xml:space="preserve"> od začetnega pripoznanja ni </w:t>
      </w:r>
      <w:r w:rsidR="009A115C" w:rsidRPr="009E2072">
        <w:t>pomembno</w:t>
      </w:r>
      <w:r w:rsidR="00E679CC" w:rsidRPr="009E2072">
        <w:t xml:space="preserve"> povečalo, če ima </w:t>
      </w:r>
      <w:r w:rsidR="0028441F" w:rsidRPr="009E2072">
        <w:t>izpostavljenost</w:t>
      </w:r>
      <w:r w:rsidR="00E679CC" w:rsidRPr="009E2072">
        <w:t xml:space="preserve"> na datum</w:t>
      </w:r>
      <w:r w:rsidRPr="009E2072">
        <w:t>, za katerega banka poroča, nizko kreditno tveganje.</w:t>
      </w:r>
      <w:r w:rsidR="00E679CC" w:rsidRPr="009E2072">
        <w:t xml:space="preserve"> </w:t>
      </w:r>
    </w:p>
    <w:p w:rsidR="004F22AD" w:rsidRPr="009E2072" w:rsidRDefault="004F22AD" w:rsidP="004F22AD">
      <w:pPr>
        <w:pStyle w:val="Odstavekseznama"/>
        <w:ind w:left="360"/>
        <w:jc w:val="both"/>
      </w:pPr>
    </w:p>
    <w:p w:rsidR="0030612C" w:rsidRDefault="0000148D" w:rsidP="00027260">
      <w:pPr>
        <w:pStyle w:val="Odstavekseznama"/>
        <w:numPr>
          <w:ilvl w:val="0"/>
          <w:numId w:val="4"/>
        </w:numPr>
        <w:jc w:val="both"/>
      </w:pPr>
      <w:bookmarkStart w:id="7" w:name="_Ref345876382"/>
      <w:r w:rsidRPr="009E2072">
        <w:t>K</w:t>
      </w:r>
      <w:r w:rsidR="004F22AD" w:rsidRPr="009E2072">
        <w:t xml:space="preserve">ot </w:t>
      </w:r>
      <w:r w:rsidR="0028441F" w:rsidRPr="009E2072">
        <w:t>izpostavljenosti</w:t>
      </w:r>
      <w:r w:rsidR="004D2EC3" w:rsidRPr="009E2072">
        <w:t xml:space="preserve"> </w:t>
      </w:r>
      <w:r w:rsidR="004F22AD" w:rsidRPr="009E2072">
        <w:t>z nizkim kreditnim tveganjem, ki se razvrsti</w:t>
      </w:r>
      <w:r w:rsidR="0028441F" w:rsidRPr="009E2072">
        <w:t>jo</w:t>
      </w:r>
      <w:r w:rsidR="004F22AD" w:rsidRPr="009E2072">
        <w:t xml:space="preserve"> v skupino 1,</w:t>
      </w:r>
      <w:r w:rsidR="009A115C" w:rsidRPr="009E2072">
        <w:t xml:space="preserve"> </w:t>
      </w:r>
      <w:r w:rsidRPr="009E2072">
        <w:t xml:space="preserve">se </w:t>
      </w:r>
      <w:r w:rsidR="001C19B2" w:rsidRPr="009E2072">
        <w:t>štejejo</w:t>
      </w:r>
      <w:r w:rsidR="005F6F9B" w:rsidRPr="009E2072">
        <w:t xml:space="preserve"> naložbe v dolžniške finančne instrumente</w:t>
      </w:r>
      <w:r w:rsidR="0028441F" w:rsidRPr="009E2072">
        <w:t xml:space="preserve"> z</w:t>
      </w:r>
      <w:r w:rsidR="00814C2F" w:rsidRPr="009E2072">
        <w:t xml:space="preserve"> bonitetno oceno</w:t>
      </w:r>
      <w:r w:rsidR="00EC0035" w:rsidRPr="009E2072">
        <w:t xml:space="preserve"> </w:t>
      </w:r>
      <w:r w:rsidR="00314952" w:rsidRPr="009E2072">
        <w:t xml:space="preserve">bonitetne agencije </w:t>
      </w:r>
      <w:r w:rsidR="00BD17A7">
        <w:t>znotraj</w:t>
      </w:r>
      <w:r w:rsidR="00EC0035" w:rsidRPr="009E2072">
        <w:t xml:space="preserve"> naložben</w:t>
      </w:r>
      <w:r w:rsidR="00BD17A7">
        <w:t>ih</w:t>
      </w:r>
      <w:r w:rsidR="00EC0035" w:rsidRPr="009E2072">
        <w:t xml:space="preserve"> razred</w:t>
      </w:r>
      <w:r w:rsidR="00BD17A7">
        <w:t>ov tveganja</w:t>
      </w:r>
      <w:r w:rsidR="00892E80" w:rsidRPr="009E2072">
        <w:t xml:space="preserve"> </w:t>
      </w:r>
      <w:r w:rsidR="00E23E09" w:rsidRPr="009E2072">
        <w:t xml:space="preserve">(angl. </w:t>
      </w:r>
      <w:r w:rsidR="00E23E09" w:rsidRPr="00982004">
        <w:rPr>
          <w:i/>
        </w:rPr>
        <w:t>investment grade</w:t>
      </w:r>
      <w:r w:rsidR="00E23E09" w:rsidRPr="009E2072">
        <w:t>)</w:t>
      </w:r>
      <w:r w:rsidR="00372926" w:rsidRPr="009E2072">
        <w:t xml:space="preserve"> </w:t>
      </w:r>
      <w:r w:rsidR="0028441F" w:rsidRPr="009E2072">
        <w:t>(n</w:t>
      </w:r>
      <w:r w:rsidR="00D524B3" w:rsidRPr="009E2072">
        <w:t>pr.</w:t>
      </w:r>
      <w:r w:rsidR="0028441F" w:rsidRPr="009E2072">
        <w:t xml:space="preserve"> z bonitetno oceno</w:t>
      </w:r>
      <w:r w:rsidR="00814C2F" w:rsidRPr="009E2072">
        <w:t xml:space="preserve"> najmanj BBB- </w:t>
      </w:r>
      <w:r w:rsidR="003D60C2" w:rsidRPr="009E2072">
        <w:t>po</w:t>
      </w:r>
      <w:r w:rsidR="00814C2F" w:rsidRPr="009E2072">
        <w:t xml:space="preserve"> S&amp;P ali Fitch oziroma najmanj Baa3 </w:t>
      </w:r>
      <w:r w:rsidR="003D60C2" w:rsidRPr="009E2072">
        <w:t>po</w:t>
      </w:r>
      <w:r w:rsidR="00814C2F" w:rsidRPr="009E2072">
        <w:t xml:space="preserve"> Moody</w:t>
      </w:r>
      <w:r w:rsidR="00D83828" w:rsidRPr="009E2072">
        <w:t>'s</w:t>
      </w:r>
      <w:r w:rsidR="0028441F" w:rsidRPr="009E2072">
        <w:t>)</w:t>
      </w:r>
      <w:r w:rsidR="00814C2F" w:rsidRPr="009E2072">
        <w:t>.</w:t>
      </w:r>
      <w:bookmarkEnd w:id="7"/>
      <w:r w:rsidR="00C3561D" w:rsidRPr="009E2072">
        <w:t xml:space="preserve"> Za ta namen banka v primeru, da razpolaga z bonitetnimi ocenami več bonitetnih agencij, </w:t>
      </w:r>
      <w:r w:rsidR="0090475A">
        <w:t xml:space="preserve">smiselno </w:t>
      </w:r>
      <w:r w:rsidR="00C3561D" w:rsidRPr="009E2072">
        <w:t xml:space="preserve">upošteva pravila glede uporabe bonitetnih ocen iz člena </w:t>
      </w:r>
      <w:r w:rsidR="0053347B">
        <w:t xml:space="preserve">138 </w:t>
      </w:r>
      <w:r w:rsidR="00C3561D" w:rsidRPr="009E2072">
        <w:t>Uredbe CRR.</w:t>
      </w:r>
    </w:p>
    <w:p w:rsidR="00982004" w:rsidRDefault="00982004" w:rsidP="00982004">
      <w:pPr>
        <w:pStyle w:val="Odstavekseznama"/>
      </w:pPr>
    </w:p>
    <w:p w:rsidR="00AB62BD" w:rsidRPr="009E2072" w:rsidRDefault="00AB62BD" w:rsidP="00C92BCC">
      <w:pPr>
        <w:pStyle w:val="Odstavekseznama"/>
        <w:ind w:left="1080"/>
        <w:jc w:val="both"/>
      </w:pPr>
    </w:p>
    <w:p w:rsidR="00C92BCC" w:rsidRPr="009E2072" w:rsidRDefault="00C92BCC" w:rsidP="00982004">
      <w:pPr>
        <w:pStyle w:val="Odstavekseznama"/>
        <w:keepNext/>
        <w:numPr>
          <w:ilvl w:val="0"/>
          <w:numId w:val="9"/>
        </w:numPr>
        <w:jc w:val="center"/>
        <w:rPr>
          <w:b/>
        </w:rPr>
      </w:pPr>
      <w:r w:rsidRPr="009E2072">
        <w:rPr>
          <w:b/>
        </w:rPr>
        <w:t xml:space="preserve">Izjeme pri prvi razvrstitvi izpostavljenosti </w:t>
      </w:r>
      <w:r w:rsidR="00A92AB1" w:rsidRPr="009E2072">
        <w:rPr>
          <w:b/>
        </w:rPr>
        <w:t>v skupin</w:t>
      </w:r>
      <w:r w:rsidR="00F15E70" w:rsidRPr="009E2072">
        <w:rPr>
          <w:b/>
        </w:rPr>
        <w:t>o</w:t>
      </w:r>
      <w:r w:rsidR="00A92AB1" w:rsidRPr="009E2072">
        <w:rPr>
          <w:b/>
        </w:rPr>
        <w:t xml:space="preserve"> 1 </w:t>
      </w:r>
      <w:r w:rsidR="00F15E70" w:rsidRPr="009E2072">
        <w:rPr>
          <w:b/>
        </w:rPr>
        <w:t>ali</w:t>
      </w:r>
      <w:r w:rsidR="00A92AB1" w:rsidRPr="009E2072">
        <w:rPr>
          <w:b/>
        </w:rPr>
        <w:t xml:space="preserve"> 2 </w:t>
      </w:r>
      <w:r w:rsidR="00C3561D" w:rsidRPr="009E2072">
        <w:rPr>
          <w:b/>
        </w:rPr>
        <w:t>ob prehodu na MSRP 9</w:t>
      </w:r>
    </w:p>
    <w:p w:rsidR="00C92BCC" w:rsidRPr="009E2072" w:rsidRDefault="00C92BCC" w:rsidP="00982004">
      <w:pPr>
        <w:pStyle w:val="Odstavekseznama"/>
        <w:keepNext/>
        <w:ind w:left="1080"/>
        <w:jc w:val="both"/>
      </w:pPr>
    </w:p>
    <w:p w:rsidR="0076068D" w:rsidRPr="009E2072" w:rsidRDefault="0076068D" w:rsidP="00982004">
      <w:pPr>
        <w:pStyle w:val="Odstavekseznama"/>
        <w:keepNext/>
        <w:numPr>
          <w:ilvl w:val="0"/>
          <w:numId w:val="4"/>
        </w:numPr>
        <w:jc w:val="both"/>
      </w:pPr>
      <w:r w:rsidRPr="009E2072">
        <w:t xml:space="preserve">V skladu s </w:t>
      </w:r>
      <w:r w:rsidR="000F7CC6" w:rsidRPr="009E2072">
        <w:t>členom</w:t>
      </w:r>
      <w:r w:rsidRPr="009E2072">
        <w:t xml:space="preserve"> 7.2.18 MSRP 9 banka na datum začetka uporabe MSRP 9 na podlagi primernih in dokazljivih informacij, ki se lahko pridobijo brez pretiranih stroškov ali prizadevanj, določi kreditno tveganje </w:t>
      </w:r>
      <w:r w:rsidR="00E23E09" w:rsidRPr="009E2072">
        <w:t xml:space="preserve">izpostavljenosti </w:t>
      </w:r>
      <w:r w:rsidRPr="009E2072">
        <w:t xml:space="preserve">na datum </w:t>
      </w:r>
      <w:r w:rsidR="00E23E09" w:rsidRPr="009E2072">
        <w:t xml:space="preserve">njenega </w:t>
      </w:r>
      <w:r w:rsidRPr="009E2072">
        <w:t xml:space="preserve">začetnega pripoznanja in ga primerja </w:t>
      </w:r>
      <w:r w:rsidR="00A5440D" w:rsidRPr="009E2072">
        <w:t xml:space="preserve">z </w:t>
      </w:r>
      <w:r w:rsidR="00E23E09" w:rsidRPr="009E2072">
        <w:t xml:space="preserve">njenim </w:t>
      </w:r>
      <w:r w:rsidRPr="009E2072">
        <w:t>kreditnim tveganjem na datum začetka uporabe MSRP 9.</w:t>
      </w:r>
    </w:p>
    <w:p w:rsidR="0076068D" w:rsidRPr="009E2072" w:rsidRDefault="0076068D" w:rsidP="0076068D">
      <w:pPr>
        <w:pStyle w:val="Odstavekseznama"/>
        <w:ind w:left="360"/>
        <w:jc w:val="both"/>
      </w:pPr>
    </w:p>
    <w:p w:rsidR="004F22AD" w:rsidRPr="009E2072" w:rsidRDefault="00B50367" w:rsidP="00924653">
      <w:pPr>
        <w:pStyle w:val="Odstavekseznama"/>
        <w:numPr>
          <w:ilvl w:val="0"/>
          <w:numId w:val="4"/>
        </w:numPr>
        <w:jc w:val="both"/>
      </w:pPr>
      <w:r w:rsidRPr="009E2072">
        <w:t xml:space="preserve">Če banka ob prehodu na MSRP 9 ne razpolaga s podatki o kreditnem tveganju </w:t>
      </w:r>
      <w:r w:rsidR="00761EA0" w:rsidRPr="009E2072">
        <w:t>izpostavljenosti</w:t>
      </w:r>
      <w:r w:rsidR="00AB62BD" w:rsidRPr="009E2072">
        <w:t xml:space="preserve"> </w:t>
      </w:r>
      <w:r w:rsidRPr="009E2072">
        <w:t xml:space="preserve">oziroma </w:t>
      </w:r>
      <w:r w:rsidR="00800D4A" w:rsidRPr="009E2072">
        <w:t xml:space="preserve">z </w:t>
      </w:r>
      <w:r w:rsidRPr="009E2072">
        <w:t>bonitetno oceno</w:t>
      </w:r>
      <w:r w:rsidR="0076068D" w:rsidRPr="009E2072">
        <w:t xml:space="preserve"> dolžnika </w:t>
      </w:r>
      <w:r w:rsidRPr="009E2072">
        <w:t>ob odobritvi oz</w:t>
      </w:r>
      <w:r w:rsidR="00EC0035" w:rsidRPr="009E2072">
        <w:t>iroma</w:t>
      </w:r>
      <w:r w:rsidRPr="009E2072">
        <w:t xml:space="preserve"> ob začetnem pripoznanju </w:t>
      </w:r>
      <w:r w:rsidR="00761EA0" w:rsidRPr="009E2072">
        <w:t>izpostavljenosti</w:t>
      </w:r>
      <w:r w:rsidRPr="009E2072">
        <w:t xml:space="preserve">, </w:t>
      </w:r>
      <w:r w:rsidR="00DB7DD2" w:rsidRPr="009E2072">
        <w:t xml:space="preserve">lahko banka ob prvi razvrstitvi </w:t>
      </w:r>
      <w:r w:rsidR="00F15E70" w:rsidRPr="009E2072">
        <w:t>izpostavljenosti</w:t>
      </w:r>
      <w:r w:rsidR="00DB7DD2" w:rsidRPr="009E2072">
        <w:t xml:space="preserve"> v skupine za namen </w:t>
      </w:r>
      <w:r w:rsidR="00761EA0" w:rsidRPr="009E2072">
        <w:t xml:space="preserve">ocenjevanja kreditnih izgub </w:t>
      </w:r>
      <w:r w:rsidR="0076068D" w:rsidRPr="009E2072">
        <w:t xml:space="preserve">poleg </w:t>
      </w:r>
      <w:r w:rsidR="00C5378C" w:rsidRPr="009E2072">
        <w:t>izpostavljenosti</w:t>
      </w:r>
      <w:r w:rsidR="00F36AE7" w:rsidRPr="009E2072">
        <w:t xml:space="preserve"> </w:t>
      </w:r>
      <w:r w:rsidR="00DB7DD2" w:rsidRPr="009E2072">
        <w:t>z nizkim kreditnim tveganjem</w:t>
      </w:r>
      <w:r w:rsidR="0076068D" w:rsidRPr="009E2072">
        <w:t xml:space="preserve"> iz podpoglavja C v skupino 1 razvrsti tudi </w:t>
      </w:r>
      <w:r w:rsidR="00DB7DD2" w:rsidRPr="009E2072">
        <w:t xml:space="preserve">izpostavljenosti do dolžnikov, ki imajo po stanju na dan 30. 11. oziroma 31. 12. 2017 v </w:t>
      </w:r>
      <w:r w:rsidRPr="009E2072">
        <w:t xml:space="preserve">Centralnem </w:t>
      </w:r>
      <w:r w:rsidR="00DB7DD2" w:rsidRPr="009E2072">
        <w:t xml:space="preserve">kreditnem registru </w:t>
      </w:r>
      <w:r w:rsidRPr="009E2072">
        <w:t xml:space="preserve">Banke Slovenije </w:t>
      </w:r>
      <w:r w:rsidR="00DB7DD2" w:rsidRPr="009E2072">
        <w:t>povprečno bonitetno oceno A</w:t>
      </w:r>
      <w:r w:rsidR="00A92AB1" w:rsidRPr="009E2072">
        <w:t xml:space="preserve"> in ne ustrezajo kriterijem za razvrstitev v skupino 2 iz </w:t>
      </w:r>
      <w:r w:rsidR="00CF6965" w:rsidRPr="009E2072">
        <w:fldChar w:fldCharType="begin"/>
      </w:r>
      <w:r w:rsidR="00CF6965" w:rsidRPr="009E2072">
        <w:instrText xml:space="preserve"> REF _Ref471979646 \r \h  \* MERGEFORMAT </w:instrText>
      </w:r>
      <w:r w:rsidR="00CF6965" w:rsidRPr="009E2072">
        <w:fldChar w:fldCharType="separate"/>
      </w:r>
      <w:r w:rsidR="009C653A">
        <w:t>12</w:t>
      </w:r>
      <w:r w:rsidR="00CF6965" w:rsidRPr="009E2072">
        <w:fldChar w:fldCharType="end"/>
      </w:r>
      <w:r w:rsidR="00F36AE7" w:rsidRPr="009E2072">
        <w:t xml:space="preserve">. in </w:t>
      </w:r>
      <w:r w:rsidR="00CF6965" w:rsidRPr="009E2072">
        <w:fldChar w:fldCharType="begin"/>
      </w:r>
      <w:r w:rsidR="00CF6965" w:rsidRPr="009E2072">
        <w:instrText xml:space="preserve"> REF _Ref471979656 \r \h  \* MERGEFORMAT </w:instrText>
      </w:r>
      <w:r w:rsidR="00CF6965" w:rsidRPr="009E2072">
        <w:fldChar w:fldCharType="separate"/>
      </w:r>
      <w:r w:rsidR="009C653A">
        <w:t>13</w:t>
      </w:r>
      <w:r w:rsidR="00CF6965" w:rsidRPr="009E2072">
        <w:fldChar w:fldCharType="end"/>
      </w:r>
      <w:r w:rsidR="00A92AB1" w:rsidRPr="009E2072">
        <w:t xml:space="preserve">. odstavka teh </w:t>
      </w:r>
      <w:r w:rsidR="006458AD" w:rsidRPr="009E2072">
        <w:t>usmeritev</w:t>
      </w:r>
      <w:r w:rsidR="00572086" w:rsidRPr="009E2072">
        <w:t xml:space="preserve">, pri čemer </w:t>
      </w:r>
      <w:r w:rsidR="00C03412" w:rsidRPr="009E2072">
        <w:t xml:space="preserve">ne gre za </w:t>
      </w:r>
      <w:r w:rsidR="00CD0CE2" w:rsidRPr="009E2072">
        <w:t xml:space="preserve">POCI </w:t>
      </w:r>
      <w:r w:rsidR="00C03412" w:rsidRPr="009E2072">
        <w:t>iz točke</w:t>
      </w:r>
      <w:r w:rsidR="00A92AB1" w:rsidRPr="009E2072">
        <w:t xml:space="preserve"> </w:t>
      </w:r>
      <w:r w:rsidR="00924653">
        <w:t>(</w:t>
      </w:r>
      <w:r w:rsidR="00A92AB1" w:rsidRPr="009E2072">
        <w:t xml:space="preserve">a) </w:t>
      </w:r>
      <w:r w:rsidR="00330C29" w:rsidRPr="009E2072">
        <w:fldChar w:fldCharType="begin"/>
      </w:r>
      <w:r w:rsidR="00C5378C" w:rsidRPr="009E2072">
        <w:instrText xml:space="preserve"> REF _Ref345787160 \r \h </w:instrText>
      </w:r>
      <w:r w:rsidR="009E2072">
        <w:instrText xml:space="preserve"> \* MERGEFORMAT </w:instrText>
      </w:r>
      <w:r w:rsidR="00330C29" w:rsidRPr="009E2072">
        <w:fldChar w:fldCharType="separate"/>
      </w:r>
      <w:r w:rsidR="009C653A">
        <w:t>15</w:t>
      </w:r>
      <w:r w:rsidR="00330C29" w:rsidRPr="009E2072">
        <w:fldChar w:fldCharType="end"/>
      </w:r>
      <w:r w:rsidR="00C5378C" w:rsidRPr="009E2072">
        <w:t>.</w:t>
      </w:r>
      <w:r w:rsidR="00A92AB1" w:rsidRPr="009E2072">
        <w:t xml:space="preserve"> odstavka teh </w:t>
      </w:r>
      <w:r w:rsidR="006458AD" w:rsidRPr="009E2072">
        <w:t>usmeritev</w:t>
      </w:r>
      <w:r w:rsidR="00A92AB1" w:rsidRPr="009E2072">
        <w:t>. Vse ostale izpostavljenosti, ki</w:t>
      </w:r>
      <w:r w:rsidR="00F42746" w:rsidRPr="009E2072">
        <w:t xml:space="preserve"> ob prvi razvrstitvi </w:t>
      </w:r>
      <w:r w:rsidR="00496790" w:rsidRPr="009E2072">
        <w:t xml:space="preserve">v skupine </w:t>
      </w:r>
      <w:r w:rsidR="00A92AB1" w:rsidRPr="009E2072">
        <w:t xml:space="preserve">niso </w:t>
      </w:r>
      <w:r w:rsidR="00F42746" w:rsidRPr="009E2072">
        <w:t xml:space="preserve">opredeljene kot </w:t>
      </w:r>
      <w:r w:rsidR="00A92AB1" w:rsidRPr="009E2072">
        <w:t>neplač</w:t>
      </w:r>
      <w:r w:rsidR="00F42746" w:rsidRPr="009E2072">
        <w:t xml:space="preserve">ane </w:t>
      </w:r>
      <w:r w:rsidR="0053347B">
        <w:t xml:space="preserve">v skladu s členom </w:t>
      </w:r>
      <w:r w:rsidR="00F42746" w:rsidRPr="009E2072">
        <w:t xml:space="preserve">178 </w:t>
      </w:r>
      <w:r w:rsidR="00496790" w:rsidRPr="009E2072">
        <w:t xml:space="preserve">Uredbe </w:t>
      </w:r>
      <w:r w:rsidR="00F42746" w:rsidRPr="009E2072">
        <w:t>CRR</w:t>
      </w:r>
      <w:r w:rsidR="00A92AB1" w:rsidRPr="009E2072">
        <w:t>, banka razvrsti v skupino 2.</w:t>
      </w:r>
    </w:p>
    <w:p w:rsidR="00C515AD" w:rsidRPr="009E2072" w:rsidRDefault="00C515AD" w:rsidP="00D038C1">
      <w:pPr>
        <w:jc w:val="both"/>
        <w:rPr>
          <w:rFonts w:asciiTheme="majorHAnsi" w:hAnsiTheme="majorHAnsi" w:cs="Arial"/>
          <w:sz w:val="24"/>
          <w:szCs w:val="24"/>
        </w:rPr>
      </w:pPr>
    </w:p>
    <w:p w:rsidR="00C515AD" w:rsidRDefault="00C515AD" w:rsidP="008F2AB2"/>
    <w:p w:rsidR="00982004" w:rsidRDefault="00982004" w:rsidP="008F2AB2"/>
    <w:p w:rsidR="003D6593" w:rsidRPr="009E2072" w:rsidRDefault="00BB2E5B" w:rsidP="0016450F">
      <w:pPr>
        <w:pStyle w:val="Odstavekseznama"/>
        <w:keepNext/>
        <w:numPr>
          <w:ilvl w:val="0"/>
          <w:numId w:val="3"/>
        </w:numPr>
        <w:ind w:left="811" w:hanging="454"/>
        <w:jc w:val="center"/>
        <w:rPr>
          <w:b/>
        </w:rPr>
      </w:pPr>
      <w:r w:rsidRPr="009E2072">
        <w:rPr>
          <w:b/>
        </w:rPr>
        <w:t xml:space="preserve">OCENJEVANJE </w:t>
      </w:r>
      <w:r w:rsidR="00E50D08" w:rsidRPr="009E2072">
        <w:rPr>
          <w:b/>
        </w:rPr>
        <w:t>KREDIT</w:t>
      </w:r>
      <w:r w:rsidR="00496790" w:rsidRPr="009E2072">
        <w:rPr>
          <w:b/>
        </w:rPr>
        <w:t xml:space="preserve">NIH IZGUB ZA NAMEN OBLIKOVANJA </w:t>
      </w:r>
      <w:r w:rsidR="00F42746" w:rsidRPr="009E2072">
        <w:rPr>
          <w:b/>
        </w:rPr>
        <w:t xml:space="preserve">POPRAVKOV VREDNOSTI </w:t>
      </w:r>
      <w:r w:rsidRPr="009E2072">
        <w:rPr>
          <w:b/>
        </w:rPr>
        <w:t>IN REZERVACIJ</w:t>
      </w:r>
      <w:r w:rsidR="00F42746" w:rsidRPr="009E2072">
        <w:rPr>
          <w:b/>
        </w:rPr>
        <w:t xml:space="preserve"> </w:t>
      </w:r>
    </w:p>
    <w:p w:rsidR="002761F7" w:rsidRPr="009E2072" w:rsidRDefault="002761F7" w:rsidP="0016450F">
      <w:pPr>
        <w:keepNext/>
        <w:jc w:val="center"/>
        <w:rPr>
          <w:b/>
        </w:rPr>
      </w:pPr>
    </w:p>
    <w:p w:rsidR="00C726D7" w:rsidRPr="009E2072" w:rsidRDefault="00C726D7" w:rsidP="0016450F">
      <w:pPr>
        <w:keepNext/>
        <w:jc w:val="center"/>
        <w:rPr>
          <w:b/>
        </w:rPr>
      </w:pPr>
    </w:p>
    <w:p w:rsidR="00701709" w:rsidRPr="009E2072" w:rsidRDefault="00B74FEE" w:rsidP="0016450F">
      <w:pPr>
        <w:pStyle w:val="Odstavekseznama"/>
        <w:keepNext/>
        <w:numPr>
          <w:ilvl w:val="0"/>
          <w:numId w:val="10"/>
        </w:numPr>
        <w:jc w:val="center"/>
        <w:rPr>
          <w:b/>
        </w:rPr>
      </w:pPr>
      <w:r w:rsidRPr="009E2072">
        <w:rPr>
          <w:b/>
        </w:rPr>
        <w:t>O</w:t>
      </w:r>
      <w:r w:rsidR="00701709" w:rsidRPr="009E2072">
        <w:rPr>
          <w:b/>
        </w:rPr>
        <w:t>cenjevanj</w:t>
      </w:r>
      <w:r w:rsidRPr="009E2072">
        <w:rPr>
          <w:b/>
        </w:rPr>
        <w:t>e k</w:t>
      </w:r>
      <w:r w:rsidR="00F42746" w:rsidRPr="009E2072">
        <w:rPr>
          <w:b/>
        </w:rPr>
        <w:t>reditn</w:t>
      </w:r>
      <w:r w:rsidRPr="009E2072">
        <w:rPr>
          <w:b/>
        </w:rPr>
        <w:t>ih</w:t>
      </w:r>
      <w:r w:rsidR="00F42746" w:rsidRPr="009E2072">
        <w:rPr>
          <w:b/>
        </w:rPr>
        <w:t xml:space="preserve"> izgub</w:t>
      </w:r>
      <w:r w:rsidRPr="009E2072">
        <w:rPr>
          <w:b/>
        </w:rPr>
        <w:t xml:space="preserve"> za n</w:t>
      </w:r>
      <w:r w:rsidR="00F42746" w:rsidRPr="009E2072">
        <w:rPr>
          <w:b/>
        </w:rPr>
        <w:t>e</w:t>
      </w:r>
      <w:r w:rsidRPr="009E2072">
        <w:rPr>
          <w:b/>
        </w:rPr>
        <w:t>plačane izpostavljenosti</w:t>
      </w:r>
    </w:p>
    <w:p w:rsidR="00701709" w:rsidRPr="009E2072" w:rsidRDefault="00701709" w:rsidP="0016450F">
      <w:pPr>
        <w:keepNext/>
        <w:jc w:val="center"/>
        <w:rPr>
          <w:b/>
        </w:rPr>
      </w:pPr>
    </w:p>
    <w:p w:rsidR="002F62E7" w:rsidRPr="009E2072" w:rsidRDefault="00DC3100" w:rsidP="0016450F">
      <w:pPr>
        <w:pStyle w:val="Odstavekseznama"/>
        <w:keepNext/>
        <w:numPr>
          <w:ilvl w:val="0"/>
          <w:numId w:val="4"/>
        </w:numPr>
        <w:jc w:val="both"/>
      </w:pPr>
      <w:r w:rsidRPr="009E2072">
        <w:t xml:space="preserve">Banka pri oblikovanju posamičnih in skupinskih </w:t>
      </w:r>
      <w:r w:rsidR="00925491" w:rsidRPr="009E2072">
        <w:t xml:space="preserve">popravkov vrednosti </w:t>
      </w:r>
      <w:r w:rsidR="004713D7" w:rsidRPr="009E2072">
        <w:t>ter</w:t>
      </w:r>
      <w:r w:rsidR="00925491" w:rsidRPr="009E2072">
        <w:t xml:space="preserve"> </w:t>
      </w:r>
      <w:r w:rsidRPr="009E2072">
        <w:t xml:space="preserve">rezervacij </w:t>
      </w:r>
      <w:r w:rsidR="001A4356" w:rsidRPr="009E2072">
        <w:t>z</w:t>
      </w:r>
      <w:r w:rsidRPr="009E2072">
        <w:t xml:space="preserve">a </w:t>
      </w:r>
      <w:r w:rsidR="00925491" w:rsidRPr="009E2072">
        <w:t xml:space="preserve">kreditne izgube </w:t>
      </w:r>
      <w:r w:rsidR="004713D7" w:rsidRPr="009E2072">
        <w:t>z</w:t>
      </w:r>
      <w:r w:rsidR="00925491" w:rsidRPr="009E2072">
        <w:t xml:space="preserve">a </w:t>
      </w:r>
      <w:r w:rsidRPr="009E2072">
        <w:t xml:space="preserve">izpostavljenosti iz skupine 3 smiselno upošteva določbe iz poglavja 6 </w:t>
      </w:r>
      <w:r w:rsidR="00213203">
        <w:t>Napotkov</w:t>
      </w:r>
      <w:r w:rsidRPr="009E2072">
        <w:t xml:space="preserve"> ECB </w:t>
      </w:r>
      <w:r w:rsidR="003B6CC1" w:rsidRPr="009E2072">
        <w:t>o</w:t>
      </w:r>
      <w:r w:rsidR="00213203">
        <w:t xml:space="preserve"> NPL</w:t>
      </w:r>
      <w:r w:rsidR="00496790" w:rsidRPr="009E2072">
        <w:t>.</w:t>
      </w:r>
      <w:r w:rsidR="000C4BC7">
        <w:t xml:space="preserve"> </w:t>
      </w:r>
    </w:p>
    <w:p w:rsidR="00DC3100" w:rsidRPr="009E2072" w:rsidRDefault="00DC3100" w:rsidP="00DC3100">
      <w:pPr>
        <w:pStyle w:val="Odstavekseznama"/>
        <w:ind w:left="360"/>
        <w:jc w:val="both"/>
      </w:pPr>
    </w:p>
    <w:p w:rsidR="009076C9" w:rsidRPr="009E2072" w:rsidRDefault="009076C9" w:rsidP="00DC3100">
      <w:pPr>
        <w:pStyle w:val="Odstavekseznama"/>
        <w:ind w:left="360"/>
        <w:jc w:val="both"/>
      </w:pPr>
    </w:p>
    <w:p w:rsidR="0059622F" w:rsidRPr="009E2072" w:rsidRDefault="0059622F" w:rsidP="000E213E">
      <w:pPr>
        <w:pStyle w:val="Odstavekseznama"/>
        <w:numPr>
          <w:ilvl w:val="0"/>
          <w:numId w:val="10"/>
        </w:numPr>
        <w:jc w:val="center"/>
        <w:rPr>
          <w:b/>
        </w:rPr>
      </w:pPr>
      <w:r w:rsidRPr="009E2072">
        <w:rPr>
          <w:b/>
        </w:rPr>
        <w:t xml:space="preserve">Parametri tveganja ter časovna vrsta podatkov </w:t>
      </w:r>
    </w:p>
    <w:p w:rsidR="0059622F" w:rsidRPr="009E2072" w:rsidRDefault="0059622F" w:rsidP="0059622F">
      <w:pPr>
        <w:jc w:val="both"/>
        <w:rPr>
          <w:rFonts w:asciiTheme="majorHAnsi" w:hAnsiTheme="majorHAnsi"/>
          <w:sz w:val="24"/>
          <w:szCs w:val="24"/>
        </w:rPr>
      </w:pPr>
    </w:p>
    <w:p w:rsidR="0059622F" w:rsidRPr="009E2072" w:rsidRDefault="0059622F" w:rsidP="000E213E">
      <w:pPr>
        <w:pStyle w:val="Odstavekseznama"/>
        <w:numPr>
          <w:ilvl w:val="0"/>
          <w:numId w:val="4"/>
        </w:numPr>
        <w:jc w:val="both"/>
      </w:pPr>
      <w:bookmarkStart w:id="8" w:name="_Ref471981279"/>
      <w:r w:rsidRPr="009E2072">
        <w:t xml:space="preserve">Banka </w:t>
      </w:r>
      <w:r w:rsidR="00BD17A7">
        <w:t xml:space="preserve">za skupine 1, 2 in 3 </w:t>
      </w:r>
      <w:r w:rsidRPr="009E2072">
        <w:t xml:space="preserve">oblikuje lastno metodologijo </w:t>
      </w:r>
      <w:r w:rsidR="009E243F">
        <w:t>ocenjevanja</w:t>
      </w:r>
      <w:r w:rsidR="009E243F" w:rsidRPr="009E2072">
        <w:t xml:space="preserve"> </w:t>
      </w:r>
      <w:r w:rsidRPr="009E2072">
        <w:t xml:space="preserve">pričakovanih kreditnih izgub, ki temelji na parametrih tveganja: verjetnost neplačila (PD), izguba ob neplačilu (LGD) in konverzijski faktor (CF), pri čemer v največji možni meri upošteva minimalne zahteve pristopa IRB iz poglavja 3 naslova II dela 3 Uredbe CRR. </w:t>
      </w:r>
      <w:r>
        <w:t>Banka</w:t>
      </w:r>
      <w:r w:rsidRPr="009E2072">
        <w:t xml:space="preserve"> lahko </w:t>
      </w:r>
      <w:r>
        <w:t xml:space="preserve">kot </w:t>
      </w:r>
      <w:r w:rsidRPr="009E2072">
        <w:t>ocen</w:t>
      </w:r>
      <w:r>
        <w:t>o</w:t>
      </w:r>
      <w:r w:rsidRPr="009E2072">
        <w:t xml:space="preserve"> PD uporablja stopnjo neplačila, </w:t>
      </w:r>
      <w:r>
        <w:t xml:space="preserve">kot </w:t>
      </w:r>
      <w:r w:rsidRPr="009E2072">
        <w:t>ocen</w:t>
      </w:r>
      <w:r>
        <w:t>o</w:t>
      </w:r>
      <w:r w:rsidRPr="009E2072">
        <w:t xml:space="preserve"> LGD stopnjo izgube in </w:t>
      </w:r>
      <w:r>
        <w:t xml:space="preserve">kot </w:t>
      </w:r>
      <w:r w:rsidRPr="009E2072">
        <w:t>ocen</w:t>
      </w:r>
      <w:r>
        <w:t>o</w:t>
      </w:r>
      <w:r w:rsidRPr="009E2072">
        <w:t xml:space="preserve"> CF dejanski konverzijski faktor ali regulativno določen faktor CF iz </w:t>
      </w:r>
      <w:r w:rsidR="0053347B">
        <w:t xml:space="preserve">člena </w:t>
      </w:r>
      <w:r w:rsidRPr="009E2072">
        <w:t>111</w:t>
      </w:r>
      <w:r w:rsidR="0053347B">
        <w:t>(1)</w:t>
      </w:r>
      <w:r w:rsidRPr="009E2072">
        <w:t xml:space="preserve"> Uredbe CRR, ki ustreza zunajbilančni postavki glede na razvrstitev v kategorijo tveganja v skladu s Prilogo 1 Uredbe CRR.</w:t>
      </w:r>
      <w:bookmarkEnd w:id="8"/>
      <w:r w:rsidRPr="009E2072">
        <w:t xml:space="preserve"> </w:t>
      </w:r>
      <w:r>
        <w:t xml:space="preserve">Banka lahko kot osnovo za </w:t>
      </w:r>
      <w:r w:rsidR="009E243F">
        <w:t>oceno</w:t>
      </w:r>
      <w:r>
        <w:t xml:space="preserve"> pričakovanih kreditnih izgub upošteva parametre iz Smernic BS </w:t>
      </w:r>
      <w:r w:rsidR="0053347B">
        <w:t>za izračun</w:t>
      </w:r>
      <w:r>
        <w:t xml:space="preserve"> stopnje neplačila in stopnje izgube.  </w:t>
      </w:r>
    </w:p>
    <w:p w:rsidR="0059622F" w:rsidRDefault="0059622F" w:rsidP="0059622F">
      <w:pPr>
        <w:pStyle w:val="Odstavekseznama"/>
        <w:ind w:left="360"/>
        <w:jc w:val="both"/>
      </w:pPr>
    </w:p>
    <w:p w:rsidR="0059622F" w:rsidRDefault="0059622F" w:rsidP="000E213E">
      <w:pPr>
        <w:pStyle w:val="Odstavekseznama"/>
        <w:numPr>
          <w:ilvl w:val="0"/>
          <w:numId w:val="4"/>
        </w:numPr>
        <w:jc w:val="both"/>
      </w:pPr>
      <w:bookmarkStart w:id="9" w:name="_Ref477855857"/>
      <w:r w:rsidRPr="009E2072">
        <w:t xml:space="preserve">Ocene parametrov tveganja iz prejšnjega odstavka, ki jih banka upošteva pri </w:t>
      </w:r>
      <w:r w:rsidR="009E243F">
        <w:t>ocenjevanju</w:t>
      </w:r>
      <w:r w:rsidR="009E243F" w:rsidRPr="009E2072">
        <w:t xml:space="preserve"> </w:t>
      </w:r>
      <w:r w:rsidRPr="009E2072">
        <w:t>pričakovanih kreditnih izgub, v skladu s točko (c) člena 5.5.17 MSRP 9 temeljijo na preteklih dogodkih, trenutnih pogojih ter napovedih glede prihodnjih ekonomskih okoliščin. Podatki o preteklih dogodkih se nanašajo najmanj na petletno časovno obdobje</w:t>
      </w:r>
      <w:r w:rsidR="004C5FDA">
        <w:t>, pri čemer banka te podatke ustrezno prilagodi za trenutne</w:t>
      </w:r>
      <w:r w:rsidR="00BD17A7">
        <w:t xml:space="preserve"> pogoje</w:t>
      </w:r>
      <w:r w:rsidR="004C5FDA">
        <w:t xml:space="preserve"> in prihodnje </w:t>
      </w:r>
      <w:r w:rsidR="00BD17A7">
        <w:t>ekonomske okoliščine</w:t>
      </w:r>
      <w:r w:rsidRPr="009E2072">
        <w:t xml:space="preserve">. V kolikor banka ob prehodu na MSRP 9 in kasneje ne razpolaga z zadostno časovno vrsto lastnih podatkov za izračun parametrov tveganja, se obdobje zbiranja podatkov vsako leto podaljša za eno leto, dokler </w:t>
      </w:r>
      <w:r w:rsidR="00F158AD">
        <w:t xml:space="preserve">ne razpolaga s </w:t>
      </w:r>
      <w:r w:rsidRPr="009E2072">
        <w:t>podatki</w:t>
      </w:r>
      <w:r w:rsidR="00F158AD">
        <w:t xml:space="preserve"> za </w:t>
      </w:r>
      <w:r w:rsidRPr="009E2072">
        <w:t>obdobj</w:t>
      </w:r>
      <w:r w:rsidR="00F158AD">
        <w:t>e</w:t>
      </w:r>
      <w:r w:rsidRPr="009E2072">
        <w:t xml:space="preserve"> najmanj petih let. Banka, ki nima ustrezne časovne vrste lastnih podatkov, lahko uporablja tudi zunanje podatke ali kombinacijo lastnih in zunanjih podatkov. Če banka uporablja zunanje podatke, jih uporablja </w:t>
      </w:r>
      <w:r>
        <w:t>dosledno</w:t>
      </w:r>
      <w:r w:rsidRPr="009E2072">
        <w:t xml:space="preserve"> </w:t>
      </w:r>
      <w:r>
        <w:t>ter</w:t>
      </w:r>
      <w:r w:rsidRPr="009E2072">
        <w:t xml:space="preserve"> zagotovi</w:t>
      </w:r>
      <w:r>
        <w:t xml:space="preserve">, da so podatki reprezentativni za </w:t>
      </w:r>
      <w:r w:rsidR="003E18FD">
        <w:t>vrsto</w:t>
      </w:r>
      <w:r>
        <w:t xml:space="preserve"> izpostavljenosti, za katero se uporabljajo.</w:t>
      </w:r>
      <w:bookmarkEnd w:id="9"/>
    </w:p>
    <w:p w:rsidR="009E243F" w:rsidRPr="009E2072" w:rsidRDefault="009E243F" w:rsidP="009E243F">
      <w:pPr>
        <w:jc w:val="both"/>
      </w:pPr>
    </w:p>
    <w:p w:rsidR="009E243F" w:rsidRPr="009E2072" w:rsidRDefault="009E243F" w:rsidP="000E213E">
      <w:pPr>
        <w:pStyle w:val="Odstavekseznama"/>
        <w:numPr>
          <w:ilvl w:val="0"/>
          <w:numId w:val="4"/>
        </w:numPr>
        <w:jc w:val="both"/>
      </w:pPr>
      <w:r w:rsidRPr="009E2072">
        <w:t xml:space="preserve">Banka vzpostavi ustrezne procese, s katerimi zagotovi najmanj letno ovrednotenje modelov </w:t>
      </w:r>
      <w:r>
        <w:t>ocenjevanja</w:t>
      </w:r>
      <w:r w:rsidRPr="009E2072">
        <w:t xml:space="preserve"> pričakovanih kreditnih izgub ter izvajanje testiranj za nazaj. </w:t>
      </w:r>
    </w:p>
    <w:p w:rsidR="0059622F" w:rsidRPr="009E2072" w:rsidRDefault="0059622F" w:rsidP="0059622F">
      <w:pPr>
        <w:pStyle w:val="Odstavekseznama"/>
        <w:ind w:left="360"/>
        <w:jc w:val="both"/>
      </w:pPr>
    </w:p>
    <w:p w:rsidR="0059622F" w:rsidRPr="009E2072" w:rsidRDefault="0059622F" w:rsidP="0059622F">
      <w:pPr>
        <w:pStyle w:val="Odstavekseznama"/>
        <w:ind w:left="360"/>
        <w:jc w:val="both"/>
      </w:pPr>
    </w:p>
    <w:p w:rsidR="0059622F" w:rsidRPr="009E2072" w:rsidRDefault="0059622F" w:rsidP="000E213E">
      <w:pPr>
        <w:pStyle w:val="Odstavekseznama"/>
        <w:numPr>
          <w:ilvl w:val="0"/>
          <w:numId w:val="10"/>
        </w:numPr>
        <w:jc w:val="center"/>
        <w:rPr>
          <w:b/>
        </w:rPr>
      </w:pPr>
      <w:r w:rsidRPr="009E2072">
        <w:rPr>
          <w:b/>
        </w:rPr>
        <w:t>Parametri tveganja za nekatere vrste izpostavljenosti z majhnim številom neplačil</w:t>
      </w:r>
    </w:p>
    <w:p w:rsidR="0059622F" w:rsidRPr="00982004" w:rsidRDefault="0059622F" w:rsidP="00982004">
      <w:pPr>
        <w:pStyle w:val="Odstavekseznama"/>
        <w:ind w:left="360"/>
        <w:jc w:val="both"/>
      </w:pPr>
    </w:p>
    <w:p w:rsidR="0059622F" w:rsidRPr="009E2072" w:rsidRDefault="00D20D73" w:rsidP="000E213E">
      <w:pPr>
        <w:pStyle w:val="Odstavekseznama"/>
        <w:numPr>
          <w:ilvl w:val="0"/>
          <w:numId w:val="4"/>
        </w:numPr>
        <w:jc w:val="both"/>
      </w:pPr>
      <w:bookmarkStart w:id="10" w:name="_Ref345876101"/>
      <w:r>
        <w:t>B</w:t>
      </w:r>
      <w:r w:rsidR="0059622F">
        <w:t>anka</w:t>
      </w:r>
      <w:r w:rsidR="0059622F" w:rsidRPr="009E2072">
        <w:t xml:space="preserve"> lahko za kategorije izpostavljenosti</w:t>
      </w:r>
      <w:r w:rsidR="0059622F">
        <w:t xml:space="preserve"> do enot centralne ravni držav in centralnih bank</w:t>
      </w:r>
      <w:r w:rsidR="00FB7C75">
        <w:t xml:space="preserve"> (v nadaljevanju država)</w:t>
      </w:r>
      <w:r w:rsidR="0059622F">
        <w:t>, do institucij</w:t>
      </w:r>
      <w:r w:rsidR="0059622F" w:rsidRPr="009E2072">
        <w:t>, do enot regionalne ali lokalne ravni držav</w:t>
      </w:r>
      <w:r w:rsidR="0059622F">
        <w:t xml:space="preserve"> in </w:t>
      </w:r>
      <w:r w:rsidR="0059622F" w:rsidRPr="009E2072">
        <w:t>do subjektov javnega sektorja</w:t>
      </w:r>
      <w:r w:rsidR="0059622F">
        <w:t>,</w:t>
      </w:r>
      <w:r w:rsidR="0059622F" w:rsidRPr="009E2072">
        <w:t xml:space="preserve"> kot so opredeljene v Uredbi CRR za namen izračuna kapitalske zahteve za kreditno tveganje po standardiziranem pristopu, </w:t>
      </w:r>
      <w:r w:rsidR="0059622F">
        <w:t>upošteva</w:t>
      </w:r>
      <w:r w:rsidR="0059622F" w:rsidRPr="009E2072">
        <w:t xml:space="preserve"> </w:t>
      </w:r>
      <w:r w:rsidR="0059622F">
        <w:t>usmeritve iz podpoglavij C.1 in C.2</w:t>
      </w:r>
      <w:r w:rsidR="001E308B">
        <w:t xml:space="preserve"> teh u</w:t>
      </w:r>
      <w:r w:rsidR="009E243F">
        <w:t>smeritev</w:t>
      </w:r>
      <w:r w:rsidR="0059622F">
        <w:t>.</w:t>
      </w:r>
      <w:bookmarkEnd w:id="10"/>
    </w:p>
    <w:p w:rsidR="0059622F" w:rsidRDefault="0059622F" w:rsidP="0059622F">
      <w:pPr>
        <w:pStyle w:val="Odstavekseznama"/>
        <w:ind w:left="360"/>
        <w:jc w:val="both"/>
      </w:pPr>
    </w:p>
    <w:p w:rsidR="0059622F" w:rsidRDefault="0059622F" w:rsidP="00D4157E">
      <w:pPr>
        <w:jc w:val="center"/>
        <w:rPr>
          <w:b/>
        </w:rPr>
      </w:pPr>
      <w:r w:rsidRPr="00D4157E">
        <w:rPr>
          <w:b/>
        </w:rPr>
        <w:t>C.1 Ocena parametra tveganja PD</w:t>
      </w:r>
    </w:p>
    <w:p w:rsidR="0059622F" w:rsidRPr="00D4157E" w:rsidRDefault="0059622F" w:rsidP="0059622F">
      <w:pPr>
        <w:jc w:val="center"/>
        <w:rPr>
          <w:b/>
        </w:rPr>
      </w:pPr>
    </w:p>
    <w:p w:rsidR="00243642" w:rsidRDefault="00243642" w:rsidP="00243642">
      <w:pPr>
        <w:pStyle w:val="Odstavekseznama"/>
        <w:numPr>
          <w:ilvl w:val="0"/>
          <w:numId w:val="4"/>
        </w:numPr>
        <w:jc w:val="both"/>
      </w:pPr>
      <w:bookmarkStart w:id="11" w:name="_Ref478479168"/>
      <w:bookmarkStart w:id="12" w:name="_Ref477855816"/>
      <w:r>
        <w:t xml:space="preserve">Banka pri določitvi ocene PD na podlagi stopnje neplačila izhaja najmanj </w:t>
      </w:r>
      <w:r w:rsidR="00862B6C">
        <w:t xml:space="preserve">iz </w:t>
      </w:r>
      <w:r>
        <w:t>petletne časovne vrste podatkov o stopnjah neplačila</w:t>
      </w:r>
      <w:r w:rsidRPr="00C17F9F">
        <w:t xml:space="preserve"> </w:t>
      </w:r>
      <w:r w:rsidR="00374DAE">
        <w:t>za posamezne</w:t>
      </w:r>
      <w:r>
        <w:t xml:space="preserve"> bonitetn</w:t>
      </w:r>
      <w:r w:rsidR="00374DAE">
        <w:t>e</w:t>
      </w:r>
      <w:r>
        <w:t xml:space="preserve"> ocen</w:t>
      </w:r>
      <w:r w:rsidR="00374DAE">
        <w:t>e, objavljenih s strani</w:t>
      </w:r>
      <w:r>
        <w:t xml:space="preserve"> bonitetnih agencij</w:t>
      </w:r>
      <w:r w:rsidR="00374DAE">
        <w:t>,</w:t>
      </w:r>
      <w:r>
        <w:t xml:space="preserve"> ter zagotovi, da stopnja neplačila za posamezno bonitetno oceno nikoli ni nižja od stopnje neplačila</w:t>
      </w:r>
      <w:r w:rsidR="003E18FD">
        <w:t xml:space="preserve">, ki velja za eno stopnjo višjo (boljšo) </w:t>
      </w:r>
      <w:r>
        <w:t>bonitetno oceno.</w:t>
      </w:r>
      <w:bookmarkEnd w:id="11"/>
    </w:p>
    <w:p w:rsidR="00243642" w:rsidRDefault="00243642" w:rsidP="00243642">
      <w:pPr>
        <w:pStyle w:val="Odstavekseznama"/>
        <w:ind w:left="360"/>
        <w:jc w:val="both"/>
      </w:pPr>
    </w:p>
    <w:p w:rsidR="00243642" w:rsidRDefault="00243642" w:rsidP="00243642">
      <w:pPr>
        <w:pStyle w:val="Odstavekseznama"/>
        <w:numPr>
          <w:ilvl w:val="0"/>
          <w:numId w:val="4"/>
        </w:numPr>
        <w:jc w:val="both"/>
      </w:pPr>
      <w:r>
        <w:t>Banka enkrat letno pridobi najnovejše podatke o stopnjah neplačila po bonitetnih ocenah bonitetnih agencij za zadnje razpoložljivo časovno obdobje ter obstoječe stopnje neplačila</w:t>
      </w:r>
      <w:r w:rsidRPr="009E243F">
        <w:t xml:space="preserve"> </w:t>
      </w:r>
      <w:r>
        <w:t>posodobi.</w:t>
      </w:r>
    </w:p>
    <w:p w:rsidR="00243642" w:rsidRDefault="00243642" w:rsidP="00243642">
      <w:pPr>
        <w:pStyle w:val="Odstavekseznama"/>
        <w:ind w:left="360"/>
        <w:jc w:val="both"/>
      </w:pPr>
    </w:p>
    <w:p w:rsidR="0059622F" w:rsidRDefault="00243642" w:rsidP="000E213E">
      <w:pPr>
        <w:pStyle w:val="Odstavekseznama"/>
        <w:numPr>
          <w:ilvl w:val="0"/>
          <w:numId w:val="4"/>
        </w:numPr>
        <w:jc w:val="both"/>
      </w:pPr>
      <w:bookmarkStart w:id="13" w:name="_Ref478467809"/>
      <w:r>
        <w:t xml:space="preserve">Banka lahko za namen </w:t>
      </w:r>
      <w:r w:rsidR="00377DD2">
        <w:fldChar w:fldCharType="begin"/>
      </w:r>
      <w:r w:rsidR="00377DD2">
        <w:instrText xml:space="preserve"> REF _Ref478479168 \r \h </w:instrText>
      </w:r>
      <w:r w:rsidR="00377DD2">
        <w:fldChar w:fldCharType="separate"/>
      </w:r>
      <w:r w:rsidR="009C653A">
        <w:t>25</w:t>
      </w:r>
      <w:r w:rsidR="00377DD2">
        <w:fldChar w:fldCharType="end"/>
      </w:r>
      <w:r>
        <w:t xml:space="preserve">. odstavka teh usmeritev </w:t>
      </w:r>
      <w:r w:rsidR="0059622F">
        <w:t xml:space="preserve">določi oceno PD </w:t>
      </w:r>
      <w:r w:rsidR="007A549D">
        <w:t>za izpostavljenosti, razvrščene v</w:t>
      </w:r>
      <w:r w:rsidR="0059622F">
        <w:t xml:space="preserve"> kategorij</w:t>
      </w:r>
      <w:r w:rsidR="007A549D">
        <w:t xml:space="preserve">e </w:t>
      </w:r>
      <w:r w:rsidR="0059622F">
        <w:t xml:space="preserve">izpostavljenosti iz </w:t>
      </w:r>
      <w:r w:rsidR="00377DD2">
        <w:fldChar w:fldCharType="begin"/>
      </w:r>
      <w:r w:rsidR="00377DD2">
        <w:instrText xml:space="preserve"> REF _Ref345876101 \r \h </w:instrText>
      </w:r>
      <w:r w:rsidR="00377DD2">
        <w:fldChar w:fldCharType="separate"/>
      </w:r>
      <w:r w:rsidR="009C653A">
        <w:t>24</w:t>
      </w:r>
      <w:r w:rsidR="00377DD2">
        <w:fldChar w:fldCharType="end"/>
      </w:r>
      <w:r w:rsidR="005D6556">
        <w:t xml:space="preserve">. </w:t>
      </w:r>
      <w:r w:rsidR="0059622F">
        <w:t xml:space="preserve">odstavka </w:t>
      </w:r>
      <w:r w:rsidR="005D6556">
        <w:t>teh usmeritev</w:t>
      </w:r>
      <w:r w:rsidR="007A549D">
        <w:t>,</w:t>
      </w:r>
      <w:r w:rsidR="005D6556">
        <w:t xml:space="preserve"> </w:t>
      </w:r>
      <w:r w:rsidR="00621B47">
        <w:t>na podlagi</w:t>
      </w:r>
      <w:r w:rsidR="0059622F">
        <w:t>:</w:t>
      </w:r>
      <w:bookmarkEnd w:id="12"/>
      <w:bookmarkEnd w:id="13"/>
    </w:p>
    <w:p w:rsidR="0059622F" w:rsidRDefault="0059622F" w:rsidP="000E213E">
      <w:pPr>
        <w:pStyle w:val="Odstavekseznama"/>
        <w:numPr>
          <w:ilvl w:val="0"/>
          <w:numId w:val="35"/>
        </w:numPr>
        <w:jc w:val="both"/>
      </w:pPr>
      <w:r>
        <w:t>naj</w:t>
      </w:r>
      <w:r w:rsidR="00F24F56">
        <w:t>višje</w:t>
      </w:r>
      <w:r>
        <w:t xml:space="preserve"> izmed stopenj neplačil</w:t>
      </w:r>
      <w:r w:rsidR="007D17CB" w:rsidRPr="007D17CB">
        <w:t xml:space="preserve"> </w:t>
      </w:r>
      <w:r w:rsidR="007D17CB">
        <w:t>za posamezne bonitetne ocene</w:t>
      </w:r>
      <w:r>
        <w:t xml:space="preserve"> </w:t>
      </w:r>
      <w:r w:rsidR="00C34370">
        <w:t xml:space="preserve">vsaj treh </w:t>
      </w:r>
      <w:r>
        <w:t>bonitetnih agencij (v nadaljevanju zadevn</w:t>
      </w:r>
      <w:r w:rsidR="00801C40">
        <w:t>e</w:t>
      </w:r>
      <w:r>
        <w:t xml:space="preserve"> bonitetn</w:t>
      </w:r>
      <w:r w:rsidR="00801C40">
        <w:t>e</w:t>
      </w:r>
      <w:r>
        <w:t xml:space="preserve"> agencij</w:t>
      </w:r>
      <w:r w:rsidR="00801C40">
        <w:t>e</w:t>
      </w:r>
      <w:r>
        <w:t>)</w:t>
      </w:r>
      <w:r w:rsidR="00816CD5">
        <w:t>,</w:t>
      </w:r>
      <w:r w:rsidR="00621B47">
        <w:t xml:space="preserve"> ali</w:t>
      </w:r>
      <w:r>
        <w:t xml:space="preserve"> </w:t>
      </w:r>
    </w:p>
    <w:p w:rsidR="00F065C6" w:rsidRDefault="00F065C6" w:rsidP="00F065C6">
      <w:pPr>
        <w:pStyle w:val="Odstavekseznama"/>
        <w:numPr>
          <w:ilvl w:val="0"/>
          <w:numId w:val="35"/>
        </w:numPr>
        <w:jc w:val="both"/>
      </w:pPr>
      <w:r>
        <w:t>povprečne stopnje neplačila, izračunane na podlagi združevanja bonitetnih ocen zadevnih bonitetnih agencij,</w:t>
      </w:r>
      <w:r w:rsidR="00621B47">
        <w:t xml:space="preserve"> ali</w:t>
      </w:r>
    </w:p>
    <w:p w:rsidR="009805F3" w:rsidRDefault="009805F3" w:rsidP="009805F3">
      <w:pPr>
        <w:pStyle w:val="Odstavekseznama"/>
        <w:numPr>
          <w:ilvl w:val="0"/>
          <w:numId w:val="35"/>
        </w:numPr>
        <w:jc w:val="both"/>
      </w:pPr>
      <w:r>
        <w:t xml:space="preserve">stopnje neplačila </w:t>
      </w:r>
      <w:r w:rsidR="00E84387">
        <w:t xml:space="preserve">za posamezne bonitetne ocene </w:t>
      </w:r>
      <w:r>
        <w:t>bonitetne agencije, ki jo je banka za namen izračuna kapitalskih zahtev imenovala za kategorijo izpostavljenosti</w:t>
      </w:r>
      <w:r w:rsidR="007A549D">
        <w:t>, v katero se razvršča zadevna izpostavljenost</w:t>
      </w:r>
      <w:r w:rsidR="002C4C95">
        <w:rPr>
          <w:rStyle w:val="Sprotnaopomba-sklic"/>
        </w:rPr>
        <w:footnoteReference w:id="3"/>
      </w:r>
      <w:r>
        <w:t xml:space="preserve"> (v nadaljevanju imenovana bonitetna agencija)</w:t>
      </w:r>
      <w:r w:rsidR="003E06F3">
        <w:t>.</w:t>
      </w:r>
    </w:p>
    <w:p w:rsidR="009E4D7C" w:rsidRDefault="009E4D7C" w:rsidP="003E06F3">
      <w:pPr>
        <w:ind w:left="360"/>
        <w:jc w:val="both"/>
      </w:pPr>
    </w:p>
    <w:p w:rsidR="0059622F" w:rsidRDefault="00F630D7" w:rsidP="003E06F3">
      <w:pPr>
        <w:ind w:left="360"/>
        <w:jc w:val="both"/>
      </w:pPr>
      <w:r>
        <w:t xml:space="preserve">Banka </w:t>
      </w:r>
      <w:r w:rsidR="003E06F3">
        <w:t xml:space="preserve">lahko </w:t>
      </w:r>
      <w:r w:rsidR="009E4D7C">
        <w:t xml:space="preserve">za zadevne kategorije izpostavljenosti </w:t>
      </w:r>
      <w:r w:rsidR="003E06F3">
        <w:t xml:space="preserve">uporabi </w:t>
      </w:r>
      <w:r>
        <w:t xml:space="preserve">tudi </w:t>
      </w:r>
      <w:r w:rsidR="005D6556">
        <w:t>druge metodologije določanja ocene PD, ki ustrezno odraža kreditno tveganje teh izpostavljenosti</w:t>
      </w:r>
      <w:r w:rsidR="00FA7867">
        <w:t>.</w:t>
      </w:r>
    </w:p>
    <w:p w:rsidR="0059622F" w:rsidRDefault="0059622F" w:rsidP="0059622F">
      <w:pPr>
        <w:jc w:val="both"/>
      </w:pPr>
    </w:p>
    <w:p w:rsidR="0059622F" w:rsidRDefault="0059622F" w:rsidP="000E213E">
      <w:pPr>
        <w:pStyle w:val="Odstavekseznama"/>
        <w:numPr>
          <w:ilvl w:val="0"/>
          <w:numId w:val="4"/>
        </w:numPr>
        <w:jc w:val="both"/>
      </w:pPr>
      <w:r>
        <w:t xml:space="preserve">Pri upoštevanju možnosti </w:t>
      </w:r>
      <w:r w:rsidR="00E366BC">
        <w:t>(</w:t>
      </w:r>
      <w:r>
        <w:t>a</w:t>
      </w:r>
      <w:r w:rsidR="00E366BC">
        <w:t>)</w:t>
      </w:r>
      <w:r>
        <w:t xml:space="preserve"> iz </w:t>
      </w:r>
      <w:r w:rsidR="00B5276A">
        <w:fldChar w:fldCharType="begin"/>
      </w:r>
      <w:r w:rsidR="00B5276A">
        <w:instrText xml:space="preserve"> REF _Ref478467809 \r \h </w:instrText>
      </w:r>
      <w:r w:rsidR="00B5276A">
        <w:fldChar w:fldCharType="separate"/>
      </w:r>
      <w:r w:rsidR="009C653A">
        <w:t>27</w:t>
      </w:r>
      <w:r w:rsidR="00B5276A">
        <w:fldChar w:fldCharType="end"/>
      </w:r>
      <w:r>
        <w:t xml:space="preserve">. odstavka teh </w:t>
      </w:r>
      <w:r w:rsidR="00BD2E0B">
        <w:t>u</w:t>
      </w:r>
      <w:r>
        <w:t>smeritev banka upošteva naslednj</w:t>
      </w:r>
      <w:r w:rsidR="009A3E6B">
        <w:t>e</w:t>
      </w:r>
      <w:r>
        <w:t>:</w:t>
      </w:r>
    </w:p>
    <w:p w:rsidR="00E366BC" w:rsidRDefault="00E366BC" w:rsidP="00E366BC">
      <w:pPr>
        <w:pStyle w:val="Odstavekseznama"/>
      </w:pPr>
    </w:p>
    <w:p w:rsidR="0059622F" w:rsidRPr="009E2072" w:rsidRDefault="0059622F" w:rsidP="000E213E">
      <w:pPr>
        <w:pStyle w:val="Odstavekseznama"/>
        <w:numPr>
          <w:ilvl w:val="0"/>
          <w:numId w:val="11"/>
        </w:numPr>
        <w:jc w:val="both"/>
      </w:pPr>
      <w:r w:rsidRPr="009E2072">
        <w:t xml:space="preserve">za izpostavljenosti do </w:t>
      </w:r>
      <w:r w:rsidR="003E18FD">
        <w:t>držav</w:t>
      </w:r>
      <w:r w:rsidRPr="009E2072">
        <w:t>:</w:t>
      </w:r>
    </w:p>
    <w:p w:rsidR="00145202" w:rsidRDefault="0059622F" w:rsidP="000E213E">
      <w:pPr>
        <w:pStyle w:val="Odstavekseznama"/>
        <w:numPr>
          <w:ilvl w:val="0"/>
          <w:numId w:val="12"/>
        </w:numPr>
        <w:jc w:val="both"/>
      </w:pPr>
      <w:r>
        <w:t xml:space="preserve">za katere so na razpolago bonitetne ocene zadevnih </w:t>
      </w:r>
      <w:r w:rsidRPr="009E2072">
        <w:t>bonitetn</w:t>
      </w:r>
      <w:r>
        <w:t>ih</w:t>
      </w:r>
      <w:r w:rsidRPr="009E2072">
        <w:t xml:space="preserve"> agencij, banka upošteva </w:t>
      </w:r>
      <w:r>
        <w:t>naj</w:t>
      </w:r>
      <w:r w:rsidR="0091543D">
        <w:t>višjo</w:t>
      </w:r>
      <w:r>
        <w:t xml:space="preserve"> </w:t>
      </w:r>
      <w:r w:rsidRPr="009E2072">
        <w:t>stopnjo neplačila, ki ustreza te</w:t>
      </w:r>
      <w:r>
        <w:t>m</w:t>
      </w:r>
      <w:r w:rsidRPr="009E2072">
        <w:t xml:space="preserve"> bonitetni</w:t>
      </w:r>
      <w:r>
        <w:t>m</w:t>
      </w:r>
      <w:r w:rsidRPr="009E2072">
        <w:t xml:space="preserve"> ocen</w:t>
      </w:r>
      <w:r>
        <w:t>am</w:t>
      </w:r>
      <w:r w:rsidRPr="009E2072">
        <w:t xml:space="preserve">, </w:t>
      </w:r>
    </w:p>
    <w:p w:rsidR="0059622F" w:rsidRPr="009E2072" w:rsidRDefault="0059622F" w:rsidP="000E213E">
      <w:pPr>
        <w:pStyle w:val="Odstavekseznama"/>
        <w:numPr>
          <w:ilvl w:val="0"/>
          <w:numId w:val="12"/>
        </w:numPr>
        <w:jc w:val="both"/>
      </w:pPr>
      <w:r w:rsidRPr="009E2072">
        <w:t xml:space="preserve">za katere ni na razpolago </w:t>
      </w:r>
      <w:r>
        <w:t xml:space="preserve">nobene </w:t>
      </w:r>
      <w:r w:rsidRPr="009E2072">
        <w:t xml:space="preserve">bonitetne ocene </w:t>
      </w:r>
      <w:r>
        <w:t xml:space="preserve">zadevnih </w:t>
      </w:r>
      <w:r w:rsidRPr="009E2072">
        <w:t>bonitetn</w:t>
      </w:r>
      <w:r>
        <w:t>ih</w:t>
      </w:r>
      <w:r w:rsidRPr="009E2072">
        <w:t xml:space="preserve"> agencij, banka upošteva </w:t>
      </w:r>
      <w:r>
        <w:t>naj</w:t>
      </w:r>
      <w:r w:rsidR="0091543D">
        <w:t>višjo</w:t>
      </w:r>
      <w:r>
        <w:t xml:space="preserve"> </w:t>
      </w:r>
      <w:r w:rsidRPr="009E2072">
        <w:t xml:space="preserve">stopnjo neplačila, ki ustreza najnižjemu bonitetnemu razredu znotraj naložbenih razredov tveganja </w:t>
      </w:r>
      <w:r>
        <w:t>zadevnih</w:t>
      </w:r>
      <w:r w:rsidRPr="009E2072">
        <w:t xml:space="preserve"> bonitetn</w:t>
      </w:r>
      <w:r>
        <w:t>ih</w:t>
      </w:r>
      <w:r w:rsidRPr="009E2072">
        <w:t xml:space="preserve"> agencij;</w:t>
      </w:r>
    </w:p>
    <w:p w:rsidR="0059622F" w:rsidRPr="009E2072" w:rsidRDefault="0059622F" w:rsidP="0059622F">
      <w:pPr>
        <w:pStyle w:val="Odstavekseznama"/>
        <w:ind w:left="1428"/>
        <w:jc w:val="both"/>
      </w:pPr>
    </w:p>
    <w:p w:rsidR="0059622F" w:rsidRPr="009E2072" w:rsidRDefault="0059622F" w:rsidP="000E213E">
      <w:pPr>
        <w:pStyle w:val="Odstavekseznama"/>
        <w:numPr>
          <w:ilvl w:val="0"/>
          <w:numId w:val="11"/>
        </w:numPr>
        <w:jc w:val="both"/>
      </w:pPr>
      <w:r w:rsidRPr="009E2072">
        <w:t xml:space="preserve">za izpostavljenosti do institucij: </w:t>
      </w:r>
    </w:p>
    <w:p w:rsidR="003A3742" w:rsidRDefault="0059622F" w:rsidP="00F440AF">
      <w:pPr>
        <w:pStyle w:val="Odstavekseznama"/>
        <w:numPr>
          <w:ilvl w:val="0"/>
          <w:numId w:val="12"/>
        </w:numPr>
        <w:jc w:val="both"/>
      </w:pPr>
      <w:r w:rsidRPr="009E2072">
        <w:t xml:space="preserve">za katere </w:t>
      </w:r>
      <w:r>
        <w:t>so</w:t>
      </w:r>
      <w:r w:rsidRPr="009E2072">
        <w:t xml:space="preserve"> na razpolago bonitetn</w:t>
      </w:r>
      <w:r>
        <w:t>e</w:t>
      </w:r>
      <w:r w:rsidRPr="009E2072">
        <w:t xml:space="preserve"> ocen</w:t>
      </w:r>
      <w:r>
        <w:t>e</w:t>
      </w:r>
      <w:r w:rsidRPr="009E2072">
        <w:t xml:space="preserve"> </w:t>
      </w:r>
      <w:r>
        <w:t xml:space="preserve">zadevnih </w:t>
      </w:r>
      <w:r w:rsidRPr="009E2072">
        <w:t>bonitetn</w:t>
      </w:r>
      <w:r>
        <w:t>ih</w:t>
      </w:r>
      <w:r w:rsidRPr="009E2072">
        <w:t xml:space="preserve"> agencij</w:t>
      </w:r>
      <w:r w:rsidR="00F440AF">
        <w:t>,</w:t>
      </w:r>
      <w:r>
        <w:t xml:space="preserve"> banka</w:t>
      </w:r>
      <w:r w:rsidRPr="009E2072">
        <w:t xml:space="preserve"> upošteva </w:t>
      </w:r>
      <w:r>
        <w:t>naj</w:t>
      </w:r>
      <w:r w:rsidR="0091543D">
        <w:t>višjo</w:t>
      </w:r>
      <w:r>
        <w:t xml:space="preserve"> </w:t>
      </w:r>
      <w:r w:rsidRPr="009E2072">
        <w:t>stopnjo neplačila, ki ustreza te</w:t>
      </w:r>
      <w:r>
        <w:t>m</w:t>
      </w:r>
      <w:r w:rsidRPr="009E2072">
        <w:t xml:space="preserve"> bonitetni</w:t>
      </w:r>
      <w:r>
        <w:t>m</w:t>
      </w:r>
      <w:r w:rsidRPr="009E2072">
        <w:t xml:space="preserve"> ocen</w:t>
      </w:r>
      <w:r>
        <w:t>am</w:t>
      </w:r>
      <w:r w:rsidRPr="009E2072">
        <w:t xml:space="preserve">, </w:t>
      </w:r>
      <w:r w:rsidR="0060124C">
        <w:t xml:space="preserve"> </w:t>
      </w:r>
    </w:p>
    <w:p w:rsidR="0059622F" w:rsidRPr="009E2072" w:rsidRDefault="0059622F" w:rsidP="000E213E">
      <w:pPr>
        <w:pStyle w:val="Odstavekseznama"/>
        <w:numPr>
          <w:ilvl w:val="0"/>
          <w:numId w:val="12"/>
        </w:numPr>
        <w:jc w:val="both"/>
      </w:pPr>
      <w:r w:rsidRPr="009E2072">
        <w:t xml:space="preserve">za katere ni na razpolago </w:t>
      </w:r>
      <w:r>
        <w:t xml:space="preserve">nobene </w:t>
      </w:r>
      <w:r w:rsidRPr="009E2072">
        <w:t xml:space="preserve">bonitetne ocene </w:t>
      </w:r>
      <w:r>
        <w:t>zadevnih</w:t>
      </w:r>
      <w:r w:rsidR="00B16856">
        <w:t xml:space="preserve"> </w:t>
      </w:r>
      <w:r w:rsidRPr="009E2072">
        <w:t>bonitetn</w:t>
      </w:r>
      <w:r>
        <w:t>ih</w:t>
      </w:r>
      <w:r w:rsidRPr="009E2072">
        <w:t xml:space="preserve"> agencij: </w:t>
      </w:r>
    </w:p>
    <w:p w:rsidR="0059622F" w:rsidRPr="009E2072" w:rsidRDefault="0059622F" w:rsidP="00366CEA">
      <w:pPr>
        <w:pStyle w:val="Odstavekseznama"/>
        <w:numPr>
          <w:ilvl w:val="0"/>
          <w:numId w:val="55"/>
        </w:numPr>
        <w:jc w:val="both"/>
      </w:pPr>
      <w:r w:rsidRPr="009E2072">
        <w:t xml:space="preserve">banka ugotovi bonitetno oceno države, v kateri ima institucija sedež, dodeljene s strani </w:t>
      </w:r>
      <w:r>
        <w:t>zadevnih</w:t>
      </w:r>
      <w:r w:rsidRPr="009E2072">
        <w:t xml:space="preserve"> bonitetn</w:t>
      </w:r>
      <w:r>
        <w:t>ih</w:t>
      </w:r>
      <w:r w:rsidRPr="009E2072">
        <w:t xml:space="preserve"> agencij </w:t>
      </w:r>
      <w:r>
        <w:t xml:space="preserve">(če ima določena izpostavljenost različne bonitetne ocene zadevnih bonitetnih agencij, banka upošteva najslabšo </w:t>
      </w:r>
      <w:r w:rsidR="006E5C67">
        <w:t xml:space="preserve">izmed teh </w:t>
      </w:r>
      <w:r>
        <w:t>bonitetn</w:t>
      </w:r>
      <w:r w:rsidR="006E5C67">
        <w:t>ih</w:t>
      </w:r>
      <w:r>
        <w:t xml:space="preserve"> ocen) </w:t>
      </w:r>
      <w:r w:rsidRPr="009E2072">
        <w:t>in tej bonitetni oceni v skladu s Prilogo III Izvedbene Uredbe Komisije (EU) 2016/1799 dodeli stopnjo kreditne kakovosti,</w:t>
      </w:r>
    </w:p>
    <w:p w:rsidR="0059622F" w:rsidRPr="009E2072" w:rsidRDefault="0059622F" w:rsidP="00366CEA">
      <w:pPr>
        <w:pStyle w:val="Odstavekseznama"/>
        <w:numPr>
          <w:ilvl w:val="0"/>
          <w:numId w:val="55"/>
        </w:numPr>
        <w:jc w:val="both"/>
      </w:pPr>
      <w:r w:rsidRPr="009E2072">
        <w:t>stopnjo kreditne kakovosti iz prejšnje podaline</w:t>
      </w:r>
      <w:r w:rsidR="0063611C">
        <w:t>j</w:t>
      </w:r>
      <w:r w:rsidRPr="009E2072">
        <w:t>e zniža za eno stopnjo in na podlagi Priloge III Izvedbene Uredbe Komisije (EU) 2016/1799 ugotovi, katere bonitetne ocene zadevn</w:t>
      </w:r>
      <w:r>
        <w:t>ih</w:t>
      </w:r>
      <w:r w:rsidRPr="009E2072">
        <w:t xml:space="preserve"> bonitetn</w:t>
      </w:r>
      <w:r>
        <w:t>ih</w:t>
      </w:r>
      <w:r w:rsidRPr="009E2072">
        <w:t xml:space="preserve"> agencij ustrezajo tej stopnji kreditne kakovosti,</w:t>
      </w:r>
    </w:p>
    <w:p w:rsidR="0059622F" w:rsidRPr="009E2072" w:rsidRDefault="0059622F" w:rsidP="00366CEA">
      <w:pPr>
        <w:pStyle w:val="Odstavekseznama"/>
        <w:numPr>
          <w:ilvl w:val="0"/>
          <w:numId w:val="55"/>
        </w:numPr>
        <w:jc w:val="both"/>
      </w:pPr>
      <w:r w:rsidRPr="009E2072">
        <w:t xml:space="preserve">na podlagi stopenj neplačila, ki ustrezajo bonitetnim ocenam iz prejšnje podalineje, </w:t>
      </w:r>
      <w:r>
        <w:t>upošteva</w:t>
      </w:r>
      <w:r w:rsidRPr="009E2072">
        <w:t xml:space="preserve"> </w:t>
      </w:r>
      <w:r>
        <w:t>naj</w:t>
      </w:r>
      <w:r w:rsidR="0091543D">
        <w:t>višjo</w:t>
      </w:r>
      <w:r>
        <w:t xml:space="preserve"> </w:t>
      </w:r>
      <w:r w:rsidRPr="009E2072">
        <w:t>stopnj</w:t>
      </w:r>
      <w:r>
        <w:t>o</w:t>
      </w:r>
      <w:r w:rsidRPr="009E2072">
        <w:t xml:space="preserve"> neplačila;</w:t>
      </w:r>
    </w:p>
    <w:p w:rsidR="0059622F" w:rsidRPr="009E2072" w:rsidRDefault="0059622F" w:rsidP="0059622F">
      <w:pPr>
        <w:jc w:val="both"/>
      </w:pPr>
    </w:p>
    <w:p w:rsidR="0059622F" w:rsidRPr="009E2072" w:rsidRDefault="0059622F" w:rsidP="000E213E">
      <w:pPr>
        <w:pStyle w:val="Odstavekseznama"/>
        <w:numPr>
          <w:ilvl w:val="0"/>
          <w:numId w:val="11"/>
        </w:numPr>
        <w:jc w:val="both"/>
      </w:pPr>
      <w:r w:rsidRPr="009E2072">
        <w:t xml:space="preserve">za izpostavljenosti do enot regionalne ali lokalne ravni držav banka upošteva pravila iz točke </w:t>
      </w:r>
      <w:r w:rsidR="007661FC">
        <w:t>(b</w:t>
      </w:r>
      <w:r w:rsidR="00115F9E">
        <w:t>) tega odstavka</w:t>
      </w:r>
      <w:r w:rsidRPr="009E2072">
        <w:t xml:space="preserve">. Za izpostavljenosti do enot regionalne ali lokalne ravni držav z nizkim tveganjem, kot so opredeljene v členu 115(2) Uredbe CRR, banka upošteva pravila iz točke </w:t>
      </w:r>
      <w:r w:rsidR="007661FC">
        <w:t>(a</w:t>
      </w:r>
      <w:r w:rsidRPr="009E2072">
        <w:t>) tega odstavka;</w:t>
      </w:r>
    </w:p>
    <w:p w:rsidR="0059622F" w:rsidRPr="009E2072" w:rsidRDefault="0059622F" w:rsidP="0059622F">
      <w:pPr>
        <w:pStyle w:val="Odstavekseznama"/>
        <w:ind w:left="1068"/>
        <w:jc w:val="both"/>
      </w:pPr>
    </w:p>
    <w:p w:rsidR="0059622F" w:rsidRDefault="0059622F" w:rsidP="000E213E">
      <w:pPr>
        <w:pStyle w:val="Odstavekseznama"/>
        <w:numPr>
          <w:ilvl w:val="0"/>
          <w:numId w:val="11"/>
        </w:numPr>
        <w:jc w:val="both"/>
      </w:pPr>
      <w:r w:rsidRPr="009E2072">
        <w:t xml:space="preserve">za izpostavljenosti do subjektov javnega sektorja banka upošteva pravila iz točke </w:t>
      </w:r>
      <w:r w:rsidR="007661FC">
        <w:t>(b</w:t>
      </w:r>
      <w:r w:rsidR="00115F9E">
        <w:t>) tega odstavka</w:t>
      </w:r>
      <w:r w:rsidRPr="009E2072">
        <w:t xml:space="preserve">. Za izpostavljenosti do subjektov javnega sektorja z nizkim tveganjem, kot so opredeljeni v členu 116(4) Uredbe CRR, banka upošteva pravila iz točke </w:t>
      </w:r>
      <w:r w:rsidR="007661FC">
        <w:t>(a</w:t>
      </w:r>
      <w:r w:rsidRPr="009E2072">
        <w:t>) tega odstavka.</w:t>
      </w:r>
    </w:p>
    <w:p w:rsidR="00E366BC" w:rsidRDefault="00E366BC" w:rsidP="0009124B">
      <w:pPr>
        <w:jc w:val="both"/>
      </w:pPr>
    </w:p>
    <w:p w:rsidR="00E238E2" w:rsidRDefault="00E238E2" w:rsidP="0043010F">
      <w:pPr>
        <w:pStyle w:val="Odstavekseznama"/>
        <w:numPr>
          <w:ilvl w:val="0"/>
          <w:numId w:val="4"/>
        </w:numPr>
        <w:jc w:val="both"/>
      </w:pPr>
      <w:bookmarkStart w:id="14" w:name="_Ref478547812"/>
      <w:r>
        <w:t xml:space="preserve">Pri upoštevanju možnosti (b) iz </w:t>
      </w:r>
      <w:r>
        <w:fldChar w:fldCharType="begin"/>
      </w:r>
      <w:r>
        <w:instrText xml:space="preserve"> REF _Ref478467809 \r \h </w:instrText>
      </w:r>
      <w:r>
        <w:fldChar w:fldCharType="separate"/>
      </w:r>
      <w:r w:rsidR="009C653A">
        <w:t>27</w:t>
      </w:r>
      <w:r>
        <w:fldChar w:fldCharType="end"/>
      </w:r>
      <w:r>
        <w:t xml:space="preserve">. odstavka teh usmeritev banka </w:t>
      </w:r>
      <w:r w:rsidR="00477A26">
        <w:t xml:space="preserve">posamezne bonitetne ocene zadevnih bonitetnih agencij smiselno </w:t>
      </w:r>
      <w:r w:rsidR="00A6234A">
        <w:t xml:space="preserve">združi v na novo opredeljene bonitetne razrede, za katere izračuna povprečno stopnjo neplačila na podlagi stopenj neplačil, ki ustrezajo bonitetnim ocenam v posameznem bonitetnem razredu. </w:t>
      </w:r>
      <w:r w:rsidR="00267C8A">
        <w:t>V nadaljevanju b</w:t>
      </w:r>
      <w:r w:rsidR="0043010F">
        <w:t>anka upošteva naslednje usmeritve z</w:t>
      </w:r>
      <w:r>
        <w:t>a namen določitve ocene PD:</w:t>
      </w:r>
      <w:bookmarkEnd w:id="14"/>
    </w:p>
    <w:p w:rsidR="00E238E2" w:rsidRDefault="00E238E2" w:rsidP="00E238E2">
      <w:pPr>
        <w:pStyle w:val="Odstavekseznama"/>
        <w:ind w:left="360"/>
        <w:jc w:val="both"/>
      </w:pPr>
    </w:p>
    <w:p w:rsidR="00E238E2" w:rsidRPr="00E71F5B" w:rsidRDefault="00E238E2" w:rsidP="00E238E2">
      <w:pPr>
        <w:pStyle w:val="Odstavekseznama"/>
        <w:numPr>
          <w:ilvl w:val="0"/>
          <w:numId w:val="36"/>
        </w:numPr>
        <w:jc w:val="both"/>
      </w:pPr>
      <w:r w:rsidRPr="00E71F5B">
        <w:t xml:space="preserve">za izpostavljenosti do </w:t>
      </w:r>
      <w:r w:rsidR="003E18FD">
        <w:t>držav</w:t>
      </w:r>
      <w:r w:rsidRPr="00E71F5B">
        <w:t>:</w:t>
      </w:r>
    </w:p>
    <w:p w:rsidR="00E238E2" w:rsidRPr="009E2072" w:rsidRDefault="00E238E2" w:rsidP="00E238E2">
      <w:pPr>
        <w:pStyle w:val="Odstavekseznama"/>
        <w:numPr>
          <w:ilvl w:val="0"/>
          <w:numId w:val="12"/>
        </w:numPr>
        <w:jc w:val="both"/>
      </w:pPr>
      <w:r w:rsidRPr="009E2072">
        <w:t xml:space="preserve">za katere je na razpolago bonitetna ocena </w:t>
      </w:r>
      <w:r w:rsidR="007D17CB">
        <w:t xml:space="preserve">imenovane </w:t>
      </w:r>
      <w:r w:rsidRPr="009E2072">
        <w:t xml:space="preserve">bonitetne agencije, banka upošteva </w:t>
      </w:r>
      <w:r>
        <w:t>povprečno</w:t>
      </w:r>
      <w:r w:rsidRPr="009E2072">
        <w:t xml:space="preserve"> stopnjo neplačila, ki ustreza tej bonitetni oceni, </w:t>
      </w:r>
    </w:p>
    <w:p w:rsidR="00E238E2" w:rsidRPr="009E2072" w:rsidRDefault="00E238E2" w:rsidP="00E238E2">
      <w:pPr>
        <w:pStyle w:val="Odstavekseznama"/>
        <w:numPr>
          <w:ilvl w:val="0"/>
          <w:numId w:val="12"/>
        </w:numPr>
        <w:jc w:val="both"/>
      </w:pPr>
      <w:r w:rsidRPr="009E2072">
        <w:t xml:space="preserve">za katere ni na razpolago bonitetne ocene imenovane bonitetne agencije, banka upošteva </w:t>
      </w:r>
      <w:r>
        <w:t xml:space="preserve">povprečno </w:t>
      </w:r>
      <w:r w:rsidRPr="009E2072">
        <w:t xml:space="preserve">stopnjo neplačila, ki ustreza </w:t>
      </w:r>
      <w:r w:rsidR="00C37AF0">
        <w:t>bonitetnemu razredu</w:t>
      </w:r>
      <w:r w:rsidR="009A3E6B">
        <w:t>,</w:t>
      </w:r>
      <w:r w:rsidR="00C37AF0">
        <w:t xml:space="preserve"> v katerega je na podlagi združevanja</w:t>
      </w:r>
      <w:r w:rsidR="009A3E6B">
        <w:t xml:space="preserve"> iz prvega stavka </w:t>
      </w:r>
      <w:r w:rsidR="009A3E6B">
        <w:fldChar w:fldCharType="begin"/>
      </w:r>
      <w:r w:rsidR="009A3E6B">
        <w:instrText xml:space="preserve"> REF _Ref478547812 \r \h  \* MERGEFORMAT </w:instrText>
      </w:r>
      <w:r w:rsidR="009A3E6B">
        <w:fldChar w:fldCharType="separate"/>
      </w:r>
      <w:r w:rsidR="009C653A">
        <w:t>29</w:t>
      </w:r>
      <w:r w:rsidR="009A3E6B">
        <w:fldChar w:fldCharType="end"/>
      </w:r>
      <w:r w:rsidR="009A3E6B">
        <w:t>. odstavka teh usmeritev</w:t>
      </w:r>
      <w:r w:rsidR="00C37AF0">
        <w:t xml:space="preserve"> vključena najnižja bonitetna ocena</w:t>
      </w:r>
      <w:r w:rsidRPr="009E2072">
        <w:t xml:space="preserve"> </w:t>
      </w:r>
      <w:r w:rsidR="00C37AF0" w:rsidRPr="009E2072">
        <w:t xml:space="preserve">imenovane bonitetne agencije </w:t>
      </w:r>
      <w:r w:rsidRPr="009E2072">
        <w:t>znotraj naložbenih razredov tveganja;</w:t>
      </w:r>
    </w:p>
    <w:p w:rsidR="00E238E2" w:rsidRPr="009E2072" w:rsidRDefault="00E238E2" w:rsidP="00E238E2">
      <w:pPr>
        <w:pStyle w:val="Odstavekseznama"/>
        <w:ind w:left="1428"/>
        <w:jc w:val="both"/>
      </w:pPr>
    </w:p>
    <w:p w:rsidR="00E238E2" w:rsidRPr="009E2072" w:rsidRDefault="00E238E2" w:rsidP="00E238E2">
      <w:pPr>
        <w:pStyle w:val="Odstavekseznama"/>
        <w:numPr>
          <w:ilvl w:val="0"/>
          <w:numId w:val="36"/>
        </w:numPr>
        <w:jc w:val="both"/>
      </w:pPr>
      <w:r w:rsidRPr="009E2072">
        <w:t xml:space="preserve">za izpostavljenosti do institucij: </w:t>
      </w:r>
    </w:p>
    <w:p w:rsidR="00E238E2" w:rsidRPr="009E2072" w:rsidRDefault="00E238E2" w:rsidP="00E238E2">
      <w:pPr>
        <w:pStyle w:val="Odstavekseznama"/>
        <w:numPr>
          <w:ilvl w:val="0"/>
          <w:numId w:val="12"/>
        </w:numPr>
        <w:jc w:val="both"/>
      </w:pPr>
      <w:r w:rsidRPr="009E2072">
        <w:t xml:space="preserve">za katere je na razpolago bonitetna ocena </w:t>
      </w:r>
      <w:r w:rsidR="00EB35C2">
        <w:t xml:space="preserve">imenovane </w:t>
      </w:r>
      <w:r w:rsidRPr="009E2072">
        <w:t xml:space="preserve">bonitetne agencije, banka upošteva </w:t>
      </w:r>
      <w:r>
        <w:t>povprečno</w:t>
      </w:r>
      <w:r w:rsidRPr="009E2072">
        <w:t xml:space="preserve"> stopnjo neplačila, ki ustreza tej bonitetni oceni,</w:t>
      </w:r>
    </w:p>
    <w:p w:rsidR="00AD6B12" w:rsidRDefault="00E238E2" w:rsidP="00E238E2">
      <w:pPr>
        <w:pStyle w:val="Odstavekseznama"/>
        <w:numPr>
          <w:ilvl w:val="0"/>
          <w:numId w:val="12"/>
        </w:numPr>
        <w:jc w:val="both"/>
      </w:pPr>
      <w:r w:rsidRPr="009E2072">
        <w:t>za katere ni na razpolago bonitetne ocene imenovane bonitetne agencije,</w:t>
      </w:r>
      <w:r>
        <w:t xml:space="preserve"> </w:t>
      </w:r>
      <w:r w:rsidR="00AD6B12">
        <w:t>banka upošteva stopnjo neplačila, ki jo določi po naslednjem pravilu:</w:t>
      </w:r>
    </w:p>
    <w:p w:rsidR="00AD6B12" w:rsidRDefault="00E238E2" w:rsidP="00AD6B12">
      <w:pPr>
        <w:pStyle w:val="Odstavekseznama"/>
        <w:numPr>
          <w:ilvl w:val="0"/>
          <w:numId w:val="56"/>
        </w:numPr>
        <w:jc w:val="both"/>
      </w:pPr>
      <w:r>
        <w:t>banka ugotovi bonitetno oceno države, v kateri ima institucija sedež, dodeljene s strani imenovane bonitetne agencije za države</w:t>
      </w:r>
      <w:r w:rsidR="00EB35C2">
        <w:t>,</w:t>
      </w:r>
      <w:r>
        <w:t xml:space="preserve"> ter pripadajoč</w:t>
      </w:r>
      <w:r w:rsidR="00EB35C2">
        <w:t xml:space="preserve"> bonitetni razred, v katerega se ta bonitetna ocena razvrsti na podlagi združevanja iz prvega stavka </w:t>
      </w:r>
      <w:r w:rsidR="00EB35C2">
        <w:fldChar w:fldCharType="begin"/>
      </w:r>
      <w:r w:rsidR="00EB35C2">
        <w:instrText xml:space="preserve"> REF _Ref478547812 \r \h </w:instrText>
      </w:r>
      <w:r w:rsidR="00AD6B12">
        <w:instrText xml:space="preserve"> \* MERGEFORMAT </w:instrText>
      </w:r>
      <w:r w:rsidR="00EB35C2">
        <w:fldChar w:fldCharType="separate"/>
      </w:r>
      <w:r w:rsidR="009C653A">
        <w:t>29</w:t>
      </w:r>
      <w:r w:rsidR="00EB35C2">
        <w:fldChar w:fldCharType="end"/>
      </w:r>
      <w:r w:rsidR="00EB35C2">
        <w:t>. odstavka</w:t>
      </w:r>
      <w:r w:rsidR="009A3E6B">
        <w:t xml:space="preserve"> teh usmeritev</w:t>
      </w:r>
      <w:r w:rsidR="00EB35C2">
        <w:t>,</w:t>
      </w:r>
    </w:p>
    <w:p w:rsidR="00E238E2" w:rsidRDefault="00EB35C2" w:rsidP="00AD6B12">
      <w:pPr>
        <w:pStyle w:val="Odstavekseznama"/>
        <w:numPr>
          <w:ilvl w:val="0"/>
          <w:numId w:val="56"/>
        </w:numPr>
        <w:jc w:val="both"/>
      </w:pPr>
      <w:r>
        <w:t xml:space="preserve">upošteva povprečno stopnjo neplačila, ki </w:t>
      </w:r>
      <w:r w:rsidR="0023620E">
        <w:t>ustreza b</w:t>
      </w:r>
      <w:r>
        <w:t>onitetnemu razredu</w:t>
      </w:r>
      <w:r w:rsidR="0023620E">
        <w:t>, ki je za eno stopnjo nižji od bonitetnega razreda</w:t>
      </w:r>
      <w:r w:rsidR="00AD6B12">
        <w:t xml:space="preserve"> iz </w:t>
      </w:r>
      <w:r w:rsidR="00F350D1">
        <w:t>prejšnje podalineje</w:t>
      </w:r>
      <w:r w:rsidR="00030947">
        <w:t>;</w:t>
      </w:r>
      <w:r w:rsidR="00E238E2">
        <w:t xml:space="preserve"> </w:t>
      </w:r>
    </w:p>
    <w:p w:rsidR="00E238E2" w:rsidRPr="009E2072" w:rsidRDefault="00E238E2" w:rsidP="00E238E2">
      <w:pPr>
        <w:pStyle w:val="Odstavekseznama"/>
        <w:ind w:left="1428"/>
        <w:jc w:val="both"/>
      </w:pPr>
    </w:p>
    <w:p w:rsidR="00E238E2" w:rsidRPr="009E2072" w:rsidRDefault="00E238E2" w:rsidP="00E238E2">
      <w:pPr>
        <w:pStyle w:val="Odstavekseznama"/>
        <w:numPr>
          <w:ilvl w:val="0"/>
          <w:numId w:val="36"/>
        </w:numPr>
        <w:jc w:val="both"/>
      </w:pPr>
      <w:r w:rsidRPr="009E2072">
        <w:t xml:space="preserve">za izpostavljenosti do enot regionalne ali lokalne ravni držav banka upošteva pravila iz točke </w:t>
      </w:r>
      <w:r>
        <w:t>(b</w:t>
      </w:r>
      <w:r w:rsidR="009022D2">
        <w:t>) tega odstavka</w:t>
      </w:r>
      <w:r w:rsidRPr="009E2072">
        <w:t xml:space="preserve">. Za izpostavljenosti do enot regionalne ali lokalne ravni držav z nizkim tveganjem, kot so opredeljene v členu 115(2) Uredbe CRR, banka upošteva pravila iz točke </w:t>
      </w:r>
      <w:r>
        <w:t>(a)</w:t>
      </w:r>
      <w:r w:rsidRPr="009E2072">
        <w:t xml:space="preserve"> tega odstavka;</w:t>
      </w:r>
    </w:p>
    <w:p w:rsidR="00E238E2" w:rsidRPr="009E2072" w:rsidRDefault="00E238E2" w:rsidP="00E238E2">
      <w:pPr>
        <w:pStyle w:val="Odstavekseznama"/>
        <w:ind w:left="1068"/>
        <w:jc w:val="both"/>
      </w:pPr>
    </w:p>
    <w:p w:rsidR="00E238E2" w:rsidRDefault="00E238E2" w:rsidP="00E238E2">
      <w:pPr>
        <w:pStyle w:val="Odstavekseznama"/>
        <w:numPr>
          <w:ilvl w:val="0"/>
          <w:numId w:val="36"/>
        </w:numPr>
        <w:jc w:val="both"/>
      </w:pPr>
      <w:r w:rsidRPr="009E2072">
        <w:t xml:space="preserve">za izpostavljenosti do subjektov javnega sektorja banka upošteva pravila iz točke </w:t>
      </w:r>
      <w:r>
        <w:t>(b</w:t>
      </w:r>
      <w:r w:rsidRPr="009E2072">
        <w:t>) tega</w:t>
      </w:r>
      <w:r w:rsidR="009022D2">
        <w:t xml:space="preserve"> odstavka</w:t>
      </w:r>
      <w:r w:rsidRPr="009E2072">
        <w:t xml:space="preserve">. Za izpostavljenosti do subjektov javnega sektorja z nizkim tveganjem, kot so opredeljeni v členu 116(4) Uredbe CRR, banka upošteva pravila iz točke </w:t>
      </w:r>
      <w:r>
        <w:t>(a</w:t>
      </w:r>
      <w:r w:rsidRPr="009E2072">
        <w:t>) tega odstavka.</w:t>
      </w:r>
    </w:p>
    <w:p w:rsidR="00E238E2" w:rsidRDefault="00E238E2" w:rsidP="00E238E2">
      <w:pPr>
        <w:pStyle w:val="Odstavekseznama"/>
        <w:ind w:left="360"/>
        <w:jc w:val="both"/>
      </w:pPr>
    </w:p>
    <w:p w:rsidR="009805F3" w:rsidRDefault="009805F3" w:rsidP="0009124B">
      <w:pPr>
        <w:pStyle w:val="Odstavekseznama"/>
        <w:numPr>
          <w:ilvl w:val="0"/>
          <w:numId w:val="4"/>
        </w:numPr>
        <w:jc w:val="both"/>
      </w:pPr>
      <w:bookmarkStart w:id="15" w:name="_Ref479754577"/>
      <w:r>
        <w:t>Pri upoštevanju možnosti (</w:t>
      </w:r>
      <w:r w:rsidR="00E238E2">
        <w:t>c</w:t>
      </w:r>
      <w:r>
        <w:t xml:space="preserve">) iz </w:t>
      </w:r>
      <w:r>
        <w:fldChar w:fldCharType="begin"/>
      </w:r>
      <w:r>
        <w:instrText xml:space="preserve"> REF _Ref478467809 \r \h </w:instrText>
      </w:r>
      <w:r>
        <w:fldChar w:fldCharType="separate"/>
      </w:r>
      <w:r w:rsidR="009C653A">
        <w:t>27</w:t>
      </w:r>
      <w:r>
        <w:fldChar w:fldCharType="end"/>
      </w:r>
      <w:r>
        <w:t>. odstavka teh usmeritev banka upošteva naslednje:</w:t>
      </w:r>
      <w:bookmarkEnd w:id="15"/>
    </w:p>
    <w:p w:rsidR="00F440AF" w:rsidRDefault="00F440AF" w:rsidP="0009124B">
      <w:pPr>
        <w:jc w:val="both"/>
      </w:pPr>
    </w:p>
    <w:p w:rsidR="009805F3" w:rsidRPr="009E2072" w:rsidRDefault="009805F3" w:rsidP="0009124B">
      <w:pPr>
        <w:pStyle w:val="Odstavekseznama"/>
        <w:numPr>
          <w:ilvl w:val="0"/>
          <w:numId w:val="51"/>
        </w:numPr>
        <w:jc w:val="both"/>
      </w:pPr>
      <w:r w:rsidRPr="009E2072">
        <w:t xml:space="preserve">za izpostavljenosti do </w:t>
      </w:r>
      <w:r w:rsidR="003E18FD">
        <w:t>držav</w:t>
      </w:r>
      <w:r w:rsidRPr="009E2072">
        <w:t>:</w:t>
      </w:r>
    </w:p>
    <w:p w:rsidR="009805F3" w:rsidRDefault="009805F3" w:rsidP="009805F3">
      <w:pPr>
        <w:pStyle w:val="Odstavekseznama"/>
        <w:numPr>
          <w:ilvl w:val="0"/>
          <w:numId w:val="12"/>
        </w:numPr>
        <w:jc w:val="both"/>
      </w:pPr>
      <w:r>
        <w:t>za katere je na razpolago bonitetna ocena imenovane bonitetne agencije</w:t>
      </w:r>
      <w:r w:rsidR="009A3E6B">
        <w:t>,</w:t>
      </w:r>
      <w:r>
        <w:t xml:space="preserve"> </w:t>
      </w:r>
      <w:r w:rsidRPr="00892E80">
        <w:t>banka upo</w:t>
      </w:r>
      <w:r>
        <w:t>števa stopnjo neplačila, ki ustreza tej bonitetni oceni</w:t>
      </w:r>
      <w:r w:rsidR="00374DAE">
        <w:t xml:space="preserve">, </w:t>
      </w:r>
      <w:r>
        <w:t xml:space="preserve">  </w:t>
      </w:r>
    </w:p>
    <w:p w:rsidR="009805F3" w:rsidRPr="009E2072" w:rsidRDefault="009805F3" w:rsidP="009805F3">
      <w:pPr>
        <w:pStyle w:val="Odstavekseznama"/>
        <w:numPr>
          <w:ilvl w:val="0"/>
          <w:numId w:val="12"/>
        </w:numPr>
        <w:jc w:val="both"/>
      </w:pPr>
      <w:r>
        <w:t>za katere ni na razpolago bonitetne ocene imenovane bonitetne agencije, banka upošteva stopnjo neplačila, ki ustreza najnižj</w:t>
      </w:r>
      <w:r w:rsidR="009A3E6B">
        <w:t>i</w:t>
      </w:r>
      <w:r>
        <w:t xml:space="preserve"> bonitetn</w:t>
      </w:r>
      <w:r w:rsidR="009A3E6B">
        <w:t>i</w:t>
      </w:r>
      <w:r>
        <w:t xml:space="preserve"> </w:t>
      </w:r>
      <w:r w:rsidR="009A3E6B">
        <w:t>oceni imenovane bonitetne agencije</w:t>
      </w:r>
      <w:r>
        <w:t xml:space="preserve"> znotraj naložbenih razredov tveganja;</w:t>
      </w:r>
    </w:p>
    <w:p w:rsidR="009805F3" w:rsidRPr="009E2072" w:rsidRDefault="009805F3" w:rsidP="009805F3">
      <w:pPr>
        <w:pStyle w:val="Odstavekseznama"/>
        <w:ind w:left="1428"/>
        <w:jc w:val="both"/>
      </w:pPr>
    </w:p>
    <w:p w:rsidR="009805F3" w:rsidRPr="009E2072" w:rsidRDefault="009805F3" w:rsidP="006D76F9">
      <w:pPr>
        <w:pStyle w:val="Odstavekseznama"/>
        <w:keepNext/>
        <w:numPr>
          <w:ilvl w:val="0"/>
          <w:numId w:val="51"/>
        </w:numPr>
        <w:ind w:hanging="357"/>
        <w:jc w:val="both"/>
      </w:pPr>
      <w:r w:rsidRPr="009E2072">
        <w:t xml:space="preserve">za izpostavljenosti do institucij: </w:t>
      </w:r>
    </w:p>
    <w:p w:rsidR="009805F3" w:rsidRDefault="009805F3" w:rsidP="006D76F9">
      <w:pPr>
        <w:pStyle w:val="Odstavekseznama"/>
        <w:keepNext/>
        <w:numPr>
          <w:ilvl w:val="0"/>
          <w:numId w:val="12"/>
        </w:numPr>
        <w:ind w:hanging="357"/>
        <w:jc w:val="both"/>
      </w:pPr>
      <w:r>
        <w:t xml:space="preserve">za katere je na razpolago bonitetna ocena </w:t>
      </w:r>
      <w:r w:rsidR="0027403C">
        <w:t xml:space="preserve">imenovane </w:t>
      </w:r>
      <w:r>
        <w:t>bonitetne agencije</w:t>
      </w:r>
      <w:r w:rsidR="00114F42">
        <w:t>,</w:t>
      </w:r>
      <w:r>
        <w:t xml:space="preserve"> </w:t>
      </w:r>
      <w:r w:rsidRPr="00892E80">
        <w:t>banka upo</w:t>
      </w:r>
      <w:r>
        <w:t xml:space="preserve">števa stopnjo neplačila, ki ustreza tej bonitetni oceni, </w:t>
      </w:r>
    </w:p>
    <w:p w:rsidR="009805F3" w:rsidRDefault="009805F3" w:rsidP="0025385D">
      <w:pPr>
        <w:pStyle w:val="Odstavekseznama"/>
        <w:numPr>
          <w:ilvl w:val="0"/>
          <w:numId w:val="12"/>
        </w:numPr>
        <w:jc w:val="both"/>
      </w:pPr>
      <w:r>
        <w:t>za katere ni na razpolago bonitetne ocene imenovane bonitetne agencije</w:t>
      </w:r>
      <w:r w:rsidR="0027403C">
        <w:t xml:space="preserve">, banka upošteva stopnjo neplačila, ki jo </w:t>
      </w:r>
      <w:r w:rsidR="002212A5">
        <w:t xml:space="preserve">določi </w:t>
      </w:r>
      <w:r w:rsidR="0027403C">
        <w:t>po naslednjem pravilu</w:t>
      </w:r>
      <w:r>
        <w:t xml:space="preserve">: </w:t>
      </w:r>
    </w:p>
    <w:p w:rsidR="009805F3" w:rsidRDefault="009805F3" w:rsidP="00114F42">
      <w:pPr>
        <w:pStyle w:val="Odstavekseznama"/>
        <w:numPr>
          <w:ilvl w:val="0"/>
          <w:numId w:val="57"/>
        </w:numPr>
        <w:jc w:val="both"/>
      </w:pPr>
      <w:r>
        <w:t xml:space="preserve">banka ugotovi bonitetno oceno države, v kateri ima institucija sedež, dodeljene s strani imenovane bonitetne agencije za države in tej bonitetni oceni </w:t>
      </w:r>
      <w:r w:rsidRPr="006F442D">
        <w:t>v skladu</w:t>
      </w:r>
      <w:r w:rsidRPr="005F663D">
        <w:t xml:space="preserve"> s </w:t>
      </w:r>
      <w:r>
        <w:t xml:space="preserve">Prilogo </w:t>
      </w:r>
      <w:r w:rsidRPr="006F3E78">
        <w:t>III Izvedbene Uredbe Komisije (EU) 2016/1799</w:t>
      </w:r>
      <w:r>
        <w:t xml:space="preserve"> dodeli stopnjo kreditne kakovosti,</w:t>
      </w:r>
    </w:p>
    <w:p w:rsidR="009805F3" w:rsidRDefault="009805F3" w:rsidP="00114F42">
      <w:pPr>
        <w:pStyle w:val="Odstavekseznama"/>
        <w:numPr>
          <w:ilvl w:val="0"/>
          <w:numId w:val="57"/>
        </w:numPr>
        <w:jc w:val="both"/>
      </w:pPr>
      <w:r>
        <w:t xml:space="preserve">stopnjo kreditne kakovosti iz prejšnje podalineje zniža za eno stopnjo in na podlagi Priloge </w:t>
      </w:r>
      <w:r w:rsidRPr="006F3E78">
        <w:t>III Izvedbene Uredbe Komisije (EU) 2016/1799</w:t>
      </w:r>
      <w:r>
        <w:t xml:space="preserve"> ugotovi, katere bonitetne ocene zadevne bonitetne agencije ustrezajo tej stopnji kreditne kakovosti,</w:t>
      </w:r>
    </w:p>
    <w:p w:rsidR="009805F3" w:rsidRPr="009E2072" w:rsidRDefault="009805F3" w:rsidP="00114F42">
      <w:pPr>
        <w:pStyle w:val="Odstavekseznama"/>
        <w:numPr>
          <w:ilvl w:val="0"/>
          <w:numId w:val="57"/>
        </w:numPr>
        <w:jc w:val="both"/>
      </w:pPr>
      <w:r>
        <w:t xml:space="preserve">na podlagi stopenj neplačila, ki ustrezajo bonitetnim ocenam iz prejšnje podalineje, izračuna </w:t>
      </w:r>
      <w:r w:rsidR="00ED4FF8">
        <w:t>povprečno</w:t>
      </w:r>
      <w:r>
        <w:t xml:space="preserve"> stop</w:t>
      </w:r>
      <w:r w:rsidR="00ED4FF8">
        <w:t>njo</w:t>
      </w:r>
      <w:r>
        <w:t xml:space="preserve"> neplačila</w:t>
      </w:r>
      <w:r w:rsidR="00ED4FF8" w:rsidRPr="00366CEA">
        <w:rPr>
          <w:vertAlign w:val="superscript"/>
        </w:rPr>
        <w:footnoteReference w:id="4"/>
      </w:r>
      <w:r>
        <w:t>;</w:t>
      </w:r>
    </w:p>
    <w:p w:rsidR="009805F3" w:rsidRPr="009E2072" w:rsidRDefault="009805F3" w:rsidP="009805F3">
      <w:pPr>
        <w:jc w:val="both"/>
      </w:pPr>
    </w:p>
    <w:p w:rsidR="009805F3" w:rsidRPr="009E2072" w:rsidRDefault="009805F3" w:rsidP="0009124B">
      <w:pPr>
        <w:pStyle w:val="Odstavekseznama"/>
        <w:numPr>
          <w:ilvl w:val="0"/>
          <w:numId w:val="51"/>
        </w:numPr>
        <w:jc w:val="both"/>
      </w:pPr>
      <w:r w:rsidRPr="009E2072">
        <w:t xml:space="preserve">za izpostavljenosti do enot regionalne ali lokalne ravni držav banka upošteva pravila iz točke </w:t>
      </w:r>
      <w:r>
        <w:t>(b</w:t>
      </w:r>
      <w:r w:rsidR="00A0088D">
        <w:t>) tega odstavka</w:t>
      </w:r>
      <w:r w:rsidRPr="009E2072">
        <w:t xml:space="preserve">. Za izpostavljenosti do enot regionalne ali lokalne ravni držav z nizkim tveganjem, kot so opredeljene v členu 115(2) Uredbe CRR, banka upošteva pravila iz točke </w:t>
      </w:r>
      <w:r>
        <w:t>(a</w:t>
      </w:r>
      <w:r w:rsidRPr="009E2072">
        <w:t>) tega odstavka;</w:t>
      </w:r>
    </w:p>
    <w:p w:rsidR="009805F3" w:rsidRPr="009E2072" w:rsidRDefault="009805F3" w:rsidP="009805F3">
      <w:pPr>
        <w:pStyle w:val="Odstavekseznama"/>
        <w:ind w:left="1068"/>
        <w:jc w:val="both"/>
      </w:pPr>
    </w:p>
    <w:p w:rsidR="009805F3" w:rsidRDefault="009805F3" w:rsidP="0009124B">
      <w:pPr>
        <w:pStyle w:val="Odstavekseznama"/>
        <w:numPr>
          <w:ilvl w:val="0"/>
          <w:numId w:val="51"/>
        </w:numPr>
        <w:jc w:val="both"/>
      </w:pPr>
      <w:r w:rsidRPr="009E2072">
        <w:t xml:space="preserve">za izpostavljenosti do subjektov javnega sektorja banka upošteva pravila iz točke </w:t>
      </w:r>
      <w:r>
        <w:t>(b</w:t>
      </w:r>
      <w:r w:rsidR="00A0088D">
        <w:t>) tega odstavka</w:t>
      </w:r>
      <w:r w:rsidRPr="009E2072">
        <w:t xml:space="preserve">. Za izpostavljenosti do subjektov javnega sektorja z nizkim tveganjem, kot so opredeljeni v členu 116(4) Uredbe CRR, banka upošteva pravila iz točke </w:t>
      </w:r>
      <w:r>
        <w:t>(a</w:t>
      </w:r>
      <w:r w:rsidRPr="009E2072">
        <w:t>) tega odstavka.</w:t>
      </w:r>
    </w:p>
    <w:p w:rsidR="009805F3" w:rsidRDefault="009805F3" w:rsidP="0009124B">
      <w:pPr>
        <w:jc w:val="both"/>
      </w:pPr>
    </w:p>
    <w:p w:rsidR="0059622F" w:rsidRDefault="0059622F" w:rsidP="0059622F">
      <w:pPr>
        <w:jc w:val="both"/>
      </w:pPr>
    </w:p>
    <w:p w:rsidR="0059622F" w:rsidRPr="00E06D76" w:rsidRDefault="0059622F" w:rsidP="00A62D4C">
      <w:pPr>
        <w:keepNext/>
        <w:jc w:val="center"/>
        <w:rPr>
          <w:b/>
        </w:rPr>
      </w:pPr>
      <w:r w:rsidRPr="00E06D76">
        <w:rPr>
          <w:b/>
        </w:rPr>
        <w:t>C.2 Ocena parametra tveganja LGD</w:t>
      </w:r>
    </w:p>
    <w:p w:rsidR="0059622F" w:rsidRDefault="0059622F" w:rsidP="00A62D4C">
      <w:pPr>
        <w:keepNext/>
        <w:jc w:val="both"/>
      </w:pPr>
    </w:p>
    <w:p w:rsidR="0059622F" w:rsidRPr="009E2072" w:rsidRDefault="0059622F" w:rsidP="00A62D4C">
      <w:pPr>
        <w:pStyle w:val="Odstavekseznama"/>
        <w:keepNext/>
        <w:numPr>
          <w:ilvl w:val="0"/>
          <w:numId w:val="4"/>
        </w:numPr>
        <w:jc w:val="both"/>
      </w:pPr>
      <w:r w:rsidRPr="009E2072">
        <w:t xml:space="preserve">Banka za kategorije izpostavljenosti, navedene </w:t>
      </w:r>
      <w:r w:rsidR="00DF53F3">
        <w:t xml:space="preserve">v </w:t>
      </w:r>
      <w:r w:rsidR="00DF53F3">
        <w:fldChar w:fldCharType="begin"/>
      </w:r>
      <w:r w:rsidR="00DF53F3">
        <w:instrText xml:space="preserve"> REF _Ref345876101 \r \h </w:instrText>
      </w:r>
      <w:r w:rsidR="00DF53F3">
        <w:fldChar w:fldCharType="separate"/>
      </w:r>
      <w:r w:rsidR="009C653A">
        <w:t>24</w:t>
      </w:r>
      <w:r w:rsidR="00DF53F3">
        <w:fldChar w:fldCharType="end"/>
      </w:r>
      <w:r w:rsidR="00DF53F3">
        <w:t>.</w:t>
      </w:r>
      <w:r w:rsidRPr="009E2072">
        <w:t xml:space="preserve"> odst</w:t>
      </w:r>
      <w:r w:rsidR="007906CB">
        <w:t>avk</w:t>
      </w:r>
      <w:r w:rsidR="00DE4950">
        <w:t>u</w:t>
      </w:r>
      <w:r w:rsidR="00DF53F3">
        <w:t xml:space="preserve"> teh </w:t>
      </w:r>
      <w:r w:rsidR="00BD2E0B">
        <w:t>u</w:t>
      </w:r>
      <w:r w:rsidR="00DF53F3">
        <w:t>smeritev</w:t>
      </w:r>
      <w:r w:rsidR="007906CB">
        <w:t>, uporablja LGD</w:t>
      </w:r>
      <w:r w:rsidR="000E742C">
        <w:t>,</w:t>
      </w:r>
      <w:r w:rsidR="007906CB">
        <w:t xml:space="preserve"> </w:t>
      </w:r>
      <w:r w:rsidR="00150F00">
        <w:t>kot je opredeljen v členu 16</w:t>
      </w:r>
      <w:r w:rsidR="000E742C">
        <w:t>1</w:t>
      </w:r>
      <w:r w:rsidR="00150F00">
        <w:t xml:space="preserve">(1) Uredbe CRR, in sicer </w:t>
      </w:r>
      <w:r w:rsidR="007906CB">
        <w:t xml:space="preserve">v višini 45 </w:t>
      </w:r>
      <w:r w:rsidRPr="009E2072">
        <w:t xml:space="preserve">%, če gre za nadrejene izpostavljenosti, in 75 %, če gre za podrejene izpostavljenosti. </w:t>
      </w:r>
    </w:p>
    <w:p w:rsidR="006C4EE9" w:rsidRPr="009E2072" w:rsidRDefault="006C4EE9" w:rsidP="00A62D4C">
      <w:pPr>
        <w:pStyle w:val="Odstavekseznama"/>
        <w:keepNext/>
        <w:jc w:val="both"/>
      </w:pPr>
    </w:p>
    <w:p w:rsidR="003126B1" w:rsidRDefault="003126B1" w:rsidP="003126B1">
      <w:pPr>
        <w:pStyle w:val="Odstavekseznama"/>
        <w:ind w:left="360"/>
        <w:jc w:val="both"/>
      </w:pPr>
    </w:p>
    <w:p w:rsidR="00F80DA9" w:rsidRPr="009E2072" w:rsidRDefault="00D728CC" w:rsidP="000E213E">
      <w:pPr>
        <w:pStyle w:val="Odstavekseznama"/>
        <w:numPr>
          <w:ilvl w:val="0"/>
          <w:numId w:val="10"/>
        </w:numPr>
        <w:jc w:val="center"/>
        <w:rPr>
          <w:b/>
        </w:rPr>
      </w:pPr>
      <w:r w:rsidRPr="009E2072">
        <w:rPr>
          <w:b/>
        </w:rPr>
        <w:t>I</w:t>
      </w:r>
      <w:r w:rsidR="00701709" w:rsidRPr="009E2072">
        <w:rPr>
          <w:b/>
        </w:rPr>
        <w:t xml:space="preserve">zključevanje obrestnih prihodkov z uporabo metode efektivnih obresti </w:t>
      </w:r>
    </w:p>
    <w:p w:rsidR="00F80DA9" w:rsidRPr="009E2072" w:rsidRDefault="00F80DA9" w:rsidP="00F80DA9">
      <w:pPr>
        <w:pStyle w:val="Odstavekseznama"/>
        <w:rPr>
          <w:b/>
        </w:rPr>
      </w:pPr>
    </w:p>
    <w:p w:rsidR="00F80DA9" w:rsidRPr="00FF44DB" w:rsidRDefault="00E5626C" w:rsidP="000E213E">
      <w:pPr>
        <w:pStyle w:val="Odstavekseznama"/>
        <w:numPr>
          <w:ilvl w:val="0"/>
          <w:numId w:val="4"/>
        </w:numPr>
        <w:jc w:val="both"/>
      </w:pPr>
      <w:bookmarkStart w:id="16" w:name="_Ref471999972"/>
      <w:r w:rsidRPr="009E2072">
        <w:t xml:space="preserve">V skladu s </w:t>
      </w:r>
      <w:r w:rsidR="000F7CC6" w:rsidRPr="009E2072">
        <w:t>členom</w:t>
      </w:r>
      <w:r w:rsidR="00925491" w:rsidRPr="009E2072">
        <w:t xml:space="preserve">a </w:t>
      </w:r>
      <w:r w:rsidRPr="009E2072">
        <w:t>5.4.</w:t>
      </w:r>
      <w:r w:rsidR="0098363A" w:rsidRPr="009E2072">
        <w:t>1</w:t>
      </w:r>
      <w:r w:rsidR="0019032A" w:rsidRPr="009E2072">
        <w:t xml:space="preserve"> in 5.4.2</w:t>
      </w:r>
      <w:r w:rsidRPr="009E2072">
        <w:t xml:space="preserve"> MSRP 9</w:t>
      </w:r>
      <w:r w:rsidR="00F80DA9" w:rsidRPr="009E2072">
        <w:t xml:space="preserve"> </w:t>
      </w:r>
      <w:r w:rsidRPr="009E2072">
        <w:t xml:space="preserve">se prihodki od obresti izračunajo z metodo efektivnih obresti. Po tej metodi se obresti za </w:t>
      </w:r>
      <w:r w:rsidR="000129F0" w:rsidRPr="009E2072">
        <w:t>bilančne izpostavljenosti</w:t>
      </w:r>
      <w:r w:rsidRPr="009E2072">
        <w:t xml:space="preserve"> izračunajo</w:t>
      </w:r>
      <w:r w:rsidR="007F1FAC">
        <w:t xml:space="preserve"> z </w:t>
      </w:r>
      <w:r w:rsidR="005C7080">
        <w:t xml:space="preserve">uporabo </w:t>
      </w:r>
      <w:r w:rsidR="007F1FAC">
        <w:t>efektivne obrestne mere</w:t>
      </w:r>
      <w:r w:rsidRPr="009E2072">
        <w:t xml:space="preserve"> na bruto knjigovodsko vrednost</w:t>
      </w:r>
      <w:r w:rsidR="009A77CA" w:rsidRPr="009E2072">
        <w:t xml:space="preserve"> </w:t>
      </w:r>
      <w:r w:rsidR="000129F0" w:rsidRPr="009E2072">
        <w:t>izpostavljenosti</w:t>
      </w:r>
      <w:r w:rsidRPr="009E2072">
        <w:t>. Izjem</w:t>
      </w:r>
      <w:r w:rsidR="003902A2" w:rsidRPr="009E2072">
        <w:t>a</w:t>
      </w:r>
      <w:r w:rsidRPr="009E2072">
        <w:t xml:space="preserve"> so </w:t>
      </w:r>
      <w:r w:rsidR="0098363A" w:rsidRPr="009E2072">
        <w:t>obrestni prihodki</w:t>
      </w:r>
      <w:r w:rsidRPr="009E2072">
        <w:t xml:space="preserve"> od</w:t>
      </w:r>
      <w:r w:rsidR="0098363A" w:rsidRPr="009E2072">
        <w:t xml:space="preserve"> </w:t>
      </w:r>
      <w:r w:rsidR="000129F0" w:rsidRPr="009E2072">
        <w:t>bilančnih izpostavljenosti</w:t>
      </w:r>
      <w:r w:rsidR="0098363A" w:rsidRPr="009E2072">
        <w:t>, ki so bil</w:t>
      </w:r>
      <w:r w:rsidR="000129F0" w:rsidRPr="009E2072">
        <w:t>e</w:t>
      </w:r>
      <w:r w:rsidR="007F1FAC">
        <w:t xml:space="preserve"> </w:t>
      </w:r>
      <w:r w:rsidR="007F1FAC" w:rsidRPr="00FF44DB">
        <w:t xml:space="preserve">po začetnem pripoznanju opredeljene kot neplačane, pri katerih se obresti izračunajo z </w:t>
      </w:r>
      <w:r w:rsidR="005C7080">
        <w:t>uporabo</w:t>
      </w:r>
      <w:r w:rsidR="005C7080" w:rsidRPr="00FF44DB">
        <w:t xml:space="preserve"> </w:t>
      </w:r>
      <w:r w:rsidR="007F1FAC" w:rsidRPr="00FF44DB">
        <w:t>efektivne obrestne mere na njihovo odplačno vrednost.</w:t>
      </w:r>
      <w:r w:rsidR="0098363A" w:rsidRPr="00FF44DB">
        <w:t xml:space="preserve"> </w:t>
      </w:r>
      <w:r w:rsidR="007F1FAC" w:rsidRPr="00FF44DB">
        <w:t>Prav tako so izjema obrestni prihodki od bilančnih izpostavljenosti, ki so bile kot neplačane opredeljene že ob začetnem pripoznanju (POCI), pri katerih se</w:t>
      </w:r>
      <w:r w:rsidR="00C32FC1" w:rsidRPr="00FF44DB">
        <w:t xml:space="preserve"> obresti izračunajo z </w:t>
      </w:r>
      <w:r w:rsidR="005C7080">
        <w:t>uporabo</w:t>
      </w:r>
      <w:r w:rsidR="005C7080" w:rsidRPr="00FF44DB">
        <w:t xml:space="preserve"> </w:t>
      </w:r>
      <w:r w:rsidR="007F1FAC" w:rsidRPr="00FF44DB">
        <w:t>kreditnem</w:t>
      </w:r>
      <w:r w:rsidR="00C32FC1" w:rsidRPr="00FF44DB">
        <w:t>u tveganju prilagojen</w:t>
      </w:r>
      <w:r w:rsidR="005C7080">
        <w:t>e</w:t>
      </w:r>
      <w:r w:rsidR="00C32FC1" w:rsidRPr="00FF44DB">
        <w:t xml:space="preserve"> efektivn</w:t>
      </w:r>
      <w:r w:rsidR="005C7080">
        <w:t>e</w:t>
      </w:r>
      <w:r w:rsidR="00C32FC1" w:rsidRPr="00FF44DB">
        <w:t xml:space="preserve"> obrestne</w:t>
      </w:r>
      <w:r w:rsidR="007F1FAC" w:rsidRPr="00FF44DB">
        <w:t xml:space="preserve"> </w:t>
      </w:r>
      <w:r w:rsidR="00C32FC1" w:rsidRPr="00FF44DB">
        <w:t xml:space="preserve">mere </w:t>
      </w:r>
      <w:r w:rsidR="007F1FAC" w:rsidRPr="00FF44DB">
        <w:t xml:space="preserve">na </w:t>
      </w:r>
      <w:r w:rsidR="00C32FC1" w:rsidRPr="00FF44DB">
        <w:t xml:space="preserve">njihovo </w:t>
      </w:r>
      <w:r w:rsidR="007F1FAC" w:rsidRPr="00FF44DB">
        <w:t>odplačno vrednost</w:t>
      </w:r>
      <w:r w:rsidR="00C32FC1" w:rsidRPr="00FF44DB">
        <w:t>.</w:t>
      </w:r>
      <w:r w:rsidR="007F1FAC" w:rsidRPr="00FF44DB">
        <w:t xml:space="preserve"> </w:t>
      </w:r>
      <w:bookmarkEnd w:id="16"/>
    </w:p>
    <w:p w:rsidR="0098363A" w:rsidRPr="009E2072" w:rsidRDefault="0098363A" w:rsidP="00062A66">
      <w:pPr>
        <w:pStyle w:val="Odstavekseznama"/>
        <w:jc w:val="both"/>
      </w:pPr>
    </w:p>
    <w:p w:rsidR="006144A4" w:rsidRDefault="002E53F4" w:rsidP="000E213E">
      <w:pPr>
        <w:pStyle w:val="Odstavekseznama"/>
        <w:numPr>
          <w:ilvl w:val="0"/>
          <w:numId w:val="4"/>
        </w:numPr>
        <w:jc w:val="both"/>
      </w:pPr>
      <w:r w:rsidRPr="009E2072">
        <w:t xml:space="preserve">Za namen izvajanja določbe glede izračuna in pripoznanja obrestnih prihodkov na </w:t>
      </w:r>
      <w:r w:rsidR="0056503E">
        <w:t xml:space="preserve">odplačno </w:t>
      </w:r>
      <w:r w:rsidR="00184DC2" w:rsidRPr="009E2072">
        <w:t xml:space="preserve">vrednost </w:t>
      </w:r>
      <w:r w:rsidR="000129F0" w:rsidRPr="009E2072">
        <w:t>bilančne izpostavljenosti</w:t>
      </w:r>
      <w:r w:rsidRPr="009E2072">
        <w:t xml:space="preserve"> banka vzpostavi analitično evidenco v poslovnih knjigah, ki vključuje tako pogodbeno vrednost glavnice in obresti kot tudi vrednosti za namen poročanja in razkritij v skladu z MSRP. </w:t>
      </w:r>
      <w:r w:rsidR="00C41CBE" w:rsidRPr="009E2072">
        <w:t xml:space="preserve">Banka si </w:t>
      </w:r>
      <w:r w:rsidRPr="009E2072">
        <w:t xml:space="preserve">lahko pri izračunavanju in </w:t>
      </w:r>
      <w:r w:rsidR="006144A4" w:rsidRPr="009E2072">
        <w:t>pripoznanju</w:t>
      </w:r>
      <w:r w:rsidRPr="009E2072">
        <w:t xml:space="preserve"> obrestnih prihodov na </w:t>
      </w:r>
      <w:r w:rsidR="0056503E">
        <w:t xml:space="preserve">odplačno </w:t>
      </w:r>
      <w:r w:rsidRPr="009E2072">
        <w:t xml:space="preserve">vrednost </w:t>
      </w:r>
      <w:r w:rsidR="000129F0" w:rsidRPr="009E2072">
        <w:t>bilančne izpostavljenosti</w:t>
      </w:r>
      <w:r w:rsidRPr="009E2072">
        <w:t xml:space="preserve"> </w:t>
      </w:r>
      <w:r w:rsidR="00FF5F3C" w:rsidRPr="009E2072">
        <w:t>pomaga</w:t>
      </w:r>
      <w:r w:rsidR="006144A4" w:rsidRPr="009E2072">
        <w:t xml:space="preserve"> </w:t>
      </w:r>
      <w:r w:rsidR="0017606B" w:rsidRPr="009E2072">
        <w:t xml:space="preserve">s </w:t>
      </w:r>
      <w:r w:rsidR="006144A4" w:rsidRPr="009E2072">
        <w:t>t</w:t>
      </w:r>
      <w:r w:rsidR="00BD1C8A" w:rsidRPr="009E2072">
        <w:t>.</w:t>
      </w:r>
      <w:r w:rsidR="001A0252" w:rsidRPr="009E2072">
        <w:t xml:space="preserve"> </w:t>
      </w:r>
      <w:r w:rsidR="006144A4" w:rsidRPr="009E2072">
        <w:t>i.</w:t>
      </w:r>
      <w:r w:rsidR="0017606B" w:rsidRPr="009E2072">
        <w:t xml:space="preserve"> sistemom</w:t>
      </w:r>
      <w:r w:rsidR="006144A4" w:rsidRPr="009E2072">
        <w:t xml:space="preserve"> izključevanja prihodkov, s pomočjo katerega del obračunanih obresti, ki se nanaša na oslabljeni del </w:t>
      </w:r>
      <w:r w:rsidR="000129F0" w:rsidRPr="009E2072">
        <w:t>bilančne izpostavljenosti</w:t>
      </w:r>
      <w:r w:rsidR="006144A4" w:rsidRPr="009E2072">
        <w:t xml:space="preserve">, iz prihodkov izključi ter ga med prihodki pripozna šele ob morebitnem plačilu. To pomeni, da banka ta del obračunanih obresti namesto med obrestnimi prihodki do plačila pripozna na posebnem analitičnem kontu popravkov vrednosti obresti, ki ga za namen zunanjega poročanja obravnava kot sestavni del </w:t>
      </w:r>
      <w:r w:rsidR="00184DC2" w:rsidRPr="009E2072">
        <w:t xml:space="preserve">bruto </w:t>
      </w:r>
      <w:r w:rsidR="006144A4" w:rsidRPr="009E2072">
        <w:t xml:space="preserve">knjigovodske vrednosti </w:t>
      </w:r>
      <w:r w:rsidR="000129F0" w:rsidRPr="009E2072">
        <w:t>bilančnih izpostavljenosti</w:t>
      </w:r>
      <w:r w:rsidR="006144A4" w:rsidRPr="009E2072">
        <w:t xml:space="preserve"> (in ne kot sestavni del popravkov vrednosti</w:t>
      </w:r>
      <w:r w:rsidR="00233FE9" w:rsidRPr="009E2072">
        <w:t xml:space="preserve"> za kreditne izgube</w:t>
      </w:r>
      <w:r w:rsidR="006144A4" w:rsidRPr="009E2072">
        <w:t>).</w:t>
      </w:r>
      <w:r w:rsidR="00C41CBE" w:rsidRPr="009E2072">
        <w:t xml:space="preserve"> V primeru, da banka za dosledno izvajanje pripoznanja obrestnih prihodkov na </w:t>
      </w:r>
      <w:r w:rsidR="0056503E">
        <w:t xml:space="preserve">odplačno </w:t>
      </w:r>
      <w:r w:rsidR="00184DC2" w:rsidRPr="009E2072">
        <w:t>vred</w:t>
      </w:r>
      <w:r w:rsidR="00C41CBE" w:rsidRPr="009E2072">
        <w:t>nost nima ustrezne IT podpore, lahko pri sistemu izključevanja prihodkov ravna konzervativno, kar pomeni, da vse obrestne prihodke do plačila v celoti izključi.</w:t>
      </w:r>
    </w:p>
    <w:p w:rsidR="004123DE" w:rsidRDefault="004123DE" w:rsidP="004123DE">
      <w:pPr>
        <w:pStyle w:val="Odstavekseznama"/>
        <w:ind w:left="360"/>
        <w:jc w:val="both"/>
      </w:pPr>
    </w:p>
    <w:p w:rsidR="000F2F5C" w:rsidRPr="009E2072" w:rsidRDefault="000F2F5C" w:rsidP="00182C8F">
      <w:pPr>
        <w:pStyle w:val="Odstavekseznama"/>
        <w:ind w:left="360"/>
        <w:jc w:val="both"/>
      </w:pPr>
    </w:p>
    <w:p w:rsidR="00982004" w:rsidRPr="009E2072" w:rsidRDefault="00982004" w:rsidP="00182C8F">
      <w:pPr>
        <w:pStyle w:val="Odstavekseznama"/>
        <w:ind w:left="360"/>
        <w:jc w:val="both"/>
      </w:pPr>
    </w:p>
    <w:p w:rsidR="00810258" w:rsidRPr="009E2072" w:rsidRDefault="00810258" w:rsidP="005E5F7B">
      <w:pPr>
        <w:pStyle w:val="Odstavekseznama"/>
        <w:keepNext/>
        <w:numPr>
          <w:ilvl w:val="0"/>
          <w:numId w:val="3"/>
        </w:numPr>
        <w:jc w:val="center"/>
        <w:rPr>
          <w:b/>
        </w:rPr>
      </w:pPr>
      <w:r w:rsidRPr="009E2072">
        <w:rPr>
          <w:b/>
        </w:rPr>
        <w:t xml:space="preserve">OBRAVNAVA </w:t>
      </w:r>
      <w:r w:rsidR="00526DFD" w:rsidRPr="009E2072">
        <w:rPr>
          <w:b/>
        </w:rPr>
        <w:t xml:space="preserve">IZPOSTAVLJENOSTI </w:t>
      </w:r>
      <w:r w:rsidRPr="009E2072">
        <w:rPr>
          <w:b/>
        </w:rPr>
        <w:t>OB SPREMEMBI POGOJEV ODPLAČEVANJA</w:t>
      </w:r>
    </w:p>
    <w:p w:rsidR="00810258" w:rsidRPr="009E2072" w:rsidRDefault="00810258" w:rsidP="005E5F7B">
      <w:pPr>
        <w:pStyle w:val="Odstavekseznama"/>
        <w:keepNext/>
        <w:ind w:left="360"/>
        <w:jc w:val="both"/>
      </w:pPr>
    </w:p>
    <w:p w:rsidR="00446BE7" w:rsidRPr="009E2072" w:rsidRDefault="00446BE7" w:rsidP="005E5F7B">
      <w:pPr>
        <w:pStyle w:val="Odstavekseznama"/>
        <w:keepNext/>
        <w:ind w:left="360"/>
        <w:jc w:val="both"/>
      </w:pPr>
    </w:p>
    <w:p w:rsidR="00810258" w:rsidRPr="009E2072" w:rsidRDefault="00810258" w:rsidP="005E5F7B">
      <w:pPr>
        <w:pStyle w:val="Odstavekseznama"/>
        <w:keepNext/>
        <w:numPr>
          <w:ilvl w:val="0"/>
          <w:numId w:val="4"/>
        </w:numPr>
        <w:jc w:val="both"/>
      </w:pPr>
      <w:r w:rsidRPr="009E2072">
        <w:t xml:space="preserve">V skladu s Pojasnili k uporabi MSRP 9 </w:t>
      </w:r>
      <w:r w:rsidR="00E83BEC" w:rsidRPr="009E2072">
        <w:t xml:space="preserve">v </w:t>
      </w:r>
      <w:r w:rsidR="000F7CC6" w:rsidRPr="009E2072">
        <w:t>členu</w:t>
      </w:r>
      <w:r w:rsidR="00E83BEC" w:rsidRPr="009E2072">
        <w:t xml:space="preserve"> </w:t>
      </w:r>
      <w:r w:rsidRPr="009E2072">
        <w:t xml:space="preserve">BC5.235 </w:t>
      </w:r>
      <w:r w:rsidR="006760A6" w:rsidRPr="009E2072">
        <w:t xml:space="preserve">banka </w:t>
      </w:r>
      <w:r w:rsidRPr="009E2072">
        <w:t xml:space="preserve">pri obravnavi spremembe pogojev odplačevanja </w:t>
      </w:r>
      <w:r w:rsidR="00526DFD" w:rsidRPr="009E2072">
        <w:t>izpostavljenosti</w:t>
      </w:r>
      <w:r w:rsidR="00E83BEC" w:rsidRPr="009E2072">
        <w:t xml:space="preserve"> na podlagi </w:t>
      </w:r>
      <w:r w:rsidR="000F7CC6" w:rsidRPr="009E2072">
        <w:t>členov</w:t>
      </w:r>
      <w:r w:rsidR="00526DFD" w:rsidRPr="009E2072">
        <w:t xml:space="preserve"> </w:t>
      </w:r>
      <w:r w:rsidRPr="009E2072">
        <w:t>5.4.3, 5.5.12, B3.1.1 in B3.1.2</w:t>
      </w:r>
      <w:r w:rsidR="00E83BEC" w:rsidRPr="009E2072">
        <w:t xml:space="preserve"> MSRP 9</w:t>
      </w:r>
      <w:r w:rsidRPr="009E2072">
        <w:t xml:space="preserve"> ne ločuje med </w:t>
      </w:r>
      <w:r w:rsidR="00B423BD" w:rsidRPr="009E2072">
        <w:t>izpostavljenostmi</w:t>
      </w:r>
      <w:r w:rsidRPr="009E2072">
        <w:t xml:space="preserve"> slabše in boljše kreditne kakovosti oziroma med spremembami pogojev odplačevanja</w:t>
      </w:r>
      <w:r w:rsidR="0000414C" w:rsidRPr="009E2072">
        <w:t xml:space="preserve"> v korist dolžnika</w:t>
      </w:r>
      <w:r w:rsidRPr="009E2072">
        <w:t>, nastalih zaradi nezmožnosti odplačevanja dolžnika</w:t>
      </w:r>
      <w:r w:rsidR="00617242" w:rsidRPr="009E2072">
        <w:t xml:space="preserve"> (ob t</w:t>
      </w:r>
      <w:r w:rsidR="00F2420E" w:rsidRPr="009E2072">
        <w:t>.</w:t>
      </w:r>
      <w:r w:rsidR="002919BF" w:rsidRPr="009E2072">
        <w:t xml:space="preserve"> </w:t>
      </w:r>
      <w:r w:rsidR="00617242" w:rsidRPr="009E2072">
        <w:t>i. restrukturiranju dolga)</w:t>
      </w:r>
      <w:r w:rsidRPr="009E2072">
        <w:t xml:space="preserve">, in spremembami, nastalih zaradi drugih (komercialnih) razlogov. </w:t>
      </w:r>
    </w:p>
    <w:p w:rsidR="00810258" w:rsidRPr="009E2072" w:rsidRDefault="00810258" w:rsidP="00810258">
      <w:pPr>
        <w:pStyle w:val="Odstavekseznama"/>
        <w:ind w:left="360"/>
        <w:jc w:val="both"/>
      </w:pPr>
    </w:p>
    <w:p w:rsidR="00810258" w:rsidRPr="009E2072" w:rsidRDefault="00F13965" w:rsidP="000E213E">
      <w:pPr>
        <w:pStyle w:val="Odstavekseznama"/>
        <w:numPr>
          <w:ilvl w:val="0"/>
          <w:numId w:val="4"/>
        </w:numPr>
        <w:jc w:val="both"/>
      </w:pPr>
      <w:bookmarkStart w:id="17" w:name="_Ref471826872"/>
      <w:r w:rsidRPr="009E2072">
        <w:t>Banka v</w:t>
      </w:r>
      <w:r w:rsidR="00810258" w:rsidRPr="009E2072">
        <w:t xml:space="preserve"> skladu s Pojasnili k uporabi MSRP 9 </w:t>
      </w:r>
      <w:r w:rsidR="00260C24">
        <w:t xml:space="preserve">v členu </w:t>
      </w:r>
      <w:r w:rsidR="00810258" w:rsidRPr="009E2072">
        <w:t xml:space="preserve">BC5.227 presoja spremembo pogojev odplačevanja z vidika pomembnosti vpliva na </w:t>
      </w:r>
      <w:r w:rsidR="00B423BD" w:rsidRPr="009E2072">
        <w:t xml:space="preserve">pogodbeno dogovorjene </w:t>
      </w:r>
      <w:r w:rsidR="00810258" w:rsidRPr="009E2072">
        <w:t xml:space="preserve">denarne tokove. Spremembe pogojev odplačevanja, ki privedejo do pomembnih sprememb denarnih tokov, </w:t>
      </w:r>
      <w:r w:rsidR="006760A6" w:rsidRPr="009E2072">
        <w:t xml:space="preserve">banka </w:t>
      </w:r>
      <w:r w:rsidR="00810258" w:rsidRPr="009E2072">
        <w:t xml:space="preserve">obravnava po pravilih odprave pripoznanja </w:t>
      </w:r>
      <w:r w:rsidR="0087095A" w:rsidRPr="009E2072">
        <w:t xml:space="preserve">bilančne izpostavljenosti </w:t>
      </w:r>
      <w:r w:rsidR="000C5E52" w:rsidRPr="009E2072">
        <w:t>iz izkaza finančnega položaja</w:t>
      </w:r>
      <w:r w:rsidR="00810258" w:rsidRPr="009E2072">
        <w:t xml:space="preserve"> </w:t>
      </w:r>
      <w:r w:rsidR="0087095A" w:rsidRPr="009E2072">
        <w:t xml:space="preserve">(upoštevaje pogoje odplačevanja pred spremembo) </w:t>
      </w:r>
      <w:r w:rsidR="00810258" w:rsidRPr="009E2072">
        <w:t>iz</w:t>
      </w:r>
      <w:r w:rsidR="00211126" w:rsidRPr="009E2072">
        <w:t xml:space="preserve"> </w:t>
      </w:r>
      <w:r w:rsidR="000F7CC6" w:rsidRPr="009E2072">
        <w:t>člena</w:t>
      </w:r>
      <w:r w:rsidR="00211126" w:rsidRPr="009E2072">
        <w:t xml:space="preserve"> </w:t>
      </w:r>
      <w:r w:rsidR="00810258" w:rsidRPr="009E2072">
        <w:t>3.2.3</w:t>
      </w:r>
      <w:r w:rsidR="00211126" w:rsidRPr="009E2072">
        <w:t xml:space="preserve"> MSRP 9</w:t>
      </w:r>
      <w:r w:rsidR="0087095A" w:rsidRPr="009E2072">
        <w:t xml:space="preserve"> in pravilih pripoznanja izpostavljenosti (upoštevaje pogoje odplačevanja po spremembi) iz členov 5.1.1 in 5.1.1A MSRP 9</w:t>
      </w:r>
      <w:r w:rsidR="00810258" w:rsidRPr="009E2072">
        <w:t xml:space="preserve">. Spremembe pogojev odplačevanja, ki ne privedejo do pomembnih sprememb denarnih tokov, </w:t>
      </w:r>
      <w:r w:rsidR="006760A6" w:rsidRPr="009E2072">
        <w:t xml:space="preserve">banka </w:t>
      </w:r>
      <w:r w:rsidR="00810258" w:rsidRPr="009E2072">
        <w:t xml:space="preserve">v skladu s </w:t>
      </w:r>
      <w:r w:rsidR="000F7CC6" w:rsidRPr="009E2072">
        <w:t>členom</w:t>
      </w:r>
      <w:r w:rsidR="00211126" w:rsidRPr="009E2072">
        <w:t xml:space="preserve"> </w:t>
      </w:r>
      <w:r w:rsidR="00810258" w:rsidRPr="009E2072">
        <w:t xml:space="preserve">5.4.3 </w:t>
      </w:r>
      <w:r w:rsidR="00211126" w:rsidRPr="009E2072">
        <w:t xml:space="preserve">MSRP 9 </w:t>
      </w:r>
      <w:r w:rsidR="00810258" w:rsidRPr="009E2072">
        <w:t>obravnava kot prilagoditev bruto knjigovodske vrednosti (s protipostavko v poslovne</w:t>
      </w:r>
      <w:r w:rsidR="00B52038" w:rsidRPr="009E2072">
        <w:t>m</w:t>
      </w:r>
      <w:r w:rsidR="00B423BD" w:rsidRPr="009E2072">
        <w:t xml:space="preserve"> </w:t>
      </w:r>
      <w:r w:rsidR="00810258" w:rsidRPr="009E2072">
        <w:t>izid</w:t>
      </w:r>
      <w:r w:rsidR="00B52038" w:rsidRPr="009E2072">
        <w:t>u</w:t>
      </w:r>
      <w:r w:rsidR="00810258" w:rsidRPr="009E2072">
        <w:t>) na podlagi izračunane sedanje vrednosti na novo dogovorjenih ali spremenjenih diskontiranih pogodbenih denarnih tokov.</w:t>
      </w:r>
      <w:bookmarkEnd w:id="17"/>
      <w:r w:rsidR="00810258" w:rsidRPr="009E2072">
        <w:t xml:space="preserve">  </w:t>
      </w:r>
    </w:p>
    <w:p w:rsidR="00810258" w:rsidRPr="009E2072" w:rsidRDefault="00810258" w:rsidP="00810258">
      <w:pPr>
        <w:pStyle w:val="Odstavekseznama"/>
        <w:ind w:left="360"/>
        <w:jc w:val="both"/>
      </w:pPr>
    </w:p>
    <w:p w:rsidR="00810258" w:rsidRPr="009E2072" w:rsidRDefault="00810258" w:rsidP="000E213E">
      <w:pPr>
        <w:pStyle w:val="Odstavekseznama"/>
        <w:numPr>
          <w:ilvl w:val="0"/>
          <w:numId w:val="4"/>
        </w:numPr>
        <w:jc w:val="both"/>
      </w:pPr>
      <w:bookmarkStart w:id="18" w:name="_Ref471826893"/>
      <w:r w:rsidRPr="009E2072">
        <w:t xml:space="preserve">Prag za razmejitev med pomembnimi in nepomembni spremembami denarnih tokov ob spremembi pogojev odplačevanja </w:t>
      </w:r>
      <w:r w:rsidR="00A12A64" w:rsidRPr="009E2072">
        <w:t xml:space="preserve">bilančnih </w:t>
      </w:r>
      <w:r w:rsidR="008B7B10" w:rsidRPr="009E2072">
        <w:t xml:space="preserve">izpostavljenosti </w:t>
      </w:r>
      <w:r w:rsidRPr="009E2072">
        <w:t>z MSRP 9 ni opredeljen</w:t>
      </w:r>
      <w:r w:rsidR="00A85B72" w:rsidRPr="009E2072">
        <w:t xml:space="preserve"> tako</w:t>
      </w:r>
      <w:r w:rsidR="000A3DBA">
        <w:t>,</w:t>
      </w:r>
      <w:r w:rsidR="00A85B72" w:rsidRPr="009E2072">
        <w:t xml:space="preserve"> kot je opredeljen za namen obravnave spremembe pogojev odplačevanja finančnih obveznosti v členih 3.3.2 in B3.3.6 MSRP 9</w:t>
      </w:r>
      <w:r w:rsidRPr="009E2072">
        <w:t>. Zato banka za namen</w:t>
      </w:r>
      <w:r w:rsidR="00A85B72" w:rsidRPr="009E2072">
        <w:t xml:space="preserve"> obravnave pomembne spremembe pogojev odplačevanja bilančnih izpostavljenosti ta prag opredeli</w:t>
      </w:r>
      <w:r w:rsidRPr="009E2072">
        <w:t xml:space="preserve"> </w:t>
      </w:r>
      <w:r w:rsidR="00A85B72" w:rsidRPr="009E2072">
        <w:t>v svoji notranji politiki in ga konsistentno uporablja</w:t>
      </w:r>
      <w:r w:rsidRPr="009E2072">
        <w:t>.</w:t>
      </w:r>
      <w:bookmarkEnd w:id="18"/>
      <w:r w:rsidRPr="009E2072">
        <w:t xml:space="preserve">  </w:t>
      </w:r>
    </w:p>
    <w:p w:rsidR="00F02D10" w:rsidRPr="009E2072" w:rsidRDefault="00F02D10" w:rsidP="00F02D10">
      <w:pPr>
        <w:pStyle w:val="Odstavekseznama"/>
      </w:pPr>
    </w:p>
    <w:p w:rsidR="00810258" w:rsidRPr="009E2072" w:rsidRDefault="00810258" w:rsidP="000E213E">
      <w:pPr>
        <w:pStyle w:val="Odstavekseznama"/>
        <w:numPr>
          <w:ilvl w:val="0"/>
          <w:numId w:val="4"/>
        </w:numPr>
        <w:jc w:val="both"/>
      </w:pPr>
      <w:r w:rsidRPr="009E2072">
        <w:t xml:space="preserve">Ne glede na </w:t>
      </w:r>
      <w:r w:rsidR="00CF6965" w:rsidRPr="009E2072">
        <w:fldChar w:fldCharType="begin"/>
      </w:r>
      <w:r w:rsidR="00CF6965" w:rsidRPr="009E2072">
        <w:instrText xml:space="preserve"> REF _Ref471826893 \r \h  \* MERGEFORMAT </w:instrText>
      </w:r>
      <w:r w:rsidR="00CF6965" w:rsidRPr="009E2072">
        <w:fldChar w:fldCharType="separate"/>
      </w:r>
      <w:r w:rsidR="009C653A">
        <w:t>36</w:t>
      </w:r>
      <w:r w:rsidR="00CF6965" w:rsidRPr="009E2072">
        <w:fldChar w:fldCharType="end"/>
      </w:r>
      <w:r w:rsidR="006760A6" w:rsidRPr="009E2072">
        <w:t>.</w:t>
      </w:r>
      <w:r w:rsidRPr="009E2072">
        <w:t xml:space="preserve"> odstavek lahko banka</w:t>
      </w:r>
      <w:r w:rsidR="0033147D" w:rsidRPr="009E2072">
        <w:t xml:space="preserve"> </w:t>
      </w:r>
      <w:r w:rsidRPr="009E2072">
        <w:t>novo pogodbo o kreditu</w:t>
      </w:r>
      <w:r w:rsidR="0033147D" w:rsidRPr="009E2072">
        <w:t xml:space="preserve"> </w:t>
      </w:r>
      <w:r w:rsidRPr="009E2072">
        <w:t>ali drugem d</w:t>
      </w:r>
      <w:r w:rsidR="0033147D" w:rsidRPr="009E2072">
        <w:t xml:space="preserve">olžniškem instrumentu oziroma aneks k pogodbi, s </w:t>
      </w:r>
      <w:r w:rsidR="0033147D" w:rsidRPr="006C62F7">
        <w:t>katero</w:t>
      </w:r>
      <w:r w:rsidR="009B4617" w:rsidRPr="006C62F7">
        <w:t>/katerim</w:t>
      </w:r>
      <w:r w:rsidRPr="009E2072">
        <w:t xml:space="preserve"> pogodbeni stranki dogovorita sprememb</w:t>
      </w:r>
      <w:r w:rsidR="009B4617">
        <w:t>o</w:t>
      </w:r>
      <w:r w:rsidRPr="009E2072">
        <w:t xml:space="preserve"> pogojev odplačevanja, obravnava po pravilih odprave pripoznanja iz </w:t>
      </w:r>
      <w:r w:rsidR="000F7CC6" w:rsidRPr="009E2072">
        <w:t>člena</w:t>
      </w:r>
      <w:r w:rsidR="00211126" w:rsidRPr="009E2072">
        <w:t xml:space="preserve"> </w:t>
      </w:r>
      <w:r w:rsidRPr="009E2072">
        <w:t xml:space="preserve">3.2.3 </w:t>
      </w:r>
      <w:r w:rsidR="00211126" w:rsidRPr="009E2072">
        <w:t>MSRP 9</w:t>
      </w:r>
      <w:r w:rsidRPr="009E2072">
        <w:t xml:space="preserve"> tudi, kadar spremembe v denarnih tokovih glede na prejšnjo pogodbo niso pomembne, če </w:t>
      </w:r>
      <w:r w:rsidR="006760A6" w:rsidRPr="009E2072">
        <w:t xml:space="preserve">sta </w:t>
      </w:r>
      <w:r w:rsidRPr="009E2072">
        <w:t>izpolnjen</w:t>
      </w:r>
      <w:r w:rsidR="006760A6" w:rsidRPr="009E2072">
        <w:t>a</w:t>
      </w:r>
      <w:r w:rsidRPr="009E2072">
        <w:t xml:space="preserve"> naslednj</w:t>
      </w:r>
      <w:r w:rsidR="006760A6" w:rsidRPr="009E2072">
        <w:t>a</w:t>
      </w:r>
      <w:r w:rsidRPr="009E2072">
        <w:t xml:space="preserve"> pogoj</w:t>
      </w:r>
      <w:r w:rsidR="006760A6" w:rsidRPr="009E2072">
        <w:t>a</w:t>
      </w:r>
      <w:r w:rsidRPr="009E2072">
        <w:t xml:space="preserve">: </w:t>
      </w:r>
    </w:p>
    <w:p w:rsidR="00810258" w:rsidRPr="009E2072" w:rsidRDefault="00810258" w:rsidP="004123DE">
      <w:pPr>
        <w:pStyle w:val="Odstavekseznama"/>
        <w:numPr>
          <w:ilvl w:val="0"/>
          <w:numId w:val="44"/>
        </w:numPr>
        <w:jc w:val="both"/>
      </w:pPr>
      <w:r w:rsidRPr="009E2072">
        <w:t>sprememba pogojev odplačevanja</w:t>
      </w:r>
      <w:r w:rsidR="00D35AB0" w:rsidRPr="009E2072">
        <w:t xml:space="preserve"> (</w:t>
      </w:r>
      <w:r w:rsidR="00A341B7" w:rsidRPr="009E2072">
        <w:t>npr. spr</w:t>
      </w:r>
      <w:r w:rsidR="00D35AB0" w:rsidRPr="009E2072">
        <w:t>ememba zapadlosti, valute</w:t>
      </w:r>
      <w:r w:rsidR="00A341B7" w:rsidRPr="009E2072">
        <w:t xml:space="preserve"> in/ali</w:t>
      </w:r>
      <w:r w:rsidR="00D35AB0" w:rsidRPr="009E2072">
        <w:t xml:space="preserve"> obrestne mere)</w:t>
      </w:r>
      <w:r w:rsidRPr="009E2072">
        <w:t xml:space="preserve"> ni nastala kot posledica nezmožnosti dolžnika odplačevati dolg pod prvotno dogovorjenimi pogoji</w:t>
      </w:r>
      <w:r w:rsidR="00D35AB0" w:rsidRPr="009E2072">
        <w:t xml:space="preserve"> (</w:t>
      </w:r>
      <w:r w:rsidRPr="009E2072">
        <w:t>in posledično nov</w:t>
      </w:r>
      <w:r w:rsidR="008B7B10" w:rsidRPr="009E2072">
        <w:t xml:space="preserve">a </w:t>
      </w:r>
      <w:r w:rsidR="00A12A64" w:rsidRPr="009E2072">
        <w:t xml:space="preserve">bilančna </w:t>
      </w:r>
      <w:r w:rsidR="008B7B10" w:rsidRPr="009E2072">
        <w:t>izpostavljenost</w:t>
      </w:r>
      <w:r w:rsidRPr="009E2072">
        <w:t xml:space="preserve"> ob začetnem pripoznanju v skladu z Izvedbeno uredbo Komisije (EU) št. 680/2014 ni bil</w:t>
      </w:r>
      <w:r w:rsidR="008B7B10" w:rsidRPr="009E2072">
        <w:t>a</w:t>
      </w:r>
      <w:r w:rsidRPr="009E2072">
        <w:t xml:space="preserve"> opredeljen</w:t>
      </w:r>
      <w:r w:rsidR="008B7B10" w:rsidRPr="009E2072">
        <w:t>a</w:t>
      </w:r>
      <w:r w:rsidRPr="009E2072">
        <w:t xml:space="preserve"> kot restrukturiran</w:t>
      </w:r>
      <w:r w:rsidR="008B7B10" w:rsidRPr="009E2072">
        <w:t>a izpostavljenost</w:t>
      </w:r>
      <w:r w:rsidR="00D35AB0" w:rsidRPr="009E2072">
        <w:t>), ampak zaradi komercialnih oziroma tržnih razlogov</w:t>
      </w:r>
      <w:r w:rsidRPr="009E2072">
        <w:t>;</w:t>
      </w:r>
    </w:p>
    <w:p w:rsidR="00810258" w:rsidRPr="009E2072" w:rsidRDefault="00810258" w:rsidP="004123DE">
      <w:pPr>
        <w:pStyle w:val="Odstavekseznama"/>
        <w:numPr>
          <w:ilvl w:val="0"/>
          <w:numId w:val="44"/>
        </w:numPr>
        <w:jc w:val="both"/>
      </w:pPr>
      <w:r w:rsidRPr="009E2072">
        <w:t>prvotn</w:t>
      </w:r>
      <w:r w:rsidR="008B7B10" w:rsidRPr="009E2072">
        <w:t>a izpostavljenost</w:t>
      </w:r>
      <w:r w:rsidRPr="009E2072">
        <w:t xml:space="preserve"> je bil</w:t>
      </w:r>
      <w:r w:rsidR="008B7B10" w:rsidRPr="009E2072">
        <w:t>a</w:t>
      </w:r>
      <w:r w:rsidRPr="009E2072">
        <w:t xml:space="preserve"> že pred spremembo pogojev odplačevanja v skladu z MSRP 9 za namen oblikovanja </w:t>
      </w:r>
      <w:r w:rsidR="00A341B7" w:rsidRPr="009E2072">
        <w:t>popravkov vrednosti</w:t>
      </w:r>
      <w:r w:rsidRPr="009E2072">
        <w:t xml:space="preserve"> oziroma rezervacij</w:t>
      </w:r>
      <w:r w:rsidR="00A341B7" w:rsidRPr="009E2072">
        <w:t xml:space="preserve"> za kreditne izgube</w:t>
      </w:r>
      <w:r w:rsidRPr="009E2072">
        <w:t xml:space="preserve"> razvrščen</w:t>
      </w:r>
      <w:r w:rsidR="008B7B10" w:rsidRPr="009E2072">
        <w:t>a</w:t>
      </w:r>
      <w:r w:rsidRPr="009E2072">
        <w:t xml:space="preserve"> v skupino 1.</w:t>
      </w:r>
    </w:p>
    <w:p w:rsidR="00810258" w:rsidRPr="009E2072" w:rsidRDefault="00810258" w:rsidP="00810258">
      <w:pPr>
        <w:jc w:val="both"/>
        <w:rPr>
          <w:rFonts w:asciiTheme="majorHAnsi" w:hAnsiTheme="majorHAnsi"/>
          <w:sz w:val="24"/>
          <w:szCs w:val="24"/>
        </w:rPr>
      </w:pPr>
    </w:p>
    <w:p w:rsidR="00CC2A20" w:rsidRPr="009E2072" w:rsidRDefault="00810258" w:rsidP="000E213E">
      <w:pPr>
        <w:pStyle w:val="Odstavekseznama"/>
        <w:numPr>
          <w:ilvl w:val="0"/>
          <w:numId w:val="4"/>
        </w:numPr>
        <w:jc w:val="both"/>
      </w:pPr>
      <w:r w:rsidRPr="009E2072">
        <w:t xml:space="preserve">Banka v vsakem primeru spremembo pogojev odplačevanja obravnava po pravilih odprave pripoznanja </w:t>
      </w:r>
      <w:r w:rsidR="008B7B10" w:rsidRPr="009E2072">
        <w:t xml:space="preserve">izpostavljenosti </w:t>
      </w:r>
      <w:r w:rsidR="00A12A64" w:rsidRPr="009E2072">
        <w:t xml:space="preserve">iz </w:t>
      </w:r>
      <w:r w:rsidR="008B7B10" w:rsidRPr="009E2072">
        <w:t>izkaz</w:t>
      </w:r>
      <w:r w:rsidR="00A12A64" w:rsidRPr="009E2072">
        <w:t>a</w:t>
      </w:r>
      <w:r w:rsidR="008B7B10" w:rsidRPr="009E2072">
        <w:t xml:space="preserve"> finančnega položaja</w:t>
      </w:r>
      <w:r w:rsidRPr="009E2072">
        <w:t>, kadar</w:t>
      </w:r>
      <w:r w:rsidR="00CC2A20" w:rsidRPr="009E2072">
        <w:t>:</w:t>
      </w:r>
    </w:p>
    <w:p w:rsidR="00810258" w:rsidRPr="009E2072" w:rsidRDefault="00810258" w:rsidP="00A65E4A">
      <w:pPr>
        <w:pStyle w:val="Odstavekseznama"/>
        <w:numPr>
          <w:ilvl w:val="0"/>
          <w:numId w:val="45"/>
        </w:numPr>
        <w:jc w:val="both"/>
      </w:pPr>
      <w:r w:rsidRPr="009E2072">
        <w:t xml:space="preserve">je posledica te spremembe v skladu z MSRP 9 prerazvrstitev </w:t>
      </w:r>
      <w:r w:rsidR="00A12A64" w:rsidRPr="009E2072">
        <w:t xml:space="preserve">bilančne </w:t>
      </w:r>
      <w:r w:rsidR="008B7B10" w:rsidRPr="009E2072">
        <w:t>izpostavljenosti</w:t>
      </w:r>
      <w:r w:rsidRPr="009E2072">
        <w:t xml:space="preserve"> in prehod na merjenje po pošteni vrednosti (npr. v pogodbo je vstavlj</w:t>
      </w:r>
      <w:r w:rsidR="0033147D" w:rsidRPr="009E2072">
        <w:t>en izvedeni finančni instrument</w:t>
      </w:r>
      <w:r w:rsidRPr="009E2072">
        <w:t>, ki pomembno vpliva na denarne tokove osnovne pogodbe)</w:t>
      </w:r>
      <w:r w:rsidR="00CC2A20" w:rsidRPr="009E2072">
        <w:t>;</w:t>
      </w:r>
    </w:p>
    <w:p w:rsidR="00CC2A20" w:rsidRPr="009E2072" w:rsidRDefault="00CC2A20" w:rsidP="00A65E4A">
      <w:pPr>
        <w:pStyle w:val="Odstavekseznama"/>
        <w:numPr>
          <w:ilvl w:val="0"/>
          <w:numId w:val="45"/>
        </w:numPr>
        <w:jc w:val="both"/>
      </w:pPr>
      <w:r w:rsidRPr="009E2072">
        <w:t>z novo pogodbo</w:t>
      </w:r>
      <w:r w:rsidR="007D4AF8" w:rsidRPr="009E2072">
        <w:t>,</w:t>
      </w:r>
      <w:r w:rsidRPr="009E2072">
        <w:t xml:space="preserve"> </w:t>
      </w:r>
      <w:r w:rsidR="007D4AF8" w:rsidRPr="009E2072">
        <w:t>na podlagi katere se odplača dolg prvotnega dolžnika,</w:t>
      </w:r>
      <w:r w:rsidR="00A304A7">
        <w:t xml:space="preserve"> ali aneksom</w:t>
      </w:r>
      <w:r w:rsidR="007D4AF8" w:rsidRPr="009E2072">
        <w:t xml:space="preserve"> </w:t>
      </w:r>
      <w:r w:rsidR="00087A4A">
        <w:t xml:space="preserve">k pogodbi </w:t>
      </w:r>
      <w:r w:rsidRPr="009E2072">
        <w:t>v kreditno razmerje namesto prvotn</w:t>
      </w:r>
      <w:r w:rsidR="007D4AF8" w:rsidRPr="009E2072">
        <w:t xml:space="preserve">ega dolžnika vstopi nov dolžnik. To pravilo ne velja, </w:t>
      </w:r>
      <w:r w:rsidRPr="009E2072">
        <w:t xml:space="preserve">če </w:t>
      </w:r>
      <w:r w:rsidR="004B08EE" w:rsidRPr="009E2072">
        <w:t xml:space="preserve">novi </w:t>
      </w:r>
      <w:r w:rsidRPr="009E2072">
        <w:t>dolžnik</w:t>
      </w:r>
      <w:r w:rsidR="004B08EE" w:rsidRPr="009E2072">
        <w:t xml:space="preserve"> sodi v skupino povezanih oseb</w:t>
      </w:r>
      <w:r w:rsidR="001515E4" w:rsidRPr="009E2072">
        <w:t>, v katero je vključen</w:t>
      </w:r>
      <w:r w:rsidR="004B08EE" w:rsidRPr="009E2072">
        <w:t xml:space="preserve"> prvotni dolžnik, in je zaradi tega dejstva na podlagi Izvedbene uredbe Komisije (EU) št. 680/2014 nov</w:t>
      </w:r>
      <w:r w:rsidR="008B7B10" w:rsidRPr="009E2072">
        <w:t xml:space="preserve">a </w:t>
      </w:r>
      <w:r w:rsidR="00A12A64" w:rsidRPr="009E2072">
        <w:t xml:space="preserve">bilančna </w:t>
      </w:r>
      <w:r w:rsidR="008B7B10" w:rsidRPr="009E2072">
        <w:t>izpostavljenost</w:t>
      </w:r>
      <w:r w:rsidR="004B08EE" w:rsidRPr="009E2072">
        <w:t xml:space="preserve"> na podlagi nove kreditne pogodbe</w:t>
      </w:r>
      <w:r w:rsidR="007D4AF8" w:rsidRPr="009E2072">
        <w:t xml:space="preserve"> (ali aneksa)</w:t>
      </w:r>
      <w:r w:rsidR="004B08EE" w:rsidRPr="009E2072">
        <w:t xml:space="preserve"> opredeljen</w:t>
      </w:r>
      <w:r w:rsidR="008B7B10" w:rsidRPr="009E2072">
        <w:t>a</w:t>
      </w:r>
      <w:r w:rsidR="004B08EE" w:rsidRPr="009E2072">
        <w:t xml:space="preserve"> kot restrukturiran</w:t>
      </w:r>
      <w:r w:rsidR="008B7B10" w:rsidRPr="009E2072">
        <w:t>a izpostavljenost</w:t>
      </w:r>
      <w:r w:rsidR="007D4AF8" w:rsidRPr="009E2072">
        <w:t xml:space="preserve"> (v tem primeru banka ravna v skladu </w:t>
      </w:r>
      <w:r w:rsidR="00B0685B" w:rsidRPr="009E2072">
        <w:t>s</w:t>
      </w:r>
      <w:r w:rsidR="007D4AF8" w:rsidRPr="009E2072">
        <w:t xml:space="preserve"> </w:t>
      </w:r>
      <w:r w:rsidR="00CF6965" w:rsidRPr="009E2072">
        <w:fldChar w:fldCharType="begin"/>
      </w:r>
      <w:r w:rsidR="00CF6965" w:rsidRPr="009E2072">
        <w:instrText xml:space="preserve"> REF _Ref471826872 \r \h  \* MERGEFORMAT </w:instrText>
      </w:r>
      <w:r w:rsidR="00CF6965" w:rsidRPr="009E2072">
        <w:fldChar w:fldCharType="separate"/>
      </w:r>
      <w:r w:rsidR="009C653A">
        <w:t>35</w:t>
      </w:r>
      <w:r w:rsidR="00CF6965" w:rsidRPr="009E2072">
        <w:fldChar w:fldCharType="end"/>
      </w:r>
      <w:r w:rsidR="006760A6" w:rsidRPr="009E2072">
        <w:t xml:space="preserve">. in </w:t>
      </w:r>
      <w:r w:rsidR="00330C29" w:rsidRPr="009E2072">
        <w:fldChar w:fldCharType="begin"/>
      </w:r>
      <w:r w:rsidR="00E52956" w:rsidRPr="009E2072">
        <w:instrText xml:space="preserve"> REF _Ref471826893 \r \h </w:instrText>
      </w:r>
      <w:r w:rsidR="009E2072">
        <w:instrText xml:space="preserve"> \* MERGEFORMAT </w:instrText>
      </w:r>
      <w:r w:rsidR="00330C29" w:rsidRPr="009E2072">
        <w:fldChar w:fldCharType="separate"/>
      </w:r>
      <w:r w:rsidR="009C653A">
        <w:t>36</w:t>
      </w:r>
      <w:r w:rsidR="00330C29" w:rsidRPr="009E2072">
        <w:fldChar w:fldCharType="end"/>
      </w:r>
      <w:r w:rsidR="006760A6" w:rsidRPr="009E2072">
        <w:t>.</w:t>
      </w:r>
      <w:r w:rsidR="007D4AF8" w:rsidRPr="009E2072">
        <w:t xml:space="preserve"> odstavkom teh </w:t>
      </w:r>
      <w:r w:rsidR="004B07E1" w:rsidRPr="009E2072">
        <w:t>usmeritev</w:t>
      </w:r>
      <w:r w:rsidR="007D4AF8" w:rsidRPr="009E2072">
        <w:t>)</w:t>
      </w:r>
      <w:r w:rsidR="004B08EE" w:rsidRPr="009E2072">
        <w:t>.</w:t>
      </w:r>
    </w:p>
    <w:p w:rsidR="00810258" w:rsidRPr="009E2072" w:rsidRDefault="00810258" w:rsidP="00810258">
      <w:pPr>
        <w:jc w:val="both"/>
        <w:rPr>
          <w:rFonts w:asciiTheme="majorHAnsi" w:hAnsiTheme="majorHAnsi"/>
          <w:sz w:val="24"/>
          <w:szCs w:val="24"/>
        </w:rPr>
      </w:pPr>
    </w:p>
    <w:p w:rsidR="0057467E" w:rsidRDefault="0057467E" w:rsidP="00810258">
      <w:pPr>
        <w:jc w:val="both"/>
        <w:rPr>
          <w:rFonts w:asciiTheme="majorHAnsi" w:hAnsiTheme="majorHAnsi"/>
          <w:sz w:val="24"/>
          <w:szCs w:val="24"/>
        </w:rPr>
      </w:pPr>
    </w:p>
    <w:p w:rsidR="00DA0CBC" w:rsidRDefault="00DA0CBC" w:rsidP="00810258">
      <w:pPr>
        <w:jc w:val="both"/>
        <w:rPr>
          <w:rFonts w:asciiTheme="majorHAnsi" w:hAnsiTheme="majorHAnsi"/>
          <w:sz w:val="24"/>
          <w:szCs w:val="24"/>
        </w:rPr>
      </w:pPr>
    </w:p>
    <w:p w:rsidR="00993754" w:rsidRPr="009E2072" w:rsidRDefault="002C1281" w:rsidP="0016450F">
      <w:pPr>
        <w:pStyle w:val="Odstavekseznama"/>
        <w:keepNext/>
        <w:numPr>
          <w:ilvl w:val="0"/>
          <w:numId w:val="3"/>
        </w:numPr>
        <w:jc w:val="center"/>
        <w:rPr>
          <w:b/>
        </w:rPr>
      </w:pPr>
      <w:r w:rsidRPr="009E2072">
        <w:rPr>
          <w:b/>
        </w:rPr>
        <w:t xml:space="preserve">OBRAVNAVA NEPREMIČNIN IN PREMIČNIN, PRIDOBLJENIH ZA POPLAČILO </w:t>
      </w:r>
      <w:r w:rsidR="00C03895" w:rsidRPr="009E2072">
        <w:rPr>
          <w:b/>
        </w:rPr>
        <w:t>IZPOSTAVLJENOSTI</w:t>
      </w:r>
      <w:r w:rsidRPr="009E2072">
        <w:rPr>
          <w:b/>
        </w:rPr>
        <w:t xml:space="preserve"> </w:t>
      </w:r>
    </w:p>
    <w:p w:rsidR="00893F39" w:rsidRDefault="00893F39" w:rsidP="0016450F">
      <w:pPr>
        <w:pStyle w:val="Odstavekseznama"/>
        <w:keepNext/>
        <w:ind w:left="811"/>
        <w:rPr>
          <w:b/>
        </w:rPr>
      </w:pPr>
    </w:p>
    <w:p w:rsidR="00A26B03" w:rsidRPr="009E2072" w:rsidRDefault="00A26B03" w:rsidP="0016450F">
      <w:pPr>
        <w:pStyle w:val="Odstavekseznama"/>
        <w:keepNext/>
        <w:ind w:left="811"/>
        <w:rPr>
          <w:b/>
        </w:rPr>
      </w:pPr>
    </w:p>
    <w:p w:rsidR="00823AF5" w:rsidRDefault="00823AF5" w:rsidP="0016450F">
      <w:pPr>
        <w:pStyle w:val="Odstavekseznama"/>
        <w:keepNext/>
        <w:numPr>
          <w:ilvl w:val="0"/>
          <w:numId w:val="4"/>
        </w:numPr>
        <w:ind w:left="426"/>
        <w:jc w:val="both"/>
      </w:pPr>
      <w:r w:rsidRPr="006B4E07">
        <w:t xml:space="preserve">Banka nepremičnine ali premičnine ob pridobitvi za poplačilo bilančnih izpostavljenosti izmeri po pošteni vrednosti na podlagi </w:t>
      </w:r>
      <w:r>
        <w:t xml:space="preserve">njihove </w:t>
      </w:r>
      <w:r w:rsidRPr="006B4E07">
        <w:t>cenitve</w:t>
      </w:r>
      <w:r>
        <w:t xml:space="preserve"> </w:t>
      </w:r>
      <w:r w:rsidRPr="006B4E07">
        <w:t xml:space="preserve">in jih v skladu z MSRP </w:t>
      </w:r>
      <w:r>
        <w:t>obravnava</w:t>
      </w:r>
      <w:r w:rsidRPr="006B4E07">
        <w:t xml:space="preserve"> v odvisnosti od namena.</w:t>
      </w:r>
      <w:r>
        <w:t xml:space="preserve"> </w:t>
      </w:r>
      <w:r w:rsidRPr="006B4E07">
        <w:t xml:space="preserve">Banka </w:t>
      </w:r>
      <w:r>
        <w:t xml:space="preserve">v skladu z Napotki ECB o NPL </w:t>
      </w:r>
      <w:r w:rsidRPr="006B4E07">
        <w:t>zasleduje aktivno politiko prodaje nepremičnin in premičnin, pridobljenih za poplačilo izpostavljenosti.</w:t>
      </w:r>
    </w:p>
    <w:p w:rsidR="00B04D35" w:rsidRPr="009E2072" w:rsidRDefault="00B04D35" w:rsidP="00B04D35">
      <w:pPr>
        <w:pStyle w:val="Odstavekseznama"/>
        <w:ind w:left="811"/>
        <w:jc w:val="both"/>
      </w:pPr>
    </w:p>
    <w:p w:rsidR="001B4799" w:rsidRDefault="00B04D35" w:rsidP="000E213E">
      <w:pPr>
        <w:pStyle w:val="Odstavekseznama"/>
        <w:numPr>
          <w:ilvl w:val="0"/>
          <w:numId w:val="4"/>
        </w:numPr>
        <w:jc w:val="both"/>
      </w:pPr>
      <w:bookmarkStart w:id="19" w:name="_Ref478984779"/>
      <w:r w:rsidRPr="009E2072">
        <w:t xml:space="preserve">Banka nepremičnine in premičnine, pridobljene za poplačilo </w:t>
      </w:r>
      <w:r w:rsidR="002156ED" w:rsidRPr="009E2072">
        <w:t>bilančnih izpostavljenosti ter</w:t>
      </w:r>
      <w:r w:rsidRPr="009E2072">
        <w:t xml:space="preserve"> </w:t>
      </w:r>
      <w:r w:rsidR="002156ED" w:rsidRPr="009E2072">
        <w:t xml:space="preserve">razvrščene </w:t>
      </w:r>
      <w:r w:rsidRPr="009E2072">
        <w:t xml:space="preserve">med </w:t>
      </w:r>
      <w:r w:rsidR="002156ED" w:rsidRPr="009E2072">
        <w:t>nekratkoročna sredstva</w:t>
      </w:r>
      <w:r w:rsidRPr="009E2072">
        <w:t xml:space="preserve"> v posesti za prodajo, ob pridobitvi in kasneje </w:t>
      </w:r>
      <w:r w:rsidR="00DA291C">
        <w:t xml:space="preserve">v skladu z MSRP 5 </w:t>
      </w:r>
      <w:r w:rsidRPr="009E2072">
        <w:t xml:space="preserve">vrednoti po </w:t>
      </w:r>
      <w:r w:rsidR="001B4799">
        <w:t>nižji izmed vrednosti:</w:t>
      </w:r>
      <w:bookmarkEnd w:id="19"/>
    </w:p>
    <w:p w:rsidR="001B4799" w:rsidRDefault="00B04D35" w:rsidP="00A65E4A">
      <w:pPr>
        <w:pStyle w:val="Odstavekseznama"/>
        <w:numPr>
          <w:ilvl w:val="1"/>
          <w:numId w:val="47"/>
        </w:numPr>
        <w:jc w:val="both"/>
      </w:pPr>
      <w:r w:rsidRPr="009E2072">
        <w:t>pošten</w:t>
      </w:r>
      <w:r w:rsidR="000F0C48">
        <w:t>i</w:t>
      </w:r>
      <w:r w:rsidRPr="009E2072">
        <w:t xml:space="preserve"> </w:t>
      </w:r>
      <w:r w:rsidR="000F0C48">
        <w:t>vrednosti</w:t>
      </w:r>
      <w:r w:rsidR="00EE625D" w:rsidRPr="009E2072">
        <w:t>,</w:t>
      </w:r>
      <w:r w:rsidRPr="009E2072">
        <w:t xml:space="preserve"> </w:t>
      </w:r>
      <w:r w:rsidR="00EE625D" w:rsidRPr="009E2072">
        <w:t>zmanjšan</w:t>
      </w:r>
      <w:r w:rsidR="000F0C48">
        <w:t>i</w:t>
      </w:r>
      <w:r w:rsidR="00EE625D" w:rsidRPr="009E2072">
        <w:t xml:space="preserve"> za ocenjene stroške prodaje</w:t>
      </w:r>
      <w:r w:rsidR="001B4799">
        <w:t xml:space="preserve">, </w:t>
      </w:r>
      <w:r w:rsidR="001B1E53">
        <w:t>ali</w:t>
      </w:r>
      <w:r w:rsidR="001B4799">
        <w:t xml:space="preserve"> </w:t>
      </w:r>
    </w:p>
    <w:p w:rsidR="001B4799" w:rsidRDefault="001B4799" w:rsidP="00A65E4A">
      <w:pPr>
        <w:pStyle w:val="Odstavekseznama"/>
        <w:numPr>
          <w:ilvl w:val="1"/>
          <w:numId w:val="47"/>
        </w:numPr>
        <w:jc w:val="both"/>
      </w:pPr>
      <w:r>
        <w:t>vrednost</w:t>
      </w:r>
      <w:r w:rsidR="000F0C48">
        <w:t>i</w:t>
      </w:r>
      <w:r>
        <w:t xml:space="preserve"> ob začetnem pripoznanju</w:t>
      </w:r>
      <w:r w:rsidR="00B04D35" w:rsidRPr="009E2072">
        <w:t xml:space="preserve">. </w:t>
      </w:r>
    </w:p>
    <w:p w:rsidR="007906CB" w:rsidRDefault="007906CB" w:rsidP="00882999">
      <w:pPr>
        <w:pStyle w:val="Odstavekseznama"/>
        <w:ind w:left="397"/>
        <w:jc w:val="both"/>
      </w:pPr>
    </w:p>
    <w:p w:rsidR="00A05A17" w:rsidRPr="009E2072" w:rsidRDefault="00B04D35" w:rsidP="000E213E">
      <w:pPr>
        <w:pStyle w:val="Odstavekseznama"/>
        <w:numPr>
          <w:ilvl w:val="0"/>
          <w:numId w:val="4"/>
        </w:numPr>
        <w:jc w:val="both"/>
      </w:pPr>
      <w:bookmarkStart w:id="20" w:name="_Ref478376527"/>
      <w:r w:rsidRPr="009E2072">
        <w:t xml:space="preserve">Ne glede na </w:t>
      </w:r>
      <w:r w:rsidR="00C93D52">
        <w:fldChar w:fldCharType="begin"/>
      </w:r>
      <w:r w:rsidR="00C93D52">
        <w:instrText xml:space="preserve"> REF _Ref478984779 \r \h </w:instrText>
      </w:r>
      <w:r w:rsidR="00C93D52">
        <w:fldChar w:fldCharType="separate"/>
      </w:r>
      <w:r w:rsidR="009C653A">
        <w:t>40</w:t>
      </w:r>
      <w:r w:rsidR="00C93D52">
        <w:fldChar w:fldCharType="end"/>
      </w:r>
      <w:r w:rsidR="005411A1">
        <w:t xml:space="preserve">. </w:t>
      </w:r>
      <w:r w:rsidRPr="009E2072">
        <w:t xml:space="preserve">odstavek banka vrednoti nepremičnine in premičnine, ki so bile pridobljene za poplačilo bilančnih izpostavljenosti na podlagi unovčitve zavarovanja in ob začetnem pripoznanju razvrščene med nekratkoročna sredstva v posesti za prodajo, po </w:t>
      </w:r>
      <w:r w:rsidR="005411A1">
        <w:t xml:space="preserve">nižji </w:t>
      </w:r>
      <w:r w:rsidRPr="009E2072">
        <w:t xml:space="preserve">izmed </w:t>
      </w:r>
      <w:r w:rsidR="002D427D" w:rsidRPr="009E2072">
        <w:t>vrednosti:</w:t>
      </w:r>
      <w:bookmarkEnd w:id="20"/>
      <w:r w:rsidR="002D427D" w:rsidRPr="009E2072">
        <w:t xml:space="preserve"> </w:t>
      </w:r>
    </w:p>
    <w:p w:rsidR="00EC4FCF" w:rsidRDefault="00E31970" w:rsidP="009A0B49">
      <w:pPr>
        <w:pStyle w:val="Odstavekseznama"/>
        <w:numPr>
          <w:ilvl w:val="0"/>
          <w:numId w:val="48"/>
        </w:numPr>
        <w:tabs>
          <w:tab w:val="left" w:pos="709"/>
        </w:tabs>
        <w:autoSpaceDE w:val="0"/>
        <w:autoSpaceDN w:val="0"/>
        <w:adjustRightInd w:val="0"/>
        <w:jc w:val="both"/>
      </w:pPr>
      <w:r w:rsidRPr="009E2072">
        <w:t>pošten</w:t>
      </w:r>
      <w:r>
        <w:t>i</w:t>
      </w:r>
      <w:r w:rsidRPr="009E2072">
        <w:t xml:space="preserve"> </w:t>
      </w:r>
      <w:r>
        <w:t>vrednosti</w:t>
      </w:r>
      <w:r w:rsidRPr="009E2072">
        <w:t>, zmanjšan</w:t>
      </w:r>
      <w:r>
        <w:t>i</w:t>
      </w:r>
      <w:r w:rsidRPr="009E2072">
        <w:t xml:space="preserve"> za ocenjene stroške prodaje </w:t>
      </w:r>
      <w:r w:rsidR="002D427D" w:rsidRPr="009E2072">
        <w:t>ali</w:t>
      </w:r>
      <w:r w:rsidR="00B04D35" w:rsidRPr="009E2072">
        <w:t xml:space="preserve"> </w:t>
      </w:r>
    </w:p>
    <w:p w:rsidR="0012143B" w:rsidRDefault="0012143B" w:rsidP="009A0B49">
      <w:pPr>
        <w:pStyle w:val="Odstavekseznama"/>
        <w:numPr>
          <w:ilvl w:val="0"/>
          <w:numId w:val="48"/>
        </w:numPr>
        <w:jc w:val="both"/>
      </w:pPr>
      <w:r>
        <w:t>vrednost</w:t>
      </w:r>
      <w:r w:rsidR="00C93D52">
        <w:t>i</w:t>
      </w:r>
      <w:r>
        <w:t xml:space="preserve"> ob začetnem pripoznanju ali</w:t>
      </w:r>
      <w:r w:rsidRPr="009E2072">
        <w:t xml:space="preserve"> </w:t>
      </w:r>
    </w:p>
    <w:p w:rsidR="00B04D35" w:rsidRPr="009E2072" w:rsidRDefault="00B04D35" w:rsidP="009A0B49">
      <w:pPr>
        <w:pStyle w:val="Odstavekseznama"/>
        <w:numPr>
          <w:ilvl w:val="0"/>
          <w:numId w:val="48"/>
        </w:numPr>
        <w:tabs>
          <w:tab w:val="left" w:pos="709"/>
        </w:tabs>
        <w:autoSpaceDE w:val="0"/>
        <w:autoSpaceDN w:val="0"/>
        <w:adjustRightInd w:val="0"/>
        <w:jc w:val="both"/>
      </w:pPr>
      <w:r w:rsidRPr="009E2072">
        <w:t>vrednost</w:t>
      </w:r>
      <w:r w:rsidR="000F0C48">
        <w:t>i</w:t>
      </w:r>
      <w:r w:rsidRPr="009E2072">
        <w:t xml:space="preserve"> </w:t>
      </w:r>
      <w:r w:rsidR="002156ED" w:rsidRPr="009E2072">
        <w:t>nepremičnine oziroma premičnine</w:t>
      </w:r>
      <w:r w:rsidRPr="009E2072">
        <w:t xml:space="preserve">, ki je bila nazadnje upoštevana pri </w:t>
      </w:r>
      <w:r w:rsidR="002D427D" w:rsidRPr="009E2072">
        <w:t>oceni</w:t>
      </w:r>
      <w:r w:rsidRPr="009E2072">
        <w:t xml:space="preserve"> denarnih tokov </w:t>
      </w:r>
      <w:r w:rsidR="002D427D" w:rsidRPr="009E2072">
        <w:t>oziroma</w:t>
      </w:r>
      <w:r w:rsidRPr="009E2072">
        <w:t xml:space="preserve"> kreditnih izgub za izpostavljenosti</w:t>
      </w:r>
      <w:r w:rsidR="002D427D" w:rsidRPr="009E2072">
        <w:t>, ki so bile poplačane s to nepremičnino oziroma premičnino</w:t>
      </w:r>
      <w:r w:rsidRPr="009E2072">
        <w:t xml:space="preserve">. </w:t>
      </w:r>
    </w:p>
    <w:p w:rsidR="00AF2288" w:rsidRDefault="00AF2288" w:rsidP="00734E25">
      <w:pPr>
        <w:pStyle w:val="Odstavekseznama"/>
        <w:ind w:left="811"/>
        <w:jc w:val="both"/>
      </w:pPr>
    </w:p>
    <w:p w:rsidR="00A95EF9" w:rsidRDefault="00AF2288" w:rsidP="00A95EF9">
      <w:pPr>
        <w:pStyle w:val="Odstavekseznama"/>
        <w:numPr>
          <w:ilvl w:val="0"/>
          <w:numId w:val="4"/>
        </w:numPr>
        <w:jc w:val="both"/>
      </w:pPr>
      <w:r w:rsidRPr="009E2072">
        <w:t xml:space="preserve">Banka za namen </w:t>
      </w:r>
      <w:r>
        <w:t xml:space="preserve">iz </w:t>
      </w:r>
      <w:r w:rsidR="003D55A5">
        <w:fldChar w:fldCharType="begin"/>
      </w:r>
      <w:r w:rsidR="003D55A5">
        <w:instrText xml:space="preserve"> REF _Ref478984779 \r \h </w:instrText>
      </w:r>
      <w:r w:rsidR="003D55A5">
        <w:fldChar w:fldCharType="separate"/>
      </w:r>
      <w:r w:rsidR="009C653A">
        <w:t>40</w:t>
      </w:r>
      <w:r w:rsidR="003D55A5">
        <w:fldChar w:fldCharType="end"/>
      </w:r>
      <w:r w:rsidR="003D55A5">
        <w:t>.</w:t>
      </w:r>
      <w:r>
        <w:t xml:space="preserve"> in</w:t>
      </w:r>
      <w:r w:rsidR="003D55A5">
        <w:t xml:space="preserve"> </w:t>
      </w:r>
      <w:r w:rsidR="003D55A5">
        <w:fldChar w:fldCharType="begin"/>
      </w:r>
      <w:r w:rsidR="003D55A5">
        <w:instrText xml:space="preserve"> REF _Ref478376527 \r \h </w:instrText>
      </w:r>
      <w:r w:rsidR="003D55A5">
        <w:fldChar w:fldCharType="separate"/>
      </w:r>
      <w:r w:rsidR="009C653A">
        <w:t>41</w:t>
      </w:r>
      <w:r w:rsidR="003D55A5">
        <w:fldChar w:fldCharType="end"/>
      </w:r>
      <w:r w:rsidR="003D55A5">
        <w:t>.</w:t>
      </w:r>
      <w:r>
        <w:t xml:space="preserve"> odstavka </w:t>
      </w:r>
      <w:r w:rsidRPr="009E2072">
        <w:t xml:space="preserve">na podlagi ustrezne računovodske usmeritve za posamezne vrste oziroma skupine nepremičnin ali premičnin oceni stroške prodaje. Pri oceni teh stroškov banka izhaja iz dejanskih stroškov, nastalih ob že izvedenih prodajah podobnih nepremičnin oziroma premičnin v preteklosti. V kolikor banka s temi podatki ne razpolaga, pošteno vrednost nepremičnine </w:t>
      </w:r>
      <w:r w:rsidR="00836F53">
        <w:t xml:space="preserve">oziroma premičnine </w:t>
      </w:r>
      <w:r w:rsidRPr="009E2072">
        <w:t xml:space="preserve">zniža za pavšalni odbitek, ki ga izračuna za posamezne skupine nepremičnin </w:t>
      </w:r>
      <w:r w:rsidR="00836F53">
        <w:t xml:space="preserve">oziroma premičnin </w:t>
      </w:r>
      <w:r w:rsidRPr="009E2072">
        <w:t>glede na trenutne razmere na trgu</w:t>
      </w:r>
      <w:r w:rsidR="00836F53">
        <w:t>.</w:t>
      </w:r>
      <w:r w:rsidRPr="009E2072">
        <w:t xml:space="preserve"> </w:t>
      </w:r>
      <w:r w:rsidR="00E31970">
        <w:t xml:space="preserve"> </w:t>
      </w:r>
    </w:p>
    <w:p w:rsidR="00A925DB" w:rsidRDefault="00A925DB" w:rsidP="00A925DB">
      <w:pPr>
        <w:pStyle w:val="Odstavekseznama"/>
        <w:ind w:left="360"/>
        <w:jc w:val="both"/>
      </w:pPr>
    </w:p>
    <w:p w:rsidR="001B7944" w:rsidRDefault="00363BCE" w:rsidP="00363BCE">
      <w:pPr>
        <w:pStyle w:val="Odstavekseznama"/>
        <w:numPr>
          <w:ilvl w:val="0"/>
          <w:numId w:val="4"/>
        </w:numPr>
        <w:jc w:val="both"/>
      </w:pPr>
      <w:r w:rsidRPr="009E2072">
        <w:t>Banka</w:t>
      </w:r>
      <w:r>
        <w:t xml:space="preserve"> določbe iz tega poglavja Usmeritev smiselno uporablja tudi za</w:t>
      </w:r>
      <w:r w:rsidRPr="009E2072">
        <w:t xml:space="preserve"> nepremičnine in premičnine, pridobljene za poplačilo bilančnih izpostavljenosti</w:t>
      </w:r>
      <w:r>
        <w:t xml:space="preserve">, ki jih izkazuje </w:t>
      </w:r>
      <w:r w:rsidRPr="009E2072">
        <w:t xml:space="preserve">med </w:t>
      </w:r>
      <w:r>
        <w:t xml:space="preserve">zalogami. </w:t>
      </w:r>
      <w:r w:rsidR="001B7944" w:rsidRPr="009E2072">
        <w:t>Nezmožnost prodaje</w:t>
      </w:r>
      <w:r w:rsidR="00BD0369">
        <w:t xml:space="preserve"> teh</w:t>
      </w:r>
      <w:r w:rsidR="001B7944" w:rsidRPr="009E2072">
        <w:t xml:space="preserve"> nepremičnin in premičnin </w:t>
      </w:r>
      <w:r w:rsidR="00BD0369">
        <w:t>se odrazi v</w:t>
      </w:r>
      <w:r w:rsidR="00115711">
        <w:t xml:space="preserve"> oceni </w:t>
      </w:r>
      <w:r w:rsidR="00BD0369">
        <w:t xml:space="preserve">njihove </w:t>
      </w:r>
      <w:r w:rsidR="00115711">
        <w:t>poštene vrednosti</w:t>
      </w:r>
      <w:r w:rsidR="001B7944" w:rsidRPr="009E2072">
        <w:t xml:space="preserve">. </w:t>
      </w:r>
      <w:r w:rsidR="00DA291C" w:rsidRPr="00DA291C">
        <w:t xml:space="preserve"> </w:t>
      </w:r>
    </w:p>
    <w:p w:rsidR="00A95EF9" w:rsidRDefault="00A95EF9" w:rsidP="0043342B">
      <w:pPr>
        <w:pStyle w:val="Odstavekseznama"/>
        <w:ind w:left="360"/>
        <w:jc w:val="both"/>
      </w:pPr>
    </w:p>
    <w:p w:rsidR="00D63A4C" w:rsidRDefault="00D63A4C" w:rsidP="00BF1392">
      <w:pPr>
        <w:ind w:left="360"/>
        <w:jc w:val="both"/>
      </w:pPr>
    </w:p>
    <w:p w:rsidR="00FF44DB" w:rsidRDefault="00FF44DB" w:rsidP="00FF44DB">
      <w:pPr>
        <w:pStyle w:val="Odstavekseznama"/>
        <w:ind w:left="360"/>
        <w:jc w:val="both"/>
      </w:pPr>
    </w:p>
    <w:p w:rsidR="00E87142" w:rsidRPr="009E2072" w:rsidRDefault="00E87142" w:rsidP="009A46A7">
      <w:pPr>
        <w:pStyle w:val="Odstavekseznama"/>
        <w:keepNext/>
        <w:numPr>
          <w:ilvl w:val="0"/>
          <w:numId w:val="3"/>
        </w:numPr>
        <w:jc w:val="center"/>
        <w:rPr>
          <w:b/>
        </w:rPr>
      </w:pPr>
      <w:r>
        <w:rPr>
          <w:b/>
        </w:rPr>
        <w:t>U</w:t>
      </w:r>
      <w:r w:rsidR="00EF0786">
        <w:rPr>
          <w:b/>
        </w:rPr>
        <w:t>PORABA</w:t>
      </w:r>
      <w:r>
        <w:rPr>
          <w:b/>
        </w:rPr>
        <w:t xml:space="preserve"> USMERITEV</w:t>
      </w:r>
    </w:p>
    <w:p w:rsidR="007906CB" w:rsidRDefault="007906CB" w:rsidP="009A46A7">
      <w:pPr>
        <w:pStyle w:val="Odstavekseznama"/>
        <w:keepNext/>
        <w:ind w:left="360"/>
        <w:jc w:val="both"/>
      </w:pPr>
    </w:p>
    <w:p w:rsidR="00EF0786" w:rsidRPr="000644E8" w:rsidRDefault="00EF0786" w:rsidP="009A46A7">
      <w:pPr>
        <w:pStyle w:val="Odstavekseznama"/>
        <w:keepNext/>
        <w:numPr>
          <w:ilvl w:val="0"/>
          <w:numId w:val="4"/>
        </w:numPr>
        <w:jc w:val="both"/>
      </w:pPr>
      <w:r w:rsidRPr="000644E8">
        <w:t xml:space="preserve">Usmeritve ne posegajo v področje </w:t>
      </w:r>
      <w:r w:rsidR="000A3DBA">
        <w:t>pojasnjevanja MSRP 9, za katero</w:t>
      </w:r>
      <w:r w:rsidRPr="000644E8">
        <w:t xml:space="preserve"> je pristojen Mednarodni odbor za pojasnjevanje mednarodnih računovodskih standardov (v nadaljevanju OPMSRP). Prav tako usmeritve ne posegajo v področje </w:t>
      </w:r>
      <w:r w:rsidR="000A3DBA">
        <w:t>pojasnjevanja</w:t>
      </w:r>
      <w:r w:rsidRPr="000644E8">
        <w:t xml:space="preserve"> Smernic EBA o modelu pričakovanih kreditnih izgub in </w:t>
      </w:r>
      <w:r>
        <w:t>Napotkov</w:t>
      </w:r>
      <w:r w:rsidRPr="000644E8">
        <w:t xml:space="preserve"> ECB o </w:t>
      </w:r>
      <w:r>
        <w:t>NPL</w:t>
      </w:r>
      <w:r w:rsidRPr="000644E8">
        <w:t xml:space="preserve">. </w:t>
      </w:r>
    </w:p>
    <w:p w:rsidR="00EF0786" w:rsidRPr="000644E8" w:rsidRDefault="00EF0786" w:rsidP="00EF0786">
      <w:pPr>
        <w:pStyle w:val="Odstavekseznama"/>
        <w:ind w:left="360"/>
        <w:jc w:val="both"/>
      </w:pPr>
    </w:p>
    <w:p w:rsidR="00EF0786" w:rsidRPr="000644E8" w:rsidRDefault="00EF0786" w:rsidP="00EF0786">
      <w:pPr>
        <w:pStyle w:val="Odstavekseznama"/>
        <w:numPr>
          <w:ilvl w:val="0"/>
          <w:numId w:val="4"/>
        </w:numPr>
        <w:jc w:val="both"/>
      </w:pPr>
      <w:r w:rsidRPr="000644E8">
        <w:t xml:space="preserve">Banka Slovenije bo usmeritve uporabljala pri izvajanju nadzora, ki ga opravlja nad bankami v skladu z ZBan-2 in Uredbo </w:t>
      </w:r>
      <w:r w:rsidR="00E25E11">
        <w:t>Sveta (EU) št.</w:t>
      </w:r>
      <w:r w:rsidR="00E25E11" w:rsidRPr="000644E8">
        <w:t xml:space="preserve"> </w:t>
      </w:r>
      <w:r w:rsidRPr="000644E8">
        <w:t>1024/2013. Usmeritve se uporabljajo do preklica ali spremembe, ki se objavi na spletni strani Banke Slovenije.</w:t>
      </w:r>
    </w:p>
    <w:p w:rsidR="00EF0786" w:rsidRPr="000644E8" w:rsidRDefault="00EF0786" w:rsidP="00EF0786">
      <w:pPr>
        <w:pStyle w:val="Odstavekseznama"/>
        <w:ind w:left="360"/>
        <w:jc w:val="both"/>
      </w:pPr>
    </w:p>
    <w:p w:rsidR="00EF0786" w:rsidRPr="000644E8" w:rsidRDefault="00EF0786" w:rsidP="00EF0786">
      <w:pPr>
        <w:pStyle w:val="Odstavekseznama"/>
        <w:numPr>
          <w:ilvl w:val="0"/>
          <w:numId w:val="4"/>
        </w:numPr>
        <w:jc w:val="both"/>
      </w:pPr>
      <w:bookmarkStart w:id="21" w:name="_Ref478376477"/>
      <w:r w:rsidRPr="000644E8">
        <w:t>Izdaja usmeritev ne odvezuje Banke Slovenije, da pri izvajanju svojih pristojnosti uporablja vsakokrat veljavno besedilo MSRP in pojasnil OPMSRP, izdanih na njihovi podlagi, ki določajo računovodski okvir za banke. Če bo Banka Slovenije v posameznem primeru pri izvajanju svojih pristojnosti na podlagi ZBan-2 in Uredbe</w:t>
      </w:r>
      <w:r w:rsidR="00253A4C">
        <w:t xml:space="preserve"> Sveta (EU) št.</w:t>
      </w:r>
      <w:r w:rsidRPr="000644E8">
        <w:t xml:space="preserve"> 1024/2013, uporabila razlago predpisa, ki spreminja ali dopolnjuje razlago, kot izhaja iz teh usmeritev, se nemudoma ustrezno spremeni ali dopolni te usmeritve.</w:t>
      </w:r>
      <w:bookmarkEnd w:id="21"/>
      <w:r w:rsidRPr="000644E8">
        <w:t xml:space="preserve">   </w:t>
      </w:r>
    </w:p>
    <w:p w:rsidR="00EF0786" w:rsidRPr="000644E8" w:rsidRDefault="00EF0786" w:rsidP="00EF0786">
      <w:pPr>
        <w:pStyle w:val="Odstavekseznama"/>
        <w:ind w:left="360"/>
        <w:jc w:val="both"/>
      </w:pPr>
    </w:p>
    <w:p w:rsidR="00EF0786" w:rsidRPr="00C70F70" w:rsidRDefault="001F136E" w:rsidP="006C0223">
      <w:pPr>
        <w:pStyle w:val="Odstavekseznama"/>
        <w:numPr>
          <w:ilvl w:val="0"/>
          <w:numId w:val="4"/>
        </w:numPr>
        <w:jc w:val="both"/>
      </w:pPr>
      <w:r w:rsidRPr="00C70F70">
        <w:t>Usmeritve začnejo veljati z dnem objave na spletni strani Banke Slovenije, uporabljati pa se začnejo s 1. 1. 2018.</w:t>
      </w:r>
    </w:p>
    <w:p w:rsidR="00A048A0" w:rsidRPr="00C70F70" w:rsidRDefault="00A048A0" w:rsidP="00A048A0">
      <w:pPr>
        <w:pStyle w:val="Odstavekseznama"/>
      </w:pPr>
    </w:p>
    <w:p w:rsidR="00A048A0" w:rsidRPr="00C70F70" w:rsidRDefault="00A048A0" w:rsidP="00A048A0">
      <w:pPr>
        <w:pStyle w:val="Odstavekseznama"/>
        <w:numPr>
          <w:ilvl w:val="0"/>
          <w:numId w:val="4"/>
        </w:numPr>
        <w:jc w:val="both"/>
      </w:pPr>
      <w:r w:rsidRPr="00C70F70">
        <w:t xml:space="preserve">Ne glede na določbe iz </w:t>
      </w:r>
      <w:r w:rsidRPr="00C70F70">
        <w:fldChar w:fldCharType="begin"/>
      </w:r>
      <w:r w:rsidRPr="00C70F70">
        <w:instrText xml:space="preserve"> REF _Ref478376527 \r \h  \* MERGEFORMAT </w:instrText>
      </w:r>
      <w:r w:rsidRPr="00C70F70">
        <w:fldChar w:fldCharType="separate"/>
      </w:r>
      <w:r w:rsidR="009C653A">
        <w:t>41</w:t>
      </w:r>
      <w:r w:rsidRPr="00C70F70">
        <w:fldChar w:fldCharType="end"/>
      </w:r>
      <w:r w:rsidRPr="00C70F70">
        <w:t>. odstavka teh usmeritev banka za nepremičnine in premičnine, ki so bile pridobljene za poplačilo bilančnih izpostavljenosti na podlagi unovčitve zavarovanja pred začetkom uporabe teh usmeritev, vrednotijo</w:t>
      </w:r>
      <w:r w:rsidR="00E4568E" w:rsidRPr="00C70F70">
        <w:t xml:space="preserve"> </w:t>
      </w:r>
      <w:r w:rsidR="00AD700C">
        <w:t>na način iz</w:t>
      </w:r>
      <w:r w:rsidR="00E4568E" w:rsidRPr="00C70F70">
        <w:t xml:space="preserve"> </w:t>
      </w:r>
      <w:r w:rsidR="00AD700C">
        <w:fldChar w:fldCharType="begin"/>
      </w:r>
      <w:r w:rsidR="00AD700C">
        <w:instrText xml:space="preserve"> REF _Ref478984779 \r \h </w:instrText>
      </w:r>
      <w:r w:rsidR="00AD700C">
        <w:fldChar w:fldCharType="separate"/>
      </w:r>
      <w:r w:rsidR="009C653A">
        <w:t>40</w:t>
      </w:r>
      <w:r w:rsidR="00AD700C">
        <w:fldChar w:fldCharType="end"/>
      </w:r>
      <w:r w:rsidR="003D55A5" w:rsidRPr="00C70F70">
        <w:t xml:space="preserve">. </w:t>
      </w:r>
      <w:r w:rsidR="00E4568E" w:rsidRPr="00C70F70">
        <w:t>odstavka</w:t>
      </w:r>
      <w:r w:rsidR="00AD700C">
        <w:t xml:space="preserve"> teh usmeritev</w:t>
      </w:r>
      <w:r w:rsidRPr="00C70F70">
        <w:t xml:space="preserve">. </w:t>
      </w:r>
    </w:p>
    <w:p w:rsidR="00EF0786" w:rsidRDefault="00EF0786" w:rsidP="00EF0786">
      <w:pPr>
        <w:jc w:val="both"/>
      </w:pPr>
    </w:p>
    <w:p w:rsidR="00A048A0" w:rsidRDefault="00A048A0" w:rsidP="00EF0786">
      <w:pPr>
        <w:jc w:val="both"/>
      </w:pPr>
    </w:p>
    <w:p w:rsidR="00EF0786" w:rsidRDefault="00EF0786" w:rsidP="00EF0786">
      <w:pPr>
        <w:jc w:val="both"/>
      </w:pPr>
    </w:p>
    <w:p w:rsidR="00EF0786" w:rsidRDefault="00EF0786" w:rsidP="00EF0786">
      <w:pPr>
        <w:pStyle w:val="Default"/>
        <w:rPr>
          <w:sz w:val="22"/>
          <w:szCs w:val="22"/>
        </w:rPr>
      </w:pPr>
      <w:r>
        <w:rPr>
          <w:sz w:val="22"/>
          <w:szCs w:val="22"/>
        </w:rPr>
        <w:t xml:space="preserve">Ljubljana, dne </w:t>
      </w:r>
      <w:r w:rsidR="00253A4C">
        <w:rPr>
          <w:sz w:val="22"/>
          <w:szCs w:val="22"/>
        </w:rPr>
        <w:t xml:space="preserve">5. decembra </w:t>
      </w:r>
      <w:r>
        <w:rPr>
          <w:sz w:val="22"/>
          <w:szCs w:val="22"/>
        </w:rPr>
        <w:t>2017</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1034B4" w:rsidRDefault="001034B4" w:rsidP="001034B4">
      <w:pPr>
        <w:pStyle w:val="Default"/>
        <w:rPr>
          <w:sz w:val="22"/>
          <w:szCs w:val="22"/>
        </w:rPr>
      </w:pPr>
    </w:p>
    <w:p w:rsidR="001034B4" w:rsidRDefault="001034B4" w:rsidP="001034B4">
      <w:pPr>
        <w:pStyle w:val="Default"/>
        <w:rPr>
          <w:sz w:val="22"/>
          <w:szCs w:val="22"/>
        </w:rPr>
      </w:pPr>
    </w:p>
    <w:p w:rsidR="001034B4" w:rsidRDefault="001034B4" w:rsidP="001034B4">
      <w:pPr>
        <w:pStyle w:val="Default"/>
        <w:rPr>
          <w:sz w:val="22"/>
          <w:szCs w:val="22"/>
        </w:rPr>
      </w:pPr>
    </w:p>
    <w:p w:rsidR="001034B4" w:rsidRDefault="001034B4" w:rsidP="00CC5244">
      <w:pPr>
        <w:pStyle w:val="Default"/>
        <w:ind w:left="6372"/>
        <w:jc w:val="center"/>
        <w:rPr>
          <w:sz w:val="22"/>
          <w:szCs w:val="22"/>
        </w:rPr>
      </w:pPr>
      <w:r>
        <w:rPr>
          <w:sz w:val="22"/>
          <w:szCs w:val="22"/>
        </w:rPr>
        <w:t xml:space="preserve">Boštjan Jazbec </w:t>
      </w:r>
      <w:r w:rsidR="00671C91">
        <w:rPr>
          <w:sz w:val="22"/>
          <w:szCs w:val="22"/>
        </w:rPr>
        <w:t>l.r.</w:t>
      </w:r>
    </w:p>
    <w:p w:rsidR="001034B4" w:rsidRDefault="00253A4C" w:rsidP="00CC5244">
      <w:pPr>
        <w:pStyle w:val="Default"/>
        <w:ind w:left="6372"/>
        <w:jc w:val="center"/>
        <w:rPr>
          <w:sz w:val="22"/>
          <w:szCs w:val="22"/>
        </w:rPr>
      </w:pPr>
      <w:r>
        <w:rPr>
          <w:sz w:val="22"/>
          <w:szCs w:val="22"/>
        </w:rPr>
        <w:t>p</w:t>
      </w:r>
      <w:r w:rsidR="001034B4">
        <w:rPr>
          <w:sz w:val="22"/>
          <w:szCs w:val="22"/>
        </w:rPr>
        <w:t>redsednik</w:t>
      </w:r>
    </w:p>
    <w:p w:rsidR="001034B4" w:rsidRPr="002B68F0" w:rsidRDefault="001034B4" w:rsidP="00CC5244">
      <w:pPr>
        <w:ind w:left="6372"/>
        <w:jc w:val="center"/>
      </w:pPr>
      <w:r>
        <w:t>Sveta Banke Slovenije</w:t>
      </w:r>
    </w:p>
    <w:p w:rsidR="00EF0786" w:rsidRDefault="00EF0786" w:rsidP="00EF0786">
      <w:pPr>
        <w:pStyle w:val="Default"/>
        <w:rPr>
          <w:sz w:val="22"/>
          <w:szCs w:val="22"/>
        </w:rPr>
      </w:pPr>
    </w:p>
    <w:p w:rsidR="00EF0786" w:rsidRDefault="00EF0786" w:rsidP="0016450F">
      <w:pPr>
        <w:jc w:val="both"/>
      </w:pPr>
    </w:p>
    <w:p w:rsidR="0016450F" w:rsidRDefault="0016450F" w:rsidP="0016450F">
      <w:pPr>
        <w:jc w:val="both"/>
      </w:pPr>
    </w:p>
    <w:p w:rsidR="0016450F" w:rsidRDefault="0016450F" w:rsidP="0016450F">
      <w:pPr>
        <w:jc w:val="both"/>
      </w:pPr>
    </w:p>
    <w:p w:rsidR="000C7649" w:rsidRDefault="000C7649" w:rsidP="0016450F">
      <w:pPr>
        <w:jc w:val="both"/>
        <w:rPr>
          <w:i/>
        </w:rPr>
      </w:pPr>
    </w:p>
    <w:p w:rsidR="000C7649" w:rsidRDefault="000C7649" w:rsidP="0016450F">
      <w:pPr>
        <w:jc w:val="both"/>
        <w:rPr>
          <w:i/>
        </w:rPr>
      </w:pPr>
    </w:p>
    <w:p w:rsidR="000C7649" w:rsidRDefault="000C7649" w:rsidP="0016450F">
      <w:pPr>
        <w:jc w:val="both"/>
        <w:rPr>
          <w:i/>
        </w:rPr>
      </w:pPr>
    </w:p>
    <w:p w:rsidR="000C7649" w:rsidRDefault="000C7649" w:rsidP="0016450F">
      <w:pPr>
        <w:jc w:val="both"/>
        <w:rPr>
          <w:i/>
        </w:rPr>
      </w:pPr>
    </w:p>
    <w:p w:rsidR="000C7649" w:rsidRDefault="000C7649" w:rsidP="0016450F">
      <w:pPr>
        <w:jc w:val="both"/>
        <w:rPr>
          <w:i/>
        </w:rPr>
      </w:pPr>
    </w:p>
    <w:sectPr w:rsidR="000C7649" w:rsidSect="00934EDD">
      <w:footerReference w:type="default" r:id="rId13"/>
      <w:headerReference w:type="first" r:id="rId14"/>
      <w:pgSz w:w="11906" w:h="16838"/>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B7" w:rsidRDefault="005510B7" w:rsidP="00EA6B34">
      <w:r>
        <w:separator/>
      </w:r>
    </w:p>
  </w:endnote>
  <w:endnote w:type="continuationSeparator" w:id="0">
    <w:p w:rsidR="005510B7" w:rsidRDefault="005510B7" w:rsidP="00EA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B"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62917"/>
      <w:docPartObj>
        <w:docPartGallery w:val="Page Numbers (Bottom of Page)"/>
        <w:docPartUnique/>
      </w:docPartObj>
    </w:sdtPr>
    <w:sdtEndPr/>
    <w:sdtContent>
      <w:p w:rsidR="00C90B7A" w:rsidRDefault="00C90B7A">
        <w:pPr>
          <w:pStyle w:val="Noga"/>
          <w:jc w:val="center"/>
        </w:pPr>
        <w:r>
          <w:fldChar w:fldCharType="begin"/>
        </w:r>
        <w:r>
          <w:instrText xml:space="preserve"> PAGE   \* MERGEFORMAT </w:instrText>
        </w:r>
        <w:r>
          <w:fldChar w:fldCharType="separate"/>
        </w:r>
        <w:r w:rsidR="003F22D4">
          <w:rPr>
            <w:noProof/>
          </w:rPr>
          <w:t>12</w:t>
        </w:r>
        <w:r>
          <w:rPr>
            <w:noProof/>
          </w:rPr>
          <w:fldChar w:fldCharType="end"/>
        </w:r>
      </w:p>
    </w:sdtContent>
  </w:sdt>
  <w:p w:rsidR="00C90B7A" w:rsidRDefault="00C90B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B7" w:rsidRDefault="005510B7" w:rsidP="00EA6B34">
      <w:r>
        <w:separator/>
      </w:r>
    </w:p>
  </w:footnote>
  <w:footnote w:type="continuationSeparator" w:id="0">
    <w:p w:rsidR="005510B7" w:rsidRDefault="005510B7" w:rsidP="00EA6B34">
      <w:r>
        <w:continuationSeparator/>
      </w:r>
    </w:p>
  </w:footnote>
  <w:footnote w:id="1">
    <w:p w:rsidR="00C90B7A" w:rsidRDefault="00C90B7A">
      <w:pPr>
        <w:pStyle w:val="Sprotnaopomba-besedilo"/>
      </w:pPr>
      <w:r>
        <w:rPr>
          <w:rStyle w:val="Sprotnaopomba-sklic"/>
        </w:rPr>
        <w:footnoteRef/>
      </w:r>
      <w:r>
        <w:t xml:space="preserve"> Primerne in dokazljive informacije o preteklih dogodkih (npr. o zaostankih s plačili), trenutnih pogojih ter napovedih glede prihodnjih ekonomskih okoliščin, ki so brez pretiranih stroškov in prizadevanj na voljo na datum poročanja, ter so relevantne za specifično izpostavljenost, ki se ocenjuje (kot opredeljeno v členu B5.5.49 MSRP 9). </w:t>
      </w:r>
    </w:p>
  </w:footnote>
  <w:footnote w:id="2">
    <w:p w:rsidR="00C90B7A" w:rsidRDefault="00C90B7A">
      <w:pPr>
        <w:pStyle w:val="Sprotnaopomba-besedilo"/>
      </w:pPr>
      <w:r>
        <w:rPr>
          <w:rStyle w:val="Sprotnaopomba-sklic"/>
        </w:rPr>
        <w:footnoteRef/>
      </w:r>
      <w:r>
        <w:t xml:space="preserve"> Na primer</w:t>
      </w:r>
      <w:r w:rsidRPr="009E2072">
        <w:t xml:space="preserve"> pomembno zmanjšanje kreditnega tveganja dolžnika zaradi dokapitalizacije oziroma vpliva prevzemne družbe z bistveno boljšo boniteto</w:t>
      </w:r>
      <w:r>
        <w:t xml:space="preserve">, </w:t>
      </w:r>
      <w:r w:rsidRPr="009E2072">
        <w:t>kar se odrazi v rednem odplačevanju dolga (brez zamud) in izboljšanju bonitetne ocene dolžnika</w:t>
      </w:r>
      <w:r>
        <w:t>.</w:t>
      </w:r>
    </w:p>
  </w:footnote>
  <w:footnote w:id="3">
    <w:p w:rsidR="002C4C95" w:rsidRDefault="002C4C95">
      <w:pPr>
        <w:pStyle w:val="Sprotnaopomba-besedilo"/>
      </w:pPr>
      <w:r>
        <w:rPr>
          <w:rStyle w:val="Sprotnaopomba-sklic"/>
        </w:rPr>
        <w:footnoteRef/>
      </w:r>
      <w:r>
        <w:t xml:space="preserve"> </w:t>
      </w:r>
      <w:r w:rsidR="0027403C">
        <w:t>Č</w:t>
      </w:r>
      <w:r>
        <w:t xml:space="preserve">e je banka imenovala dve ali več bonitetnih agencij za posamezno kategorijo izpostavljenosti, </w:t>
      </w:r>
      <w:r w:rsidR="00726E6A">
        <w:t xml:space="preserve">smiselno </w:t>
      </w:r>
      <w:r>
        <w:t xml:space="preserve">upošteva pravila glede uporabe bonitetnih ocen iz člena </w:t>
      </w:r>
      <w:r w:rsidR="00664B6B">
        <w:t xml:space="preserve">138 </w:t>
      </w:r>
      <w:r>
        <w:t>Uredbe CRR.</w:t>
      </w:r>
    </w:p>
  </w:footnote>
  <w:footnote w:id="4">
    <w:p w:rsidR="00ED4FF8" w:rsidRDefault="00ED4FF8" w:rsidP="00ED4FF8">
      <w:pPr>
        <w:pStyle w:val="Sprotnaopomba-besedilo"/>
      </w:pPr>
      <w:r>
        <w:rPr>
          <w:rStyle w:val="Sprotnaopomba-sklic"/>
        </w:rPr>
        <w:footnoteRef/>
      </w:r>
      <w:r>
        <w:t xml:space="preserve"> Relevantno samo v primerih, k</w:t>
      </w:r>
      <w:r w:rsidR="00C40D4A">
        <w:t>adar</w:t>
      </w:r>
      <w:r>
        <w:t xml:space="preserve"> je v okviru posamezne stopnje kreditne </w:t>
      </w:r>
      <w:r w:rsidR="00A0088D">
        <w:t>kakovosti</w:t>
      </w:r>
      <w:r>
        <w:t xml:space="preserve"> vključenih več bonitetnih ocen imenovane bonitetne agencije, sicer </w:t>
      </w:r>
      <w:r w:rsidR="0027403C">
        <w:t>banka</w:t>
      </w:r>
      <w:r>
        <w:t xml:space="preserve"> upošteva stopnj</w:t>
      </w:r>
      <w:r w:rsidR="0027403C">
        <w:t>o</w:t>
      </w:r>
      <w:r>
        <w:t xml:space="preserve"> neplačila za </w:t>
      </w:r>
      <w:r w:rsidR="0027403C">
        <w:t>posamezno</w:t>
      </w:r>
      <w:r>
        <w:t xml:space="preserve"> bonitetno oceno.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DD" w:rsidRDefault="00934EDD" w:rsidP="00934EDD">
    <w:r w:rsidRPr="009E6CC2">
      <w:rPr>
        <w:noProof/>
        <w:lang w:eastAsia="sl-SI"/>
      </w:rPr>
      <w:ptab w:relativeTo="margin" w:alignment="center" w:leader="none"/>
    </w:r>
    <w:r w:rsidRPr="000D11FD">
      <w:rPr>
        <w:noProof/>
        <w:lang w:eastAsia="sl-SI"/>
      </w:rPr>
      <w:drawing>
        <wp:anchor distT="0" distB="0" distL="114300" distR="114300" simplePos="0" relativeHeight="251658752" behindDoc="0" locked="0" layoutInCell="1" allowOverlap="1" wp14:anchorId="1CCC96B5" wp14:editId="6FBE6190">
          <wp:simplePos x="0" y="0"/>
          <wp:positionH relativeFrom="column">
            <wp:posOffset>2095500</wp:posOffset>
          </wp:positionH>
          <wp:positionV relativeFrom="paragraph">
            <wp:posOffset>1905</wp:posOffset>
          </wp:positionV>
          <wp:extent cx="1566000" cy="795600"/>
          <wp:effectExtent l="0" t="0" r="0" b="0"/>
          <wp:wrapNone/>
          <wp:docPr id="1" name="Slika 1" descr="logo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jpg"/>
                  <pic:cNvPicPr/>
                </pic:nvPicPr>
                <pic:blipFill>
                  <a:blip r:embed="rId1">
                    <a:extLst>
                      <a:ext uri="{28A0092B-C50C-407E-A947-70E740481C1C}">
                        <a14:useLocalDpi xmlns:a14="http://schemas.microsoft.com/office/drawing/2010/main" val="0"/>
                      </a:ext>
                    </a:extLst>
                  </a:blip>
                  <a:stretch>
                    <a:fillRect/>
                  </a:stretch>
                </pic:blipFill>
                <pic:spPr>
                  <a:xfrm>
                    <a:off x="0" y="0"/>
                    <a:ext cx="1566000" cy="795600"/>
                  </a:xfrm>
                  <a:prstGeom prst="rect">
                    <a:avLst/>
                  </a:prstGeom>
                </pic:spPr>
              </pic:pic>
            </a:graphicData>
          </a:graphic>
          <wp14:sizeRelH relativeFrom="margin">
            <wp14:pctWidth>0</wp14:pctWidth>
          </wp14:sizeRelH>
          <wp14:sizeRelV relativeFrom="margin">
            <wp14:pctHeight>0</wp14:pctHeight>
          </wp14:sizeRelV>
        </wp:anchor>
      </w:drawing>
    </w:r>
    <w:r w:rsidRPr="009E6CC2">
      <w:rPr>
        <w:noProof/>
        <w:lang w:eastAsia="sl-SI"/>
      </w:rPr>
      <w:ptab w:relativeTo="margin" w:alignment="right" w:leader="none"/>
    </w:r>
  </w:p>
  <w:p w:rsidR="00934EDD" w:rsidRDefault="00934ED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4AB"/>
    <w:multiLevelType w:val="hybridMultilevel"/>
    <w:tmpl w:val="F524ECE0"/>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B7689C"/>
    <w:multiLevelType w:val="hybridMultilevel"/>
    <w:tmpl w:val="93DCE2F6"/>
    <w:lvl w:ilvl="0" w:tplc="CFAEED36">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39365C"/>
    <w:multiLevelType w:val="hybridMultilevel"/>
    <w:tmpl w:val="7194AE24"/>
    <w:lvl w:ilvl="0" w:tplc="E552143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AA745D"/>
    <w:multiLevelType w:val="hybridMultilevel"/>
    <w:tmpl w:val="C8F88F0E"/>
    <w:lvl w:ilvl="0" w:tplc="ADE01E18">
      <w:start w:val="1"/>
      <w:numFmt w:val="bullet"/>
      <w:lvlText w:val=""/>
      <w:lvlJc w:val="left"/>
      <w:pPr>
        <w:ind w:left="1080" w:hanging="360"/>
      </w:pPr>
      <w:rPr>
        <w:rFonts w:ascii="Symbol" w:hAnsi="Symbol" w:hint="default"/>
        <w:b w:val="0"/>
        <w:i w:val="0"/>
        <w:caps w:val="0"/>
        <w:strike w:val="0"/>
        <w:dstrike w:val="0"/>
        <w:vanish w:val="0"/>
        <w:color w:val="000000"/>
        <w:vertAlign w:val="baseline"/>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AD2493F"/>
    <w:multiLevelType w:val="hybridMultilevel"/>
    <w:tmpl w:val="83168C76"/>
    <w:lvl w:ilvl="0" w:tplc="CFAEED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6A3E06"/>
    <w:multiLevelType w:val="hybridMultilevel"/>
    <w:tmpl w:val="71867EB2"/>
    <w:lvl w:ilvl="0" w:tplc="1D3030D8">
      <w:start w:val="1"/>
      <w:numFmt w:val="lowerRoman"/>
      <w:lvlText w:val="%1."/>
      <w:lvlJc w:val="right"/>
      <w:pPr>
        <w:ind w:left="1776" w:hanging="360"/>
      </w:pPr>
      <w:rPr>
        <w:rFonts w:hint="default"/>
        <w:b w:val="0"/>
        <w:i w:val="0"/>
        <w:caps w:val="0"/>
        <w:strike w:val="0"/>
        <w:dstrike w:val="0"/>
        <w:vanish w:val="0"/>
        <w:color w:val="000000"/>
        <w:vertAlign w:val="baseline"/>
      </w:rPr>
    </w:lvl>
    <w:lvl w:ilvl="1" w:tplc="04240019" w:tentative="1">
      <w:start w:val="1"/>
      <w:numFmt w:val="lowerLetter"/>
      <w:lvlText w:val="%2."/>
      <w:lvlJc w:val="left"/>
      <w:pPr>
        <w:ind w:left="1776" w:hanging="360"/>
      </w:pPr>
    </w:lvl>
    <w:lvl w:ilvl="2" w:tplc="0424001B" w:tentative="1">
      <w:start w:val="1"/>
      <w:numFmt w:val="lowerRoman"/>
      <w:lvlText w:val="%3."/>
      <w:lvlJc w:val="right"/>
      <w:pPr>
        <w:ind w:left="2496" w:hanging="180"/>
      </w:pPr>
    </w:lvl>
    <w:lvl w:ilvl="3" w:tplc="0424000F" w:tentative="1">
      <w:start w:val="1"/>
      <w:numFmt w:val="decimal"/>
      <w:lvlText w:val="%4."/>
      <w:lvlJc w:val="left"/>
      <w:pPr>
        <w:ind w:left="3216" w:hanging="360"/>
      </w:pPr>
    </w:lvl>
    <w:lvl w:ilvl="4" w:tplc="04240019" w:tentative="1">
      <w:start w:val="1"/>
      <w:numFmt w:val="lowerLetter"/>
      <w:lvlText w:val="%5."/>
      <w:lvlJc w:val="left"/>
      <w:pPr>
        <w:ind w:left="3936" w:hanging="360"/>
      </w:pPr>
    </w:lvl>
    <w:lvl w:ilvl="5" w:tplc="0424001B" w:tentative="1">
      <w:start w:val="1"/>
      <w:numFmt w:val="lowerRoman"/>
      <w:lvlText w:val="%6."/>
      <w:lvlJc w:val="right"/>
      <w:pPr>
        <w:ind w:left="4656" w:hanging="180"/>
      </w:pPr>
    </w:lvl>
    <w:lvl w:ilvl="6" w:tplc="0424000F" w:tentative="1">
      <w:start w:val="1"/>
      <w:numFmt w:val="decimal"/>
      <w:lvlText w:val="%7."/>
      <w:lvlJc w:val="left"/>
      <w:pPr>
        <w:ind w:left="5376" w:hanging="360"/>
      </w:pPr>
    </w:lvl>
    <w:lvl w:ilvl="7" w:tplc="04240019" w:tentative="1">
      <w:start w:val="1"/>
      <w:numFmt w:val="lowerLetter"/>
      <w:lvlText w:val="%8."/>
      <w:lvlJc w:val="left"/>
      <w:pPr>
        <w:ind w:left="6096" w:hanging="360"/>
      </w:pPr>
    </w:lvl>
    <w:lvl w:ilvl="8" w:tplc="0424001B" w:tentative="1">
      <w:start w:val="1"/>
      <w:numFmt w:val="lowerRoman"/>
      <w:lvlText w:val="%9."/>
      <w:lvlJc w:val="right"/>
      <w:pPr>
        <w:ind w:left="6816" w:hanging="180"/>
      </w:pPr>
    </w:lvl>
  </w:abstractNum>
  <w:abstractNum w:abstractNumId="6" w15:restartNumberingAfterBreak="0">
    <w:nsid w:val="0D9E276E"/>
    <w:multiLevelType w:val="hybridMultilevel"/>
    <w:tmpl w:val="C92C1C56"/>
    <w:lvl w:ilvl="0" w:tplc="5D98E33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5D98E33A">
      <w:start w:val="1"/>
      <w:numFmt w:val="lowerLetter"/>
      <w:lvlText w:val="(%3)"/>
      <w:lvlJc w:val="lef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4131D9"/>
    <w:multiLevelType w:val="hybridMultilevel"/>
    <w:tmpl w:val="F7B20736"/>
    <w:lvl w:ilvl="0" w:tplc="ADE01E18">
      <w:start w:val="1"/>
      <w:numFmt w:val="bullet"/>
      <w:lvlText w:val=""/>
      <w:lvlJc w:val="left"/>
      <w:pPr>
        <w:ind w:left="1440" w:hanging="360"/>
      </w:pPr>
      <w:rPr>
        <w:rFonts w:ascii="Symbol" w:hAnsi="Symbol" w:hint="default"/>
        <w:b w:val="0"/>
        <w:i w:val="0"/>
        <w:caps w:val="0"/>
        <w:strike w:val="0"/>
        <w:dstrike w:val="0"/>
        <w:vanish w:val="0"/>
        <w:color w:val="000000"/>
        <w:vertAlign w:val="baseline"/>
      </w:rPr>
    </w:lvl>
    <w:lvl w:ilvl="1" w:tplc="0424001B">
      <w:start w:val="1"/>
      <w:numFmt w:val="lowerRoman"/>
      <w:lvlText w:val="%2."/>
      <w:lvlJc w:val="right"/>
      <w:pPr>
        <w:ind w:left="2160" w:hanging="360"/>
      </w:pPr>
      <w:rPr>
        <w:rFont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43D15C0"/>
    <w:multiLevelType w:val="hybridMultilevel"/>
    <w:tmpl w:val="389416F2"/>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972277"/>
    <w:multiLevelType w:val="hybridMultilevel"/>
    <w:tmpl w:val="C21A0EF8"/>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3943B3"/>
    <w:multiLevelType w:val="hybridMultilevel"/>
    <w:tmpl w:val="B36CB16E"/>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11" w15:restartNumberingAfterBreak="0">
    <w:nsid w:val="1CD5594C"/>
    <w:multiLevelType w:val="hybridMultilevel"/>
    <w:tmpl w:val="23DC1C58"/>
    <w:lvl w:ilvl="0" w:tplc="561CDB0E">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F5E04F2"/>
    <w:multiLevelType w:val="hybridMultilevel"/>
    <w:tmpl w:val="E5BE3CFA"/>
    <w:lvl w:ilvl="0" w:tplc="2FD43DF0">
      <w:start w:val="1"/>
      <w:numFmt w:val="lowerLetter"/>
      <w:lvlText w:val="(%1)"/>
      <w:lvlJc w:val="left"/>
      <w:pPr>
        <w:tabs>
          <w:tab w:val="num" w:pos="397"/>
        </w:tabs>
        <w:ind w:left="397" w:hanging="397"/>
      </w:pPr>
      <w:rPr>
        <w:rFonts w:hint="default"/>
      </w:rPr>
    </w:lvl>
    <w:lvl w:ilvl="1" w:tplc="ADE01E18">
      <w:start w:val="1"/>
      <w:numFmt w:val="bullet"/>
      <w:lvlText w:val=""/>
      <w:lvlJc w:val="left"/>
      <w:pPr>
        <w:tabs>
          <w:tab w:val="num" w:pos="0"/>
        </w:tabs>
        <w:ind w:left="397" w:firstLine="0"/>
      </w:pPr>
      <w:rPr>
        <w:rFonts w:ascii="Symbol" w:hAnsi="Symbol" w:hint="default"/>
        <w:b w:val="0"/>
        <w:i w:val="0"/>
        <w:caps w:val="0"/>
        <w:strike w:val="0"/>
        <w:dstrike w:val="0"/>
        <w:vanish w:val="0"/>
        <w:color w:val="000000"/>
        <w:vertAlign w:val="baseline"/>
      </w:rPr>
    </w:lvl>
    <w:lvl w:ilvl="2" w:tplc="29945780">
      <w:start w:val="5"/>
      <w:numFmt w:val="bullet"/>
      <w:lvlText w:val="-"/>
      <w:lvlJc w:val="left"/>
      <w:pPr>
        <w:tabs>
          <w:tab w:val="num" w:pos="1980"/>
        </w:tabs>
        <w:ind w:left="1980" w:hanging="360"/>
      </w:pPr>
      <w:rPr>
        <w:rFonts w:ascii="Times New Roman" w:eastAsia="Times New Roman" w:hAnsi="Times New Roman" w:cs="Times New Roman" w:hint="default"/>
      </w:rPr>
    </w:lvl>
    <w:lvl w:ilvl="3" w:tplc="4160810E">
      <w:start w:val="20"/>
      <w:numFmt w:val="lowerRoman"/>
      <w:lvlText w:val="%4."/>
      <w:lvlJc w:val="left"/>
      <w:pPr>
        <w:ind w:left="2880" w:hanging="720"/>
      </w:pPr>
      <w:rPr>
        <w:rFonts w:hint="default"/>
      </w:rPr>
    </w:lvl>
    <w:lvl w:ilvl="4" w:tplc="DD5CBF22">
      <w:start w:val="1"/>
      <w:numFmt w:val="upperLetter"/>
      <w:lvlText w:val="%5."/>
      <w:lvlJc w:val="left"/>
      <w:pPr>
        <w:ind w:left="3240" w:hanging="360"/>
      </w:pPr>
      <w:rPr>
        <w:rFonts w:hint="default"/>
      </w:rPr>
    </w:lvl>
    <w:lvl w:ilvl="5" w:tplc="CA36EFEE">
      <w:start w:val="1"/>
      <w:numFmt w:val="lowerLetter"/>
      <w:lvlText w:val="%6.)"/>
      <w:lvlJc w:val="left"/>
      <w:pPr>
        <w:ind w:left="4140" w:hanging="360"/>
      </w:pPr>
      <w:rPr>
        <w:rFonts w:hint="default"/>
      </w:r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19341BB"/>
    <w:multiLevelType w:val="hybridMultilevel"/>
    <w:tmpl w:val="DE560F36"/>
    <w:lvl w:ilvl="0" w:tplc="5D98E33A">
      <w:start w:val="1"/>
      <w:numFmt w:val="lowerLetter"/>
      <w:lvlText w:val="(%1)"/>
      <w:lvlJc w:val="left"/>
      <w:pPr>
        <w:tabs>
          <w:tab w:val="num" w:pos="340"/>
        </w:tabs>
        <w:ind w:left="34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602466F"/>
    <w:multiLevelType w:val="hybridMultilevel"/>
    <w:tmpl w:val="B3DEC4CC"/>
    <w:lvl w:ilvl="0" w:tplc="2FD43DF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6024FDD"/>
    <w:multiLevelType w:val="hybridMultilevel"/>
    <w:tmpl w:val="F798316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2A411C"/>
    <w:multiLevelType w:val="hybridMultilevel"/>
    <w:tmpl w:val="0E6815FE"/>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17" w15:restartNumberingAfterBreak="0">
    <w:nsid w:val="27936C43"/>
    <w:multiLevelType w:val="hybridMultilevel"/>
    <w:tmpl w:val="437EABA8"/>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784D43"/>
    <w:multiLevelType w:val="hybridMultilevel"/>
    <w:tmpl w:val="F798316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5341D7"/>
    <w:multiLevelType w:val="hybridMultilevel"/>
    <w:tmpl w:val="4A74BB0E"/>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913F0B"/>
    <w:multiLevelType w:val="hybridMultilevel"/>
    <w:tmpl w:val="A838EC1E"/>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5D98E33A">
      <w:start w:val="1"/>
      <w:numFmt w:val="lowerLetter"/>
      <w:lvlText w:val="(%3)"/>
      <w:lvlJc w:val="lef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712FC4"/>
    <w:multiLevelType w:val="hybridMultilevel"/>
    <w:tmpl w:val="5A641D02"/>
    <w:lvl w:ilvl="0" w:tplc="ADE01E18">
      <w:start w:val="1"/>
      <w:numFmt w:val="bullet"/>
      <w:lvlText w:val=""/>
      <w:lvlJc w:val="left"/>
      <w:pPr>
        <w:ind w:left="360" w:hanging="360"/>
      </w:pPr>
      <w:rPr>
        <w:rFonts w:ascii="Symbol" w:hAnsi="Symbol" w:hint="default"/>
        <w:b w:val="0"/>
        <w:i w:val="0"/>
        <w:caps w:val="0"/>
        <w:strike w:val="0"/>
        <w:dstrike w:val="0"/>
        <w:vanish w:val="0"/>
        <w:color w:val="000000"/>
        <w:sz w:val="22"/>
        <w:szCs w:val="22"/>
        <w:vertAlign w:val="baseline"/>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38C4B87"/>
    <w:multiLevelType w:val="hybridMultilevel"/>
    <w:tmpl w:val="7B02630C"/>
    <w:lvl w:ilvl="0" w:tplc="4CA0F9FC">
      <w:start w:val="1"/>
      <w:numFmt w:val="bullet"/>
      <w:lvlText w:val="-"/>
      <w:lvlJc w:val="left"/>
      <w:pPr>
        <w:tabs>
          <w:tab w:val="num" w:pos="720"/>
        </w:tabs>
        <w:ind w:left="720" w:hanging="360"/>
      </w:pPr>
      <w:rPr>
        <w:rFonts w:ascii="Times New Roman" w:hAnsi="Times New Roman" w:hint="default"/>
      </w:rPr>
    </w:lvl>
    <w:lvl w:ilvl="1" w:tplc="C40EC926" w:tentative="1">
      <w:start w:val="1"/>
      <w:numFmt w:val="bullet"/>
      <w:lvlText w:val="-"/>
      <w:lvlJc w:val="left"/>
      <w:pPr>
        <w:tabs>
          <w:tab w:val="num" w:pos="1440"/>
        </w:tabs>
        <w:ind w:left="1440" w:hanging="360"/>
      </w:pPr>
      <w:rPr>
        <w:rFonts w:ascii="Times New Roman" w:hAnsi="Times New Roman" w:hint="default"/>
      </w:rPr>
    </w:lvl>
    <w:lvl w:ilvl="2" w:tplc="3670D03C" w:tentative="1">
      <w:start w:val="1"/>
      <w:numFmt w:val="bullet"/>
      <w:lvlText w:val="-"/>
      <w:lvlJc w:val="left"/>
      <w:pPr>
        <w:tabs>
          <w:tab w:val="num" w:pos="2160"/>
        </w:tabs>
        <w:ind w:left="2160" w:hanging="360"/>
      </w:pPr>
      <w:rPr>
        <w:rFonts w:ascii="Times New Roman" w:hAnsi="Times New Roman" w:hint="default"/>
      </w:rPr>
    </w:lvl>
    <w:lvl w:ilvl="3" w:tplc="1194D8AE" w:tentative="1">
      <w:start w:val="1"/>
      <w:numFmt w:val="bullet"/>
      <w:lvlText w:val="-"/>
      <w:lvlJc w:val="left"/>
      <w:pPr>
        <w:tabs>
          <w:tab w:val="num" w:pos="2880"/>
        </w:tabs>
        <w:ind w:left="2880" w:hanging="360"/>
      </w:pPr>
      <w:rPr>
        <w:rFonts w:ascii="Times New Roman" w:hAnsi="Times New Roman" w:hint="default"/>
      </w:rPr>
    </w:lvl>
    <w:lvl w:ilvl="4" w:tplc="4B78A304" w:tentative="1">
      <w:start w:val="1"/>
      <w:numFmt w:val="bullet"/>
      <w:lvlText w:val="-"/>
      <w:lvlJc w:val="left"/>
      <w:pPr>
        <w:tabs>
          <w:tab w:val="num" w:pos="3600"/>
        </w:tabs>
        <w:ind w:left="3600" w:hanging="360"/>
      </w:pPr>
      <w:rPr>
        <w:rFonts w:ascii="Times New Roman" w:hAnsi="Times New Roman" w:hint="default"/>
      </w:rPr>
    </w:lvl>
    <w:lvl w:ilvl="5" w:tplc="5B58A0C4" w:tentative="1">
      <w:start w:val="1"/>
      <w:numFmt w:val="bullet"/>
      <w:lvlText w:val="-"/>
      <w:lvlJc w:val="left"/>
      <w:pPr>
        <w:tabs>
          <w:tab w:val="num" w:pos="4320"/>
        </w:tabs>
        <w:ind w:left="4320" w:hanging="360"/>
      </w:pPr>
      <w:rPr>
        <w:rFonts w:ascii="Times New Roman" w:hAnsi="Times New Roman" w:hint="default"/>
      </w:rPr>
    </w:lvl>
    <w:lvl w:ilvl="6" w:tplc="04266360" w:tentative="1">
      <w:start w:val="1"/>
      <w:numFmt w:val="bullet"/>
      <w:lvlText w:val="-"/>
      <w:lvlJc w:val="left"/>
      <w:pPr>
        <w:tabs>
          <w:tab w:val="num" w:pos="5040"/>
        </w:tabs>
        <w:ind w:left="5040" w:hanging="360"/>
      </w:pPr>
      <w:rPr>
        <w:rFonts w:ascii="Times New Roman" w:hAnsi="Times New Roman" w:hint="default"/>
      </w:rPr>
    </w:lvl>
    <w:lvl w:ilvl="7" w:tplc="E272C20A" w:tentative="1">
      <w:start w:val="1"/>
      <w:numFmt w:val="bullet"/>
      <w:lvlText w:val="-"/>
      <w:lvlJc w:val="left"/>
      <w:pPr>
        <w:tabs>
          <w:tab w:val="num" w:pos="5760"/>
        </w:tabs>
        <w:ind w:left="5760" w:hanging="360"/>
      </w:pPr>
      <w:rPr>
        <w:rFonts w:ascii="Times New Roman" w:hAnsi="Times New Roman" w:hint="default"/>
      </w:rPr>
    </w:lvl>
    <w:lvl w:ilvl="8" w:tplc="872C03E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509457E"/>
    <w:multiLevelType w:val="hybridMultilevel"/>
    <w:tmpl w:val="59F6CF4C"/>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ADE01E18">
      <w:start w:val="1"/>
      <w:numFmt w:val="bullet"/>
      <w:lvlText w:val=""/>
      <w:lvlJc w:val="left"/>
      <w:pPr>
        <w:ind w:left="1440" w:hanging="360"/>
      </w:pPr>
      <w:rPr>
        <w:rFonts w:ascii="Symbol" w:hAnsi="Symbol" w:hint="default"/>
        <w:b w:val="0"/>
        <w:i w:val="0"/>
        <w:caps w:val="0"/>
        <w:strike w:val="0"/>
        <w:dstrike w:val="0"/>
        <w:vanish w:val="0"/>
        <w:color w:val="000000"/>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261E59"/>
    <w:multiLevelType w:val="hybridMultilevel"/>
    <w:tmpl w:val="CA665176"/>
    <w:lvl w:ilvl="0" w:tplc="04BE6F08">
      <w:start w:val="25"/>
      <w:numFmt w:val="bullet"/>
      <w:lvlText w:val=""/>
      <w:lvlJc w:val="left"/>
      <w:pPr>
        <w:ind w:left="1068" w:hanging="360"/>
      </w:pPr>
      <w:rPr>
        <w:rFonts w:ascii="Symbol" w:eastAsia="Times New Roman" w:hAnsi="Symbol" w:cs="Arial Unicode MS" w:hint="default"/>
        <w:b w:val="0"/>
        <w:i w:val="0"/>
        <w:caps w:val="0"/>
        <w:strike w:val="0"/>
        <w:dstrike w:val="0"/>
        <w:vanish w:val="0"/>
        <w:color w:val="000000"/>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36995670"/>
    <w:multiLevelType w:val="hybridMultilevel"/>
    <w:tmpl w:val="C3762F46"/>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3226D9"/>
    <w:multiLevelType w:val="hybridMultilevel"/>
    <w:tmpl w:val="3E3032AA"/>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9155BD"/>
    <w:multiLevelType w:val="hybridMultilevel"/>
    <w:tmpl w:val="204A1650"/>
    <w:lvl w:ilvl="0" w:tplc="CFAEED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CC332CC"/>
    <w:multiLevelType w:val="hybridMultilevel"/>
    <w:tmpl w:val="FA82D64C"/>
    <w:lvl w:ilvl="0" w:tplc="5D98E33A">
      <w:start w:val="1"/>
      <w:numFmt w:val="lowerLetter"/>
      <w:lvlText w:val="(%1)"/>
      <w:lvlJc w:val="left"/>
      <w:pPr>
        <w:ind w:left="720" w:hanging="360"/>
      </w:pPr>
      <w:rPr>
        <w:rFonts w:hint="default"/>
        <w:b w:val="0"/>
        <w:sz w:val="22"/>
        <w:szCs w:val="22"/>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624347"/>
    <w:multiLevelType w:val="hybridMultilevel"/>
    <w:tmpl w:val="85F6A572"/>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F816BCE"/>
    <w:multiLevelType w:val="hybridMultilevel"/>
    <w:tmpl w:val="28F802B4"/>
    <w:lvl w:ilvl="0" w:tplc="CE16B62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0165383"/>
    <w:multiLevelType w:val="hybridMultilevel"/>
    <w:tmpl w:val="1B3416FE"/>
    <w:lvl w:ilvl="0" w:tplc="243800BC">
      <w:start w:val="1"/>
      <w:numFmt w:val="lowerRoman"/>
      <w:lvlText w:val="%1."/>
      <w:lvlJc w:val="left"/>
      <w:pPr>
        <w:ind w:left="1440" w:hanging="360"/>
      </w:pPr>
      <w:rPr>
        <w:rFonts w:hint="default"/>
        <w:b w:val="0"/>
        <w:i w:val="0"/>
        <w:caps w:val="0"/>
        <w:strike w:val="0"/>
        <w:dstrike w:val="0"/>
        <w:vanish w:val="0"/>
        <w:color w:val="000000"/>
        <w:vertAlign w:val="baseline"/>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404007CB"/>
    <w:multiLevelType w:val="hybridMultilevel"/>
    <w:tmpl w:val="5F50F6D8"/>
    <w:lvl w:ilvl="0" w:tplc="2FD43DF0">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0C17C77"/>
    <w:multiLevelType w:val="hybridMultilevel"/>
    <w:tmpl w:val="58B8DD38"/>
    <w:lvl w:ilvl="0" w:tplc="FBB614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27303F0"/>
    <w:multiLevelType w:val="hybridMultilevel"/>
    <w:tmpl w:val="964A16F8"/>
    <w:lvl w:ilvl="0" w:tplc="884AEF50">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2935454"/>
    <w:multiLevelType w:val="hybridMultilevel"/>
    <w:tmpl w:val="AE9E4FCA"/>
    <w:lvl w:ilvl="0" w:tplc="2FD43DF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45E1A88"/>
    <w:multiLevelType w:val="hybridMultilevel"/>
    <w:tmpl w:val="F542654E"/>
    <w:lvl w:ilvl="0" w:tplc="B360E044">
      <w:start w:val="1"/>
      <w:numFmt w:val="decimal"/>
      <w:pStyle w:val="Opredelitve"/>
      <w:lvlText w:val="%1."/>
      <w:lvlJc w:val="left"/>
      <w:pPr>
        <w:tabs>
          <w:tab w:val="num" w:pos="357"/>
        </w:tabs>
        <w:ind w:left="737" w:hanging="38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4BA12C70"/>
    <w:multiLevelType w:val="hybridMultilevel"/>
    <w:tmpl w:val="766EF20C"/>
    <w:lvl w:ilvl="0" w:tplc="2FD43DF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4D414C6"/>
    <w:multiLevelType w:val="hybridMultilevel"/>
    <w:tmpl w:val="4FFCFEAC"/>
    <w:lvl w:ilvl="0" w:tplc="2FD43DF0">
      <w:start w:val="1"/>
      <w:numFmt w:val="lowerLetter"/>
      <w:lvlText w:val="(%1)"/>
      <w:lvlJc w:val="left"/>
      <w:pPr>
        <w:tabs>
          <w:tab w:val="num" w:pos="397"/>
        </w:tabs>
        <w:ind w:left="397" w:hanging="397"/>
      </w:pPr>
      <w:rPr>
        <w:rFonts w:hint="default"/>
      </w:rPr>
    </w:lvl>
    <w:lvl w:ilvl="1" w:tplc="5D98E33A">
      <w:start w:val="1"/>
      <w:numFmt w:val="lowerLetter"/>
      <w:lvlText w:val="(%2)"/>
      <w:lvlJc w:val="left"/>
      <w:pPr>
        <w:tabs>
          <w:tab w:val="num" w:pos="0"/>
        </w:tabs>
        <w:ind w:left="397" w:firstLine="0"/>
      </w:pPr>
      <w:rPr>
        <w:rFonts w:hint="default"/>
      </w:rPr>
    </w:lvl>
    <w:lvl w:ilvl="2" w:tplc="29945780">
      <w:start w:val="5"/>
      <w:numFmt w:val="bullet"/>
      <w:lvlText w:val="-"/>
      <w:lvlJc w:val="left"/>
      <w:pPr>
        <w:tabs>
          <w:tab w:val="num" w:pos="1980"/>
        </w:tabs>
        <w:ind w:left="1980" w:hanging="360"/>
      </w:pPr>
      <w:rPr>
        <w:rFonts w:ascii="Times New Roman" w:eastAsia="Times New Roman" w:hAnsi="Times New Roman" w:cs="Times New Roman" w:hint="default"/>
      </w:rPr>
    </w:lvl>
    <w:lvl w:ilvl="3" w:tplc="4160810E">
      <w:start w:val="20"/>
      <w:numFmt w:val="lowerRoman"/>
      <w:lvlText w:val="%4."/>
      <w:lvlJc w:val="left"/>
      <w:pPr>
        <w:ind w:left="2880" w:hanging="720"/>
      </w:pPr>
      <w:rPr>
        <w:rFonts w:hint="default"/>
      </w:rPr>
    </w:lvl>
    <w:lvl w:ilvl="4" w:tplc="DD5CBF22">
      <w:start w:val="1"/>
      <w:numFmt w:val="upperLetter"/>
      <w:lvlText w:val="%5."/>
      <w:lvlJc w:val="left"/>
      <w:pPr>
        <w:ind w:left="3240" w:hanging="360"/>
      </w:pPr>
      <w:rPr>
        <w:rFonts w:hint="default"/>
      </w:rPr>
    </w:lvl>
    <w:lvl w:ilvl="5" w:tplc="CA36EFEE">
      <w:start w:val="1"/>
      <w:numFmt w:val="lowerLetter"/>
      <w:lvlText w:val="%6.)"/>
      <w:lvlJc w:val="left"/>
      <w:pPr>
        <w:ind w:left="4140" w:hanging="360"/>
      </w:pPr>
      <w:rPr>
        <w:rFonts w:hint="default"/>
      </w:r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54FD25D3"/>
    <w:multiLevelType w:val="hybridMultilevel"/>
    <w:tmpl w:val="9E605C56"/>
    <w:lvl w:ilvl="0" w:tplc="0424001B">
      <w:start w:val="1"/>
      <w:numFmt w:val="lowerRoman"/>
      <w:lvlText w:val="%1."/>
      <w:lvlJc w:val="right"/>
      <w:pPr>
        <w:ind w:left="1068" w:hanging="360"/>
      </w:pPr>
      <w:rPr>
        <w:rFonts w:hint="default"/>
        <w:b w:val="0"/>
        <w:i w:val="0"/>
        <w:caps w:val="0"/>
        <w:strike w:val="0"/>
        <w:dstrike w:val="0"/>
        <w:vanish w:val="0"/>
        <w:color w:val="000000"/>
        <w:vertAlign w:val="baseline"/>
      </w:rPr>
    </w:lvl>
    <w:lvl w:ilvl="1" w:tplc="0424001B">
      <w:start w:val="1"/>
      <w:numFmt w:val="lowerRoman"/>
      <w:lvlText w:val="%2."/>
      <w:lvlJc w:val="right"/>
      <w:pPr>
        <w:ind w:left="1788" w:hanging="360"/>
      </w:pPr>
      <w:rPr>
        <w:rFonts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15:restartNumberingAfterBreak="0">
    <w:nsid w:val="557777FC"/>
    <w:multiLevelType w:val="hybridMultilevel"/>
    <w:tmpl w:val="B3264D6E"/>
    <w:lvl w:ilvl="0" w:tplc="922AC82C">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CFAEED3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577B460B"/>
    <w:multiLevelType w:val="hybridMultilevel"/>
    <w:tmpl w:val="A316FC1E"/>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42" w15:restartNumberingAfterBreak="0">
    <w:nsid w:val="5801790C"/>
    <w:multiLevelType w:val="hybridMultilevel"/>
    <w:tmpl w:val="3922478C"/>
    <w:lvl w:ilvl="0" w:tplc="2F3C9450">
      <w:start w:val="1"/>
      <w:numFmt w:val="bullet"/>
      <w:pStyle w:val="Odstavek-rtica"/>
      <w:lvlText w:val="-"/>
      <w:lvlJc w:val="left"/>
      <w:pPr>
        <w:tabs>
          <w:tab w:val="num" w:pos="1134"/>
        </w:tabs>
        <w:ind w:left="1134" w:hanging="397"/>
      </w:pPr>
      <w:rPr>
        <w:rFonts w:ascii="Courier New" w:hAnsi="Courier New" w:hint="default"/>
      </w:rPr>
    </w:lvl>
    <w:lvl w:ilvl="1" w:tplc="04240003">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43" w15:restartNumberingAfterBreak="0">
    <w:nsid w:val="6012536A"/>
    <w:multiLevelType w:val="hybridMultilevel"/>
    <w:tmpl w:val="7D163846"/>
    <w:lvl w:ilvl="0" w:tplc="92705790">
      <w:start w:val="3"/>
      <w:numFmt w:val="lowerRoman"/>
      <w:lvlText w:val="%1."/>
      <w:lvlJc w:val="righ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4BA7B33"/>
    <w:multiLevelType w:val="hybridMultilevel"/>
    <w:tmpl w:val="594E6C44"/>
    <w:lvl w:ilvl="0" w:tplc="ADE01E18">
      <w:start w:val="1"/>
      <w:numFmt w:val="bullet"/>
      <w:lvlText w:val=""/>
      <w:lvlJc w:val="left"/>
      <w:pPr>
        <w:ind w:left="108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682B07D2"/>
    <w:multiLevelType w:val="hybridMultilevel"/>
    <w:tmpl w:val="8550DE02"/>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8D21861"/>
    <w:multiLevelType w:val="hybridMultilevel"/>
    <w:tmpl w:val="EB7222A0"/>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92E6A97"/>
    <w:multiLevelType w:val="hybridMultilevel"/>
    <w:tmpl w:val="5DD408A0"/>
    <w:lvl w:ilvl="0" w:tplc="ADE01E18">
      <w:start w:val="1"/>
      <w:numFmt w:val="bullet"/>
      <w:lvlText w:val=""/>
      <w:lvlJc w:val="left"/>
      <w:pPr>
        <w:tabs>
          <w:tab w:val="num" w:pos="397"/>
        </w:tabs>
        <w:ind w:left="397" w:hanging="397"/>
      </w:pPr>
      <w:rPr>
        <w:rFonts w:ascii="Symbol" w:hAnsi="Symbol" w:hint="default"/>
        <w:b w:val="0"/>
        <w:i w:val="0"/>
        <w:caps w:val="0"/>
        <w:strike w:val="0"/>
        <w:dstrike w:val="0"/>
        <w:vanish w:val="0"/>
        <w:color w:val="000000"/>
        <w:vertAlign w:val="baseline"/>
      </w:rPr>
    </w:lvl>
    <w:lvl w:ilvl="1" w:tplc="CFAEED36">
      <w:start w:val="1"/>
      <w:numFmt w:val="lowerLetter"/>
      <w:lvlText w:val="(%2)"/>
      <w:lvlJc w:val="left"/>
      <w:pPr>
        <w:tabs>
          <w:tab w:val="num" w:pos="0"/>
        </w:tabs>
        <w:ind w:left="397" w:firstLine="0"/>
      </w:pPr>
      <w:rPr>
        <w:rFonts w:hint="default"/>
        <w:b w:val="0"/>
        <w:i w:val="0"/>
        <w:caps w:val="0"/>
        <w:strike w:val="0"/>
        <w:dstrike w:val="0"/>
        <w:vanish w:val="0"/>
        <w:color w:val="000000"/>
        <w:vertAlign w:val="baseline"/>
      </w:rPr>
    </w:lvl>
    <w:lvl w:ilvl="2" w:tplc="29945780">
      <w:start w:val="5"/>
      <w:numFmt w:val="bullet"/>
      <w:lvlText w:val="-"/>
      <w:lvlJc w:val="left"/>
      <w:pPr>
        <w:tabs>
          <w:tab w:val="num" w:pos="1980"/>
        </w:tabs>
        <w:ind w:left="1980" w:hanging="360"/>
      </w:pPr>
      <w:rPr>
        <w:rFonts w:ascii="Times New Roman" w:eastAsia="Times New Roman" w:hAnsi="Times New Roman" w:cs="Times New Roman" w:hint="default"/>
      </w:rPr>
    </w:lvl>
    <w:lvl w:ilvl="3" w:tplc="4160810E">
      <w:start w:val="20"/>
      <w:numFmt w:val="lowerRoman"/>
      <w:lvlText w:val="%4."/>
      <w:lvlJc w:val="left"/>
      <w:pPr>
        <w:ind w:left="2880" w:hanging="720"/>
      </w:pPr>
      <w:rPr>
        <w:rFonts w:hint="default"/>
      </w:rPr>
    </w:lvl>
    <w:lvl w:ilvl="4" w:tplc="DD5CBF22">
      <w:start w:val="1"/>
      <w:numFmt w:val="upperLetter"/>
      <w:lvlText w:val="%5."/>
      <w:lvlJc w:val="left"/>
      <w:pPr>
        <w:ind w:left="3240" w:hanging="360"/>
      </w:pPr>
      <w:rPr>
        <w:rFonts w:hint="default"/>
      </w:rPr>
    </w:lvl>
    <w:lvl w:ilvl="5" w:tplc="CA36EFEE">
      <w:start w:val="1"/>
      <w:numFmt w:val="lowerLetter"/>
      <w:lvlText w:val="%6.)"/>
      <w:lvlJc w:val="left"/>
      <w:pPr>
        <w:ind w:left="4140" w:hanging="360"/>
      </w:pPr>
      <w:rPr>
        <w:rFonts w:hint="default"/>
      </w:r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8" w15:restartNumberingAfterBreak="0">
    <w:nsid w:val="69ED6EB9"/>
    <w:multiLevelType w:val="hybridMultilevel"/>
    <w:tmpl w:val="B20E4E28"/>
    <w:lvl w:ilvl="0" w:tplc="CE16B62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F253324"/>
    <w:multiLevelType w:val="hybridMultilevel"/>
    <w:tmpl w:val="565097C6"/>
    <w:lvl w:ilvl="0" w:tplc="ADE01E18">
      <w:start w:val="1"/>
      <w:numFmt w:val="bullet"/>
      <w:lvlText w:val=""/>
      <w:lvlJc w:val="left"/>
      <w:pPr>
        <w:ind w:left="1428" w:hanging="360"/>
      </w:pPr>
      <w:rPr>
        <w:rFonts w:ascii="Symbol" w:hAnsi="Symbol" w:hint="default"/>
        <w:b w:val="0"/>
        <w:i w:val="0"/>
        <w:caps w:val="0"/>
        <w:strike w:val="0"/>
        <w:dstrike w:val="0"/>
        <w:vanish w:val="0"/>
        <w:color w:val="000000"/>
        <w:vertAlign w:val="baseline"/>
      </w:rPr>
    </w:lvl>
    <w:lvl w:ilvl="1" w:tplc="AF524E0A">
      <w:start w:val="1"/>
      <w:numFmt w:val="bullet"/>
      <w:lvlText w:val="-"/>
      <w:lvlJc w:val="left"/>
      <w:pPr>
        <w:ind w:left="2148" w:hanging="360"/>
      </w:pPr>
      <w:rPr>
        <w:rFonts w:ascii="Symbol" w:hAnsi="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0" w15:restartNumberingAfterBreak="0">
    <w:nsid w:val="707C04FE"/>
    <w:multiLevelType w:val="hybridMultilevel"/>
    <w:tmpl w:val="686C5F04"/>
    <w:lvl w:ilvl="0" w:tplc="5D98E33A">
      <w:start w:val="1"/>
      <w:numFmt w:val="lowerLetter"/>
      <w:lvlText w:val="(%1)"/>
      <w:lvlJc w:val="left"/>
      <w:pPr>
        <w:ind w:left="774" w:hanging="360"/>
      </w:pPr>
      <w:rPr>
        <w:rFont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51" w15:restartNumberingAfterBreak="0">
    <w:nsid w:val="710B765D"/>
    <w:multiLevelType w:val="hybridMultilevel"/>
    <w:tmpl w:val="5D5046E6"/>
    <w:lvl w:ilvl="0" w:tplc="2FD43DF0">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54F262D"/>
    <w:multiLevelType w:val="hybridMultilevel"/>
    <w:tmpl w:val="7FB49F2A"/>
    <w:lvl w:ilvl="0" w:tplc="04240017">
      <w:start w:val="1"/>
      <w:numFmt w:val="lowerLetter"/>
      <w:lvlText w:val="%1)"/>
      <w:lvlJc w:val="left"/>
      <w:pPr>
        <w:ind w:left="774" w:hanging="360"/>
      </w:pPr>
      <w:rPr>
        <w:rFont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53" w15:restartNumberingAfterBreak="0">
    <w:nsid w:val="75AF01A6"/>
    <w:multiLevelType w:val="hybridMultilevel"/>
    <w:tmpl w:val="F13C3946"/>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634018A"/>
    <w:multiLevelType w:val="hybridMultilevel"/>
    <w:tmpl w:val="4866EE9C"/>
    <w:lvl w:ilvl="0" w:tplc="E1868074">
      <w:start w:val="1"/>
      <w:numFmt w:val="lowerRoman"/>
      <w:lvlText w:val="%1."/>
      <w:lvlJc w:val="left"/>
      <w:pPr>
        <w:ind w:left="1440" w:hanging="360"/>
      </w:pPr>
      <w:rPr>
        <w:rFonts w:hint="default"/>
        <w:b w:val="0"/>
        <w:i w:val="0"/>
        <w:caps w:val="0"/>
        <w:strike w:val="0"/>
        <w:dstrike w:val="0"/>
        <w:vanish w:val="0"/>
        <w:color w:val="000000"/>
        <w:vertAlign w:val="baseline"/>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5" w15:restartNumberingAfterBreak="0">
    <w:nsid w:val="79CE2D5F"/>
    <w:multiLevelType w:val="hybridMultilevel"/>
    <w:tmpl w:val="7FDA3FCA"/>
    <w:lvl w:ilvl="0" w:tplc="413E45A4">
      <w:start w:val="1"/>
      <w:numFmt w:val="lowerRoman"/>
      <w:lvlText w:val="%1."/>
      <w:lvlJc w:val="left"/>
      <w:pPr>
        <w:ind w:left="1440" w:hanging="360"/>
      </w:pPr>
      <w:rPr>
        <w:rFonts w:hint="default"/>
        <w:b w:val="0"/>
        <w:i w:val="0"/>
        <w:caps w:val="0"/>
        <w:strike w:val="0"/>
        <w:dstrike w:val="0"/>
        <w:vanish w:val="0"/>
        <w:color w:val="000000"/>
        <w:vertAlign w:val="baseline"/>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6" w15:restartNumberingAfterBreak="0">
    <w:nsid w:val="7C563940"/>
    <w:multiLevelType w:val="hybridMultilevel"/>
    <w:tmpl w:val="1A465CDA"/>
    <w:lvl w:ilvl="0" w:tplc="ADE01E18">
      <w:start w:val="1"/>
      <w:numFmt w:val="bullet"/>
      <w:lvlText w:val=""/>
      <w:lvlJc w:val="left"/>
      <w:pPr>
        <w:ind w:left="1068" w:hanging="360"/>
      </w:pPr>
      <w:rPr>
        <w:rFonts w:ascii="Symbol" w:hAnsi="Symbol" w:hint="default"/>
        <w:b w:val="0"/>
        <w:i w:val="0"/>
        <w:caps w:val="0"/>
        <w:strike w:val="0"/>
        <w:dstrike w:val="0"/>
        <w:vanish w:val="0"/>
        <w:color w:val="000000"/>
        <w:vertAlign w:val="baseline"/>
      </w:rPr>
    </w:lvl>
    <w:lvl w:ilvl="1" w:tplc="ADE01E18">
      <w:start w:val="1"/>
      <w:numFmt w:val="bullet"/>
      <w:lvlText w:val=""/>
      <w:lvlJc w:val="left"/>
      <w:pPr>
        <w:ind w:left="1788" w:hanging="360"/>
      </w:pPr>
      <w:rPr>
        <w:rFonts w:ascii="Symbol" w:hAnsi="Symbol" w:hint="default"/>
        <w:b w:val="0"/>
        <w:i w:val="0"/>
        <w:caps w:val="0"/>
        <w:strike w:val="0"/>
        <w:dstrike w:val="0"/>
        <w:vanish w:val="0"/>
        <w:color w:val="000000"/>
        <w:vertAlign w:val="baseline"/>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7" w15:restartNumberingAfterBreak="0">
    <w:nsid w:val="7FAD6D8A"/>
    <w:multiLevelType w:val="hybridMultilevel"/>
    <w:tmpl w:val="BE5C43A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2"/>
  </w:num>
  <w:num w:numId="2">
    <w:abstractNumId w:val="36"/>
  </w:num>
  <w:num w:numId="3">
    <w:abstractNumId w:val="30"/>
  </w:num>
  <w:num w:numId="4">
    <w:abstractNumId w:val="40"/>
  </w:num>
  <w:num w:numId="5">
    <w:abstractNumId w:val="19"/>
  </w:num>
  <w:num w:numId="6">
    <w:abstractNumId w:val="13"/>
  </w:num>
  <w:num w:numId="7">
    <w:abstractNumId w:val="38"/>
  </w:num>
  <w:num w:numId="8">
    <w:abstractNumId w:val="29"/>
  </w:num>
  <w:num w:numId="9">
    <w:abstractNumId w:val="15"/>
  </w:num>
  <w:num w:numId="10">
    <w:abstractNumId w:val="18"/>
  </w:num>
  <w:num w:numId="11">
    <w:abstractNumId w:val="1"/>
  </w:num>
  <w:num w:numId="12">
    <w:abstractNumId w:val="3"/>
  </w:num>
  <w:num w:numId="13">
    <w:abstractNumId w:val="37"/>
  </w:num>
  <w:num w:numId="14">
    <w:abstractNumId w:val="57"/>
  </w:num>
  <w:num w:numId="15">
    <w:abstractNumId w:val="34"/>
  </w:num>
  <w:num w:numId="16">
    <w:abstractNumId w:val="49"/>
  </w:num>
  <w:num w:numId="17">
    <w:abstractNumId w:val="11"/>
  </w:num>
  <w:num w:numId="18">
    <w:abstractNumId w:val="41"/>
  </w:num>
  <w:num w:numId="19">
    <w:abstractNumId w:val="28"/>
  </w:num>
  <w:num w:numId="20">
    <w:abstractNumId w:val="8"/>
  </w:num>
  <w:num w:numId="21">
    <w:abstractNumId w:val="2"/>
  </w:num>
  <w:num w:numId="22">
    <w:abstractNumId w:val="14"/>
  </w:num>
  <w:num w:numId="23">
    <w:abstractNumId w:val="56"/>
  </w:num>
  <w:num w:numId="24">
    <w:abstractNumId w:val="25"/>
  </w:num>
  <w:num w:numId="25">
    <w:abstractNumId w:val="32"/>
  </w:num>
  <w:num w:numId="26">
    <w:abstractNumId w:val="51"/>
  </w:num>
  <w:num w:numId="27">
    <w:abstractNumId w:val="35"/>
  </w:num>
  <w:num w:numId="28">
    <w:abstractNumId w:val="21"/>
  </w:num>
  <w:num w:numId="29">
    <w:abstractNumId w:val="16"/>
  </w:num>
  <w:num w:numId="30">
    <w:abstractNumId w:val="12"/>
  </w:num>
  <w:num w:numId="31">
    <w:abstractNumId w:val="23"/>
  </w:num>
  <w:num w:numId="32">
    <w:abstractNumId w:val="43"/>
  </w:num>
  <w:num w:numId="33">
    <w:abstractNumId w:val="24"/>
  </w:num>
  <w:num w:numId="34">
    <w:abstractNumId w:val="52"/>
  </w:num>
  <w:num w:numId="35">
    <w:abstractNumId w:val="45"/>
  </w:num>
  <w:num w:numId="36">
    <w:abstractNumId w:val="27"/>
  </w:num>
  <w:num w:numId="37">
    <w:abstractNumId w:val="10"/>
  </w:num>
  <w:num w:numId="38">
    <w:abstractNumId w:val="26"/>
  </w:num>
  <w:num w:numId="39">
    <w:abstractNumId w:val="9"/>
  </w:num>
  <w:num w:numId="40">
    <w:abstractNumId w:val="20"/>
  </w:num>
  <w:num w:numId="41">
    <w:abstractNumId w:val="6"/>
  </w:num>
  <w:num w:numId="42">
    <w:abstractNumId w:val="48"/>
  </w:num>
  <w:num w:numId="43">
    <w:abstractNumId w:val="50"/>
  </w:num>
  <w:num w:numId="44">
    <w:abstractNumId w:val="17"/>
  </w:num>
  <w:num w:numId="45">
    <w:abstractNumId w:val="46"/>
  </w:num>
  <w:num w:numId="46">
    <w:abstractNumId w:val="0"/>
  </w:num>
  <w:num w:numId="47">
    <w:abstractNumId w:val="47"/>
  </w:num>
  <w:num w:numId="48">
    <w:abstractNumId w:val="4"/>
  </w:num>
  <w:num w:numId="49">
    <w:abstractNumId w:val="7"/>
  </w:num>
  <w:num w:numId="50">
    <w:abstractNumId w:val="39"/>
  </w:num>
  <w:num w:numId="51">
    <w:abstractNumId w:val="33"/>
  </w:num>
  <w:num w:numId="52">
    <w:abstractNumId w:val="22"/>
  </w:num>
  <w:num w:numId="53">
    <w:abstractNumId w:val="5"/>
  </w:num>
  <w:num w:numId="54">
    <w:abstractNumId w:val="53"/>
  </w:num>
  <w:num w:numId="55">
    <w:abstractNumId w:val="54"/>
  </w:num>
  <w:num w:numId="56">
    <w:abstractNumId w:val="31"/>
  </w:num>
  <w:num w:numId="57">
    <w:abstractNumId w:val="55"/>
  </w:num>
  <w:num w:numId="58">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237"/>
    <w:rsid w:val="0000148D"/>
    <w:rsid w:val="0000332F"/>
    <w:rsid w:val="0000414C"/>
    <w:rsid w:val="000048C5"/>
    <w:rsid w:val="00011749"/>
    <w:rsid w:val="000119A9"/>
    <w:rsid w:val="00011EF0"/>
    <w:rsid w:val="00011F76"/>
    <w:rsid w:val="000127DB"/>
    <w:rsid w:val="000129F0"/>
    <w:rsid w:val="00021216"/>
    <w:rsid w:val="000217F2"/>
    <w:rsid w:val="000218A3"/>
    <w:rsid w:val="00021CCA"/>
    <w:rsid w:val="000235DB"/>
    <w:rsid w:val="000247BB"/>
    <w:rsid w:val="00024B00"/>
    <w:rsid w:val="00025DF9"/>
    <w:rsid w:val="00025F83"/>
    <w:rsid w:val="00026D99"/>
    <w:rsid w:val="00030153"/>
    <w:rsid w:val="00030947"/>
    <w:rsid w:val="00031931"/>
    <w:rsid w:val="00031C39"/>
    <w:rsid w:val="0003382C"/>
    <w:rsid w:val="00035036"/>
    <w:rsid w:val="00035481"/>
    <w:rsid w:val="000358F5"/>
    <w:rsid w:val="00035F56"/>
    <w:rsid w:val="00036BDD"/>
    <w:rsid w:val="0003761C"/>
    <w:rsid w:val="000377A4"/>
    <w:rsid w:val="00037AFD"/>
    <w:rsid w:val="00040A79"/>
    <w:rsid w:val="0004126E"/>
    <w:rsid w:val="00041891"/>
    <w:rsid w:val="000421A6"/>
    <w:rsid w:val="000450A5"/>
    <w:rsid w:val="00045F18"/>
    <w:rsid w:val="00046268"/>
    <w:rsid w:val="00050D08"/>
    <w:rsid w:val="0005147E"/>
    <w:rsid w:val="00052F21"/>
    <w:rsid w:val="00055286"/>
    <w:rsid w:val="00056D02"/>
    <w:rsid w:val="000573B2"/>
    <w:rsid w:val="0006011B"/>
    <w:rsid w:val="00060CFC"/>
    <w:rsid w:val="000616AB"/>
    <w:rsid w:val="00062A66"/>
    <w:rsid w:val="00062F31"/>
    <w:rsid w:val="000637F7"/>
    <w:rsid w:val="0006401C"/>
    <w:rsid w:val="000644E8"/>
    <w:rsid w:val="000658A9"/>
    <w:rsid w:val="00066229"/>
    <w:rsid w:val="00067896"/>
    <w:rsid w:val="00070375"/>
    <w:rsid w:val="000704AE"/>
    <w:rsid w:val="00070563"/>
    <w:rsid w:val="00071312"/>
    <w:rsid w:val="00071D10"/>
    <w:rsid w:val="00072470"/>
    <w:rsid w:val="000725FA"/>
    <w:rsid w:val="0007292D"/>
    <w:rsid w:val="0007363B"/>
    <w:rsid w:val="0007476E"/>
    <w:rsid w:val="00076184"/>
    <w:rsid w:val="000800ED"/>
    <w:rsid w:val="000807A0"/>
    <w:rsid w:val="00080EE1"/>
    <w:rsid w:val="000812BD"/>
    <w:rsid w:val="00081AE4"/>
    <w:rsid w:val="0008230D"/>
    <w:rsid w:val="00082ADA"/>
    <w:rsid w:val="0008347F"/>
    <w:rsid w:val="00085810"/>
    <w:rsid w:val="000867B9"/>
    <w:rsid w:val="00086D23"/>
    <w:rsid w:val="00087A4A"/>
    <w:rsid w:val="00087B8D"/>
    <w:rsid w:val="0009043B"/>
    <w:rsid w:val="0009124B"/>
    <w:rsid w:val="000926F0"/>
    <w:rsid w:val="00092815"/>
    <w:rsid w:val="000936BE"/>
    <w:rsid w:val="000944C9"/>
    <w:rsid w:val="000944E9"/>
    <w:rsid w:val="00096D39"/>
    <w:rsid w:val="00097A09"/>
    <w:rsid w:val="000A1352"/>
    <w:rsid w:val="000A2D9C"/>
    <w:rsid w:val="000A3AB8"/>
    <w:rsid w:val="000A3DBA"/>
    <w:rsid w:val="000A4E42"/>
    <w:rsid w:val="000A63A4"/>
    <w:rsid w:val="000A704A"/>
    <w:rsid w:val="000B287C"/>
    <w:rsid w:val="000B3CB2"/>
    <w:rsid w:val="000B435C"/>
    <w:rsid w:val="000B68DA"/>
    <w:rsid w:val="000C1BEF"/>
    <w:rsid w:val="000C1D14"/>
    <w:rsid w:val="000C2E00"/>
    <w:rsid w:val="000C3FD4"/>
    <w:rsid w:val="000C4993"/>
    <w:rsid w:val="000C4BC7"/>
    <w:rsid w:val="000C4C20"/>
    <w:rsid w:val="000C5E52"/>
    <w:rsid w:val="000C5F4E"/>
    <w:rsid w:val="000C7649"/>
    <w:rsid w:val="000D003D"/>
    <w:rsid w:val="000D0CAE"/>
    <w:rsid w:val="000D0D43"/>
    <w:rsid w:val="000D13E3"/>
    <w:rsid w:val="000D1B55"/>
    <w:rsid w:val="000D2980"/>
    <w:rsid w:val="000D2C2E"/>
    <w:rsid w:val="000D31CD"/>
    <w:rsid w:val="000D497F"/>
    <w:rsid w:val="000D53A9"/>
    <w:rsid w:val="000D624A"/>
    <w:rsid w:val="000D68EC"/>
    <w:rsid w:val="000D70A4"/>
    <w:rsid w:val="000E0339"/>
    <w:rsid w:val="000E1781"/>
    <w:rsid w:val="000E1A2A"/>
    <w:rsid w:val="000E1FDF"/>
    <w:rsid w:val="000E213E"/>
    <w:rsid w:val="000E460D"/>
    <w:rsid w:val="000E55F6"/>
    <w:rsid w:val="000E5ED6"/>
    <w:rsid w:val="000E73C4"/>
    <w:rsid w:val="000E742C"/>
    <w:rsid w:val="000E7A85"/>
    <w:rsid w:val="000F0C48"/>
    <w:rsid w:val="000F2658"/>
    <w:rsid w:val="000F28BA"/>
    <w:rsid w:val="000F2F5C"/>
    <w:rsid w:val="000F329A"/>
    <w:rsid w:val="000F79E0"/>
    <w:rsid w:val="000F7CC6"/>
    <w:rsid w:val="001005C0"/>
    <w:rsid w:val="00103457"/>
    <w:rsid w:val="001034B4"/>
    <w:rsid w:val="0010442A"/>
    <w:rsid w:val="00105243"/>
    <w:rsid w:val="001108AD"/>
    <w:rsid w:val="00110A7F"/>
    <w:rsid w:val="00110FEF"/>
    <w:rsid w:val="00111CF9"/>
    <w:rsid w:val="0011240F"/>
    <w:rsid w:val="00112A82"/>
    <w:rsid w:val="0011354B"/>
    <w:rsid w:val="00113778"/>
    <w:rsid w:val="001140DA"/>
    <w:rsid w:val="00114115"/>
    <w:rsid w:val="00114C56"/>
    <w:rsid w:val="00114F42"/>
    <w:rsid w:val="00115711"/>
    <w:rsid w:val="00115F9E"/>
    <w:rsid w:val="00117FE2"/>
    <w:rsid w:val="001204A4"/>
    <w:rsid w:val="0012143B"/>
    <w:rsid w:val="00122793"/>
    <w:rsid w:val="00124D2C"/>
    <w:rsid w:val="00124D58"/>
    <w:rsid w:val="001265DB"/>
    <w:rsid w:val="00126AEA"/>
    <w:rsid w:val="0012757F"/>
    <w:rsid w:val="00127B8D"/>
    <w:rsid w:val="00130959"/>
    <w:rsid w:val="001321E5"/>
    <w:rsid w:val="00133C9B"/>
    <w:rsid w:val="00133CE7"/>
    <w:rsid w:val="0013468E"/>
    <w:rsid w:val="001409A1"/>
    <w:rsid w:val="00140FEC"/>
    <w:rsid w:val="001413E5"/>
    <w:rsid w:val="00141E9F"/>
    <w:rsid w:val="0014216C"/>
    <w:rsid w:val="001438CB"/>
    <w:rsid w:val="001441AE"/>
    <w:rsid w:val="00145202"/>
    <w:rsid w:val="00146CB5"/>
    <w:rsid w:val="00147DEB"/>
    <w:rsid w:val="00150675"/>
    <w:rsid w:val="00150F00"/>
    <w:rsid w:val="001515E4"/>
    <w:rsid w:val="00151CE3"/>
    <w:rsid w:val="0015302F"/>
    <w:rsid w:val="00155567"/>
    <w:rsid w:val="00155B7C"/>
    <w:rsid w:val="0015772F"/>
    <w:rsid w:val="00157B2D"/>
    <w:rsid w:val="001606B7"/>
    <w:rsid w:val="00160741"/>
    <w:rsid w:val="00161023"/>
    <w:rsid w:val="001617AE"/>
    <w:rsid w:val="00161C7B"/>
    <w:rsid w:val="00161F7D"/>
    <w:rsid w:val="0016340E"/>
    <w:rsid w:val="001638A8"/>
    <w:rsid w:val="0016450F"/>
    <w:rsid w:val="00165536"/>
    <w:rsid w:val="00165AA0"/>
    <w:rsid w:val="00167FEB"/>
    <w:rsid w:val="00172650"/>
    <w:rsid w:val="001727F5"/>
    <w:rsid w:val="00172C37"/>
    <w:rsid w:val="00175673"/>
    <w:rsid w:val="00175941"/>
    <w:rsid w:val="001759DE"/>
    <w:rsid w:val="00175FF5"/>
    <w:rsid w:val="0017606B"/>
    <w:rsid w:val="00176311"/>
    <w:rsid w:val="00176A65"/>
    <w:rsid w:val="00181277"/>
    <w:rsid w:val="00182C8F"/>
    <w:rsid w:val="00183759"/>
    <w:rsid w:val="001837BC"/>
    <w:rsid w:val="00184692"/>
    <w:rsid w:val="00184DC2"/>
    <w:rsid w:val="001862C7"/>
    <w:rsid w:val="00186B67"/>
    <w:rsid w:val="00186C33"/>
    <w:rsid w:val="00187020"/>
    <w:rsid w:val="0019032A"/>
    <w:rsid w:val="00191144"/>
    <w:rsid w:val="00191BC9"/>
    <w:rsid w:val="00194DC4"/>
    <w:rsid w:val="00195AD3"/>
    <w:rsid w:val="00195EB2"/>
    <w:rsid w:val="00196541"/>
    <w:rsid w:val="0019740A"/>
    <w:rsid w:val="00197604"/>
    <w:rsid w:val="00197FE4"/>
    <w:rsid w:val="001A0252"/>
    <w:rsid w:val="001A103F"/>
    <w:rsid w:val="001A1C0D"/>
    <w:rsid w:val="001A1F5D"/>
    <w:rsid w:val="001A3A71"/>
    <w:rsid w:val="001A3C03"/>
    <w:rsid w:val="001A4356"/>
    <w:rsid w:val="001A5AAF"/>
    <w:rsid w:val="001A6E0A"/>
    <w:rsid w:val="001A7260"/>
    <w:rsid w:val="001A78E1"/>
    <w:rsid w:val="001A7A7A"/>
    <w:rsid w:val="001B002F"/>
    <w:rsid w:val="001B0369"/>
    <w:rsid w:val="001B0F8A"/>
    <w:rsid w:val="001B142A"/>
    <w:rsid w:val="001B1E53"/>
    <w:rsid w:val="001B2064"/>
    <w:rsid w:val="001B280E"/>
    <w:rsid w:val="001B3C26"/>
    <w:rsid w:val="001B4799"/>
    <w:rsid w:val="001B4B97"/>
    <w:rsid w:val="001B7761"/>
    <w:rsid w:val="001B7944"/>
    <w:rsid w:val="001C030B"/>
    <w:rsid w:val="001C07DC"/>
    <w:rsid w:val="001C0AA0"/>
    <w:rsid w:val="001C19B2"/>
    <w:rsid w:val="001C4DDB"/>
    <w:rsid w:val="001C7546"/>
    <w:rsid w:val="001D0F5D"/>
    <w:rsid w:val="001D0F9E"/>
    <w:rsid w:val="001D1267"/>
    <w:rsid w:val="001D24BC"/>
    <w:rsid w:val="001D5143"/>
    <w:rsid w:val="001D5164"/>
    <w:rsid w:val="001E05C6"/>
    <w:rsid w:val="001E05D1"/>
    <w:rsid w:val="001E06DE"/>
    <w:rsid w:val="001E06E2"/>
    <w:rsid w:val="001E0782"/>
    <w:rsid w:val="001E19D2"/>
    <w:rsid w:val="001E308B"/>
    <w:rsid w:val="001E4873"/>
    <w:rsid w:val="001E6820"/>
    <w:rsid w:val="001F02E2"/>
    <w:rsid w:val="001F0E36"/>
    <w:rsid w:val="001F0E5E"/>
    <w:rsid w:val="001F136E"/>
    <w:rsid w:val="001F1732"/>
    <w:rsid w:val="001F1CD8"/>
    <w:rsid w:val="001F21AC"/>
    <w:rsid w:val="001F4024"/>
    <w:rsid w:val="001F4E97"/>
    <w:rsid w:val="001F6737"/>
    <w:rsid w:val="001F74CA"/>
    <w:rsid w:val="001F778A"/>
    <w:rsid w:val="002020DE"/>
    <w:rsid w:val="00202CA5"/>
    <w:rsid w:val="002033A0"/>
    <w:rsid w:val="002044CF"/>
    <w:rsid w:val="002053FC"/>
    <w:rsid w:val="00206B77"/>
    <w:rsid w:val="00211126"/>
    <w:rsid w:val="002111E4"/>
    <w:rsid w:val="00211ED7"/>
    <w:rsid w:val="00213203"/>
    <w:rsid w:val="00213526"/>
    <w:rsid w:val="0021366D"/>
    <w:rsid w:val="00214A71"/>
    <w:rsid w:val="002152A8"/>
    <w:rsid w:val="002156ED"/>
    <w:rsid w:val="00215D71"/>
    <w:rsid w:val="00220953"/>
    <w:rsid w:val="00220BAA"/>
    <w:rsid w:val="00220DCD"/>
    <w:rsid w:val="00221222"/>
    <w:rsid w:val="002212A5"/>
    <w:rsid w:val="00222A7A"/>
    <w:rsid w:val="0022531C"/>
    <w:rsid w:val="00225BFF"/>
    <w:rsid w:val="0022667B"/>
    <w:rsid w:val="002311ED"/>
    <w:rsid w:val="00231EC0"/>
    <w:rsid w:val="00232FD6"/>
    <w:rsid w:val="00233267"/>
    <w:rsid w:val="00233FE9"/>
    <w:rsid w:val="0023422F"/>
    <w:rsid w:val="00235F51"/>
    <w:rsid w:val="0023620E"/>
    <w:rsid w:val="0024086E"/>
    <w:rsid w:val="00242417"/>
    <w:rsid w:val="00243642"/>
    <w:rsid w:val="00244034"/>
    <w:rsid w:val="00245DDC"/>
    <w:rsid w:val="00247119"/>
    <w:rsid w:val="00247C1B"/>
    <w:rsid w:val="00251EAB"/>
    <w:rsid w:val="00252921"/>
    <w:rsid w:val="002535E0"/>
    <w:rsid w:val="00253732"/>
    <w:rsid w:val="0025385D"/>
    <w:rsid w:val="00253A4C"/>
    <w:rsid w:val="002541D3"/>
    <w:rsid w:val="00260354"/>
    <w:rsid w:val="00260C24"/>
    <w:rsid w:val="002617B7"/>
    <w:rsid w:val="00262237"/>
    <w:rsid w:val="00263115"/>
    <w:rsid w:val="00263A82"/>
    <w:rsid w:val="00263E63"/>
    <w:rsid w:val="002643AB"/>
    <w:rsid w:val="002657B1"/>
    <w:rsid w:val="002661B5"/>
    <w:rsid w:val="00266EFB"/>
    <w:rsid w:val="00267C8A"/>
    <w:rsid w:val="00270578"/>
    <w:rsid w:val="0027403C"/>
    <w:rsid w:val="00275983"/>
    <w:rsid w:val="00275C9A"/>
    <w:rsid w:val="002761F7"/>
    <w:rsid w:val="002768E4"/>
    <w:rsid w:val="00276BDA"/>
    <w:rsid w:val="002804E1"/>
    <w:rsid w:val="00280512"/>
    <w:rsid w:val="002815ED"/>
    <w:rsid w:val="00282B0B"/>
    <w:rsid w:val="0028441F"/>
    <w:rsid w:val="00284F9E"/>
    <w:rsid w:val="00286182"/>
    <w:rsid w:val="002864E5"/>
    <w:rsid w:val="00286E03"/>
    <w:rsid w:val="002875EC"/>
    <w:rsid w:val="0028772F"/>
    <w:rsid w:val="002907DF"/>
    <w:rsid w:val="0029191A"/>
    <w:rsid w:val="0029192F"/>
    <w:rsid w:val="002919BF"/>
    <w:rsid w:val="00293B14"/>
    <w:rsid w:val="002961A5"/>
    <w:rsid w:val="0029628B"/>
    <w:rsid w:val="00297511"/>
    <w:rsid w:val="002A0791"/>
    <w:rsid w:val="002A12A3"/>
    <w:rsid w:val="002A2039"/>
    <w:rsid w:val="002A26B3"/>
    <w:rsid w:val="002A3362"/>
    <w:rsid w:val="002A3D9C"/>
    <w:rsid w:val="002A3ED5"/>
    <w:rsid w:val="002A5A01"/>
    <w:rsid w:val="002A6D96"/>
    <w:rsid w:val="002A75E9"/>
    <w:rsid w:val="002B03AA"/>
    <w:rsid w:val="002B2717"/>
    <w:rsid w:val="002B29A4"/>
    <w:rsid w:val="002B66AA"/>
    <w:rsid w:val="002B68F0"/>
    <w:rsid w:val="002B6D7D"/>
    <w:rsid w:val="002B7724"/>
    <w:rsid w:val="002C0556"/>
    <w:rsid w:val="002C083E"/>
    <w:rsid w:val="002C1281"/>
    <w:rsid w:val="002C3148"/>
    <w:rsid w:val="002C4476"/>
    <w:rsid w:val="002C4C95"/>
    <w:rsid w:val="002C60BA"/>
    <w:rsid w:val="002D1FC1"/>
    <w:rsid w:val="002D265B"/>
    <w:rsid w:val="002D27E8"/>
    <w:rsid w:val="002D427D"/>
    <w:rsid w:val="002D65E6"/>
    <w:rsid w:val="002D73FA"/>
    <w:rsid w:val="002D7937"/>
    <w:rsid w:val="002E04CC"/>
    <w:rsid w:val="002E0C6E"/>
    <w:rsid w:val="002E25AD"/>
    <w:rsid w:val="002E2610"/>
    <w:rsid w:val="002E2A8C"/>
    <w:rsid w:val="002E35CA"/>
    <w:rsid w:val="002E40EA"/>
    <w:rsid w:val="002E4252"/>
    <w:rsid w:val="002E53F4"/>
    <w:rsid w:val="002E666D"/>
    <w:rsid w:val="002E7D28"/>
    <w:rsid w:val="002F0EF9"/>
    <w:rsid w:val="002F1776"/>
    <w:rsid w:val="002F2021"/>
    <w:rsid w:val="002F27A7"/>
    <w:rsid w:val="002F4FA2"/>
    <w:rsid w:val="002F52CE"/>
    <w:rsid w:val="002F62E7"/>
    <w:rsid w:val="002F6EB0"/>
    <w:rsid w:val="0030030B"/>
    <w:rsid w:val="00301503"/>
    <w:rsid w:val="00301D4F"/>
    <w:rsid w:val="00303DC9"/>
    <w:rsid w:val="00303DE7"/>
    <w:rsid w:val="00304CF5"/>
    <w:rsid w:val="0030612C"/>
    <w:rsid w:val="00307071"/>
    <w:rsid w:val="003071E5"/>
    <w:rsid w:val="0031013C"/>
    <w:rsid w:val="003126B1"/>
    <w:rsid w:val="00313B51"/>
    <w:rsid w:val="00313C5E"/>
    <w:rsid w:val="00314352"/>
    <w:rsid w:val="003145DC"/>
    <w:rsid w:val="00314952"/>
    <w:rsid w:val="00315428"/>
    <w:rsid w:val="00316986"/>
    <w:rsid w:val="00317DEA"/>
    <w:rsid w:val="00320260"/>
    <w:rsid w:val="00320641"/>
    <w:rsid w:val="00321A5F"/>
    <w:rsid w:val="0032371D"/>
    <w:rsid w:val="00324D09"/>
    <w:rsid w:val="003254CC"/>
    <w:rsid w:val="003269D1"/>
    <w:rsid w:val="003309E1"/>
    <w:rsid w:val="00330C29"/>
    <w:rsid w:val="00331390"/>
    <w:rsid w:val="0033147D"/>
    <w:rsid w:val="003319D0"/>
    <w:rsid w:val="00332992"/>
    <w:rsid w:val="00334050"/>
    <w:rsid w:val="00336F64"/>
    <w:rsid w:val="00341394"/>
    <w:rsid w:val="00341436"/>
    <w:rsid w:val="00343450"/>
    <w:rsid w:val="003438F3"/>
    <w:rsid w:val="00344837"/>
    <w:rsid w:val="00344C34"/>
    <w:rsid w:val="00344D74"/>
    <w:rsid w:val="003453FE"/>
    <w:rsid w:val="00346FC9"/>
    <w:rsid w:val="00350655"/>
    <w:rsid w:val="00350CB5"/>
    <w:rsid w:val="003520CB"/>
    <w:rsid w:val="00352F36"/>
    <w:rsid w:val="0035378C"/>
    <w:rsid w:val="0035384E"/>
    <w:rsid w:val="003560C1"/>
    <w:rsid w:val="00356511"/>
    <w:rsid w:val="00362C6B"/>
    <w:rsid w:val="00362EE5"/>
    <w:rsid w:val="0036359B"/>
    <w:rsid w:val="00363BCE"/>
    <w:rsid w:val="00364384"/>
    <w:rsid w:val="0036526A"/>
    <w:rsid w:val="003660F6"/>
    <w:rsid w:val="00366CB5"/>
    <w:rsid w:val="00366CEA"/>
    <w:rsid w:val="0036778D"/>
    <w:rsid w:val="00372862"/>
    <w:rsid w:val="00372926"/>
    <w:rsid w:val="00374C48"/>
    <w:rsid w:val="00374DAE"/>
    <w:rsid w:val="00374FFF"/>
    <w:rsid w:val="00375C3E"/>
    <w:rsid w:val="00375D29"/>
    <w:rsid w:val="00375F77"/>
    <w:rsid w:val="00377DD2"/>
    <w:rsid w:val="00381735"/>
    <w:rsid w:val="003828E5"/>
    <w:rsid w:val="003831D4"/>
    <w:rsid w:val="00383B28"/>
    <w:rsid w:val="00384A7F"/>
    <w:rsid w:val="00386AEC"/>
    <w:rsid w:val="00386F61"/>
    <w:rsid w:val="003902A2"/>
    <w:rsid w:val="003922B4"/>
    <w:rsid w:val="0039246B"/>
    <w:rsid w:val="00392CC8"/>
    <w:rsid w:val="00394D0B"/>
    <w:rsid w:val="003953C3"/>
    <w:rsid w:val="00395731"/>
    <w:rsid w:val="003969F5"/>
    <w:rsid w:val="00396AF8"/>
    <w:rsid w:val="00396D5D"/>
    <w:rsid w:val="003A2D82"/>
    <w:rsid w:val="003A3742"/>
    <w:rsid w:val="003A5AE8"/>
    <w:rsid w:val="003A6E0C"/>
    <w:rsid w:val="003B04CD"/>
    <w:rsid w:val="003B07FE"/>
    <w:rsid w:val="003B0931"/>
    <w:rsid w:val="003B0D26"/>
    <w:rsid w:val="003B1431"/>
    <w:rsid w:val="003B14F6"/>
    <w:rsid w:val="003B3F1B"/>
    <w:rsid w:val="003B573F"/>
    <w:rsid w:val="003B6CC1"/>
    <w:rsid w:val="003B703D"/>
    <w:rsid w:val="003B7BE3"/>
    <w:rsid w:val="003B7DA3"/>
    <w:rsid w:val="003C04DD"/>
    <w:rsid w:val="003C1126"/>
    <w:rsid w:val="003C2FBC"/>
    <w:rsid w:val="003C3305"/>
    <w:rsid w:val="003C345D"/>
    <w:rsid w:val="003C42B3"/>
    <w:rsid w:val="003C4D46"/>
    <w:rsid w:val="003C6FCE"/>
    <w:rsid w:val="003C7340"/>
    <w:rsid w:val="003C76BA"/>
    <w:rsid w:val="003D06CB"/>
    <w:rsid w:val="003D274B"/>
    <w:rsid w:val="003D347A"/>
    <w:rsid w:val="003D42E1"/>
    <w:rsid w:val="003D452D"/>
    <w:rsid w:val="003D54D2"/>
    <w:rsid w:val="003D55A5"/>
    <w:rsid w:val="003D60C2"/>
    <w:rsid w:val="003D6593"/>
    <w:rsid w:val="003D66A2"/>
    <w:rsid w:val="003D7026"/>
    <w:rsid w:val="003E06F3"/>
    <w:rsid w:val="003E0CFE"/>
    <w:rsid w:val="003E11BA"/>
    <w:rsid w:val="003E18FD"/>
    <w:rsid w:val="003E249B"/>
    <w:rsid w:val="003E276F"/>
    <w:rsid w:val="003E2F20"/>
    <w:rsid w:val="003E4C76"/>
    <w:rsid w:val="003E5BD8"/>
    <w:rsid w:val="003E7B30"/>
    <w:rsid w:val="003E7D47"/>
    <w:rsid w:val="003F22D4"/>
    <w:rsid w:val="003F28EE"/>
    <w:rsid w:val="003F3FDA"/>
    <w:rsid w:val="003F408C"/>
    <w:rsid w:val="003F723E"/>
    <w:rsid w:val="00400284"/>
    <w:rsid w:val="0040062E"/>
    <w:rsid w:val="0040149E"/>
    <w:rsid w:val="0040267F"/>
    <w:rsid w:val="004035F9"/>
    <w:rsid w:val="00404E88"/>
    <w:rsid w:val="00405687"/>
    <w:rsid w:val="004057CF"/>
    <w:rsid w:val="0040600E"/>
    <w:rsid w:val="00406879"/>
    <w:rsid w:val="00407028"/>
    <w:rsid w:val="00407BC5"/>
    <w:rsid w:val="004109D9"/>
    <w:rsid w:val="004123DE"/>
    <w:rsid w:val="00412635"/>
    <w:rsid w:val="0041364D"/>
    <w:rsid w:val="00413CAE"/>
    <w:rsid w:val="00414450"/>
    <w:rsid w:val="004169A2"/>
    <w:rsid w:val="00417AF8"/>
    <w:rsid w:val="0042035F"/>
    <w:rsid w:val="004209A1"/>
    <w:rsid w:val="0042210B"/>
    <w:rsid w:val="00424CDA"/>
    <w:rsid w:val="00424E96"/>
    <w:rsid w:val="00425E29"/>
    <w:rsid w:val="004277F3"/>
    <w:rsid w:val="0043010F"/>
    <w:rsid w:val="00430480"/>
    <w:rsid w:val="00430BBC"/>
    <w:rsid w:val="00430C9B"/>
    <w:rsid w:val="004313C3"/>
    <w:rsid w:val="00432877"/>
    <w:rsid w:val="0043342B"/>
    <w:rsid w:val="00433B1C"/>
    <w:rsid w:val="00440904"/>
    <w:rsid w:val="00441018"/>
    <w:rsid w:val="00442DA0"/>
    <w:rsid w:val="00445A37"/>
    <w:rsid w:val="00446BE7"/>
    <w:rsid w:val="00451AE3"/>
    <w:rsid w:val="00451AEA"/>
    <w:rsid w:val="0045416A"/>
    <w:rsid w:val="004544D7"/>
    <w:rsid w:val="0046263A"/>
    <w:rsid w:val="004632C5"/>
    <w:rsid w:val="00465932"/>
    <w:rsid w:val="004665A4"/>
    <w:rsid w:val="00467CCE"/>
    <w:rsid w:val="00470F25"/>
    <w:rsid w:val="00471310"/>
    <w:rsid w:val="004713D7"/>
    <w:rsid w:val="00474D16"/>
    <w:rsid w:val="004759F4"/>
    <w:rsid w:val="004763BA"/>
    <w:rsid w:val="00477A26"/>
    <w:rsid w:val="00480BE8"/>
    <w:rsid w:val="00482468"/>
    <w:rsid w:val="0048274A"/>
    <w:rsid w:val="00484458"/>
    <w:rsid w:val="00485D48"/>
    <w:rsid w:val="00492323"/>
    <w:rsid w:val="004927E6"/>
    <w:rsid w:val="0049283A"/>
    <w:rsid w:val="00496790"/>
    <w:rsid w:val="00496792"/>
    <w:rsid w:val="0049687E"/>
    <w:rsid w:val="004A013F"/>
    <w:rsid w:val="004A08FB"/>
    <w:rsid w:val="004A204D"/>
    <w:rsid w:val="004A2EB3"/>
    <w:rsid w:val="004A4761"/>
    <w:rsid w:val="004A4B08"/>
    <w:rsid w:val="004A68C2"/>
    <w:rsid w:val="004A6A79"/>
    <w:rsid w:val="004A71B5"/>
    <w:rsid w:val="004B03D6"/>
    <w:rsid w:val="004B0591"/>
    <w:rsid w:val="004B06F9"/>
    <w:rsid w:val="004B07E1"/>
    <w:rsid w:val="004B08EE"/>
    <w:rsid w:val="004B0AE7"/>
    <w:rsid w:val="004B0B27"/>
    <w:rsid w:val="004B149A"/>
    <w:rsid w:val="004B1625"/>
    <w:rsid w:val="004B6DCB"/>
    <w:rsid w:val="004C2585"/>
    <w:rsid w:val="004C29EB"/>
    <w:rsid w:val="004C3997"/>
    <w:rsid w:val="004C4492"/>
    <w:rsid w:val="004C45EC"/>
    <w:rsid w:val="004C57FB"/>
    <w:rsid w:val="004C5C22"/>
    <w:rsid w:val="004C5FDA"/>
    <w:rsid w:val="004C6E19"/>
    <w:rsid w:val="004C7669"/>
    <w:rsid w:val="004D0C7A"/>
    <w:rsid w:val="004D2057"/>
    <w:rsid w:val="004D2A12"/>
    <w:rsid w:val="004D2EC3"/>
    <w:rsid w:val="004D3D87"/>
    <w:rsid w:val="004D3F63"/>
    <w:rsid w:val="004D54E0"/>
    <w:rsid w:val="004E1B23"/>
    <w:rsid w:val="004E21A4"/>
    <w:rsid w:val="004E292C"/>
    <w:rsid w:val="004E2C27"/>
    <w:rsid w:val="004E6AA3"/>
    <w:rsid w:val="004E6D48"/>
    <w:rsid w:val="004E7A49"/>
    <w:rsid w:val="004E7F8F"/>
    <w:rsid w:val="004F016C"/>
    <w:rsid w:val="004F04B5"/>
    <w:rsid w:val="004F0C9D"/>
    <w:rsid w:val="004F1B53"/>
    <w:rsid w:val="004F2066"/>
    <w:rsid w:val="004F22AD"/>
    <w:rsid w:val="004F42EB"/>
    <w:rsid w:val="004F4649"/>
    <w:rsid w:val="004F4BCE"/>
    <w:rsid w:val="004F4CF3"/>
    <w:rsid w:val="004F4D2C"/>
    <w:rsid w:val="004F731C"/>
    <w:rsid w:val="004F770C"/>
    <w:rsid w:val="00501311"/>
    <w:rsid w:val="00502F02"/>
    <w:rsid w:val="00504B5C"/>
    <w:rsid w:val="00504CD2"/>
    <w:rsid w:val="00504D11"/>
    <w:rsid w:val="00504F9F"/>
    <w:rsid w:val="005063CD"/>
    <w:rsid w:val="00506B18"/>
    <w:rsid w:val="00506F6D"/>
    <w:rsid w:val="005076CF"/>
    <w:rsid w:val="005100B8"/>
    <w:rsid w:val="00510707"/>
    <w:rsid w:val="005107C2"/>
    <w:rsid w:val="00511561"/>
    <w:rsid w:val="00516D4B"/>
    <w:rsid w:val="0051722B"/>
    <w:rsid w:val="00517672"/>
    <w:rsid w:val="00520444"/>
    <w:rsid w:val="00522BF7"/>
    <w:rsid w:val="00522C92"/>
    <w:rsid w:val="00524C1B"/>
    <w:rsid w:val="00526079"/>
    <w:rsid w:val="00526BCE"/>
    <w:rsid w:val="00526DFD"/>
    <w:rsid w:val="00527192"/>
    <w:rsid w:val="00527AAB"/>
    <w:rsid w:val="00527CD7"/>
    <w:rsid w:val="00531026"/>
    <w:rsid w:val="00531224"/>
    <w:rsid w:val="0053223E"/>
    <w:rsid w:val="00532434"/>
    <w:rsid w:val="0053347B"/>
    <w:rsid w:val="005336FD"/>
    <w:rsid w:val="00537429"/>
    <w:rsid w:val="00537434"/>
    <w:rsid w:val="00537A39"/>
    <w:rsid w:val="00540A6B"/>
    <w:rsid w:val="005411A1"/>
    <w:rsid w:val="00542101"/>
    <w:rsid w:val="005421FA"/>
    <w:rsid w:val="005435C5"/>
    <w:rsid w:val="005440BB"/>
    <w:rsid w:val="00545951"/>
    <w:rsid w:val="00545BC6"/>
    <w:rsid w:val="00545F88"/>
    <w:rsid w:val="0055066B"/>
    <w:rsid w:val="005510B7"/>
    <w:rsid w:val="005531CB"/>
    <w:rsid w:val="00553256"/>
    <w:rsid w:val="00553455"/>
    <w:rsid w:val="005550F5"/>
    <w:rsid w:val="00555E20"/>
    <w:rsid w:val="0055736F"/>
    <w:rsid w:val="00560121"/>
    <w:rsid w:val="00560EA8"/>
    <w:rsid w:val="005614E5"/>
    <w:rsid w:val="005619AC"/>
    <w:rsid w:val="005642A1"/>
    <w:rsid w:val="0056448A"/>
    <w:rsid w:val="0056476B"/>
    <w:rsid w:val="0056503E"/>
    <w:rsid w:val="00565B42"/>
    <w:rsid w:val="0056611D"/>
    <w:rsid w:val="00566674"/>
    <w:rsid w:val="0057079D"/>
    <w:rsid w:val="00572086"/>
    <w:rsid w:val="00572AD0"/>
    <w:rsid w:val="0057467E"/>
    <w:rsid w:val="005750D6"/>
    <w:rsid w:val="005768DE"/>
    <w:rsid w:val="00577AA5"/>
    <w:rsid w:val="00580A44"/>
    <w:rsid w:val="00582D1C"/>
    <w:rsid w:val="00582F39"/>
    <w:rsid w:val="00583183"/>
    <w:rsid w:val="00583896"/>
    <w:rsid w:val="00583A09"/>
    <w:rsid w:val="00586A42"/>
    <w:rsid w:val="00586A80"/>
    <w:rsid w:val="00586DE7"/>
    <w:rsid w:val="00591B16"/>
    <w:rsid w:val="005920CD"/>
    <w:rsid w:val="005929E4"/>
    <w:rsid w:val="005934D5"/>
    <w:rsid w:val="005950B7"/>
    <w:rsid w:val="0059622F"/>
    <w:rsid w:val="00596D64"/>
    <w:rsid w:val="00597B81"/>
    <w:rsid w:val="00597FDB"/>
    <w:rsid w:val="005A034C"/>
    <w:rsid w:val="005A1FA6"/>
    <w:rsid w:val="005A29B6"/>
    <w:rsid w:val="005A3E00"/>
    <w:rsid w:val="005A3E65"/>
    <w:rsid w:val="005A4FD7"/>
    <w:rsid w:val="005A7C24"/>
    <w:rsid w:val="005B0A57"/>
    <w:rsid w:val="005B43DE"/>
    <w:rsid w:val="005B4CA2"/>
    <w:rsid w:val="005B513F"/>
    <w:rsid w:val="005B5E00"/>
    <w:rsid w:val="005B6E52"/>
    <w:rsid w:val="005B6FBC"/>
    <w:rsid w:val="005C16E9"/>
    <w:rsid w:val="005C1E2C"/>
    <w:rsid w:val="005C2285"/>
    <w:rsid w:val="005C3558"/>
    <w:rsid w:val="005C65D5"/>
    <w:rsid w:val="005C7080"/>
    <w:rsid w:val="005C774D"/>
    <w:rsid w:val="005D0CBE"/>
    <w:rsid w:val="005D1071"/>
    <w:rsid w:val="005D1A69"/>
    <w:rsid w:val="005D1CF1"/>
    <w:rsid w:val="005D2522"/>
    <w:rsid w:val="005D49FF"/>
    <w:rsid w:val="005D6556"/>
    <w:rsid w:val="005E15CB"/>
    <w:rsid w:val="005E270F"/>
    <w:rsid w:val="005E3739"/>
    <w:rsid w:val="005E398A"/>
    <w:rsid w:val="005E4027"/>
    <w:rsid w:val="005E4341"/>
    <w:rsid w:val="005E5975"/>
    <w:rsid w:val="005E5F7B"/>
    <w:rsid w:val="005E7A77"/>
    <w:rsid w:val="005F03CC"/>
    <w:rsid w:val="005F08B9"/>
    <w:rsid w:val="005F163B"/>
    <w:rsid w:val="005F21CF"/>
    <w:rsid w:val="005F30C8"/>
    <w:rsid w:val="005F312D"/>
    <w:rsid w:val="005F37E6"/>
    <w:rsid w:val="005F3B87"/>
    <w:rsid w:val="005F4ED2"/>
    <w:rsid w:val="005F53F0"/>
    <w:rsid w:val="005F653C"/>
    <w:rsid w:val="005F6F9B"/>
    <w:rsid w:val="005F7B5E"/>
    <w:rsid w:val="005F7E0A"/>
    <w:rsid w:val="00600603"/>
    <w:rsid w:val="0060124C"/>
    <w:rsid w:val="00602E11"/>
    <w:rsid w:val="00602EC3"/>
    <w:rsid w:val="00603410"/>
    <w:rsid w:val="00603EF5"/>
    <w:rsid w:val="00605071"/>
    <w:rsid w:val="006050EA"/>
    <w:rsid w:val="0060648A"/>
    <w:rsid w:val="006066E7"/>
    <w:rsid w:val="00606EBA"/>
    <w:rsid w:val="00607769"/>
    <w:rsid w:val="00607868"/>
    <w:rsid w:val="00610B49"/>
    <w:rsid w:val="0061174F"/>
    <w:rsid w:val="00611C09"/>
    <w:rsid w:val="00612588"/>
    <w:rsid w:val="006144A4"/>
    <w:rsid w:val="00615154"/>
    <w:rsid w:val="006166B2"/>
    <w:rsid w:val="00617242"/>
    <w:rsid w:val="006205BC"/>
    <w:rsid w:val="00621B47"/>
    <w:rsid w:val="00622EC9"/>
    <w:rsid w:val="00623650"/>
    <w:rsid w:val="00624E7D"/>
    <w:rsid w:val="00626D47"/>
    <w:rsid w:val="00631C64"/>
    <w:rsid w:val="00633662"/>
    <w:rsid w:val="00633E78"/>
    <w:rsid w:val="0063409C"/>
    <w:rsid w:val="0063435D"/>
    <w:rsid w:val="006343FA"/>
    <w:rsid w:val="0063611C"/>
    <w:rsid w:val="006366CD"/>
    <w:rsid w:val="006405A1"/>
    <w:rsid w:val="0064071E"/>
    <w:rsid w:val="006417CD"/>
    <w:rsid w:val="0064261C"/>
    <w:rsid w:val="00643791"/>
    <w:rsid w:val="00644AAF"/>
    <w:rsid w:val="00645011"/>
    <w:rsid w:val="006458AD"/>
    <w:rsid w:val="00646E3D"/>
    <w:rsid w:val="00646EB4"/>
    <w:rsid w:val="00650F0A"/>
    <w:rsid w:val="006511EF"/>
    <w:rsid w:val="0065251C"/>
    <w:rsid w:val="00654745"/>
    <w:rsid w:val="00654DF2"/>
    <w:rsid w:val="0066168D"/>
    <w:rsid w:val="00661DAB"/>
    <w:rsid w:val="0066204B"/>
    <w:rsid w:val="00662911"/>
    <w:rsid w:val="00662DB7"/>
    <w:rsid w:val="00663770"/>
    <w:rsid w:val="00663E9D"/>
    <w:rsid w:val="00663EE6"/>
    <w:rsid w:val="00664B6B"/>
    <w:rsid w:val="00664D75"/>
    <w:rsid w:val="00666410"/>
    <w:rsid w:val="006668E1"/>
    <w:rsid w:val="0066734A"/>
    <w:rsid w:val="00667427"/>
    <w:rsid w:val="00667A17"/>
    <w:rsid w:val="00667A98"/>
    <w:rsid w:val="00667B96"/>
    <w:rsid w:val="00667E04"/>
    <w:rsid w:val="00670248"/>
    <w:rsid w:val="00671C91"/>
    <w:rsid w:val="00672323"/>
    <w:rsid w:val="006734E4"/>
    <w:rsid w:val="006738EE"/>
    <w:rsid w:val="00673BDA"/>
    <w:rsid w:val="00675D95"/>
    <w:rsid w:val="006760A6"/>
    <w:rsid w:val="00676114"/>
    <w:rsid w:val="00676ABB"/>
    <w:rsid w:val="006805E3"/>
    <w:rsid w:val="00683159"/>
    <w:rsid w:val="00683FFA"/>
    <w:rsid w:val="006846BF"/>
    <w:rsid w:val="006858B3"/>
    <w:rsid w:val="00686049"/>
    <w:rsid w:val="0068748E"/>
    <w:rsid w:val="00687790"/>
    <w:rsid w:val="00690D95"/>
    <w:rsid w:val="006936EF"/>
    <w:rsid w:val="006940EA"/>
    <w:rsid w:val="00696019"/>
    <w:rsid w:val="00696794"/>
    <w:rsid w:val="00697052"/>
    <w:rsid w:val="006977FD"/>
    <w:rsid w:val="006979CF"/>
    <w:rsid w:val="006A1245"/>
    <w:rsid w:val="006A194A"/>
    <w:rsid w:val="006A2E53"/>
    <w:rsid w:val="006A451B"/>
    <w:rsid w:val="006B03E3"/>
    <w:rsid w:val="006B1A41"/>
    <w:rsid w:val="006B1C8B"/>
    <w:rsid w:val="006B2CFB"/>
    <w:rsid w:val="006B317B"/>
    <w:rsid w:val="006B3313"/>
    <w:rsid w:val="006B4E07"/>
    <w:rsid w:val="006B5400"/>
    <w:rsid w:val="006B66DE"/>
    <w:rsid w:val="006B6D8C"/>
    <w:rsid w:val="006B7BD6"/>
    <w:rsid w:val="006C01C1"/>
    <w:rsid w:val="006C4104"/>
    <w:rsid w:val="006C45A4"/>
    <w:rsid w:val="006C4676"/>
    <w:rsid w:val="006C469A"/>
    <w:rsid w:val="006C4EE9"/>
    <w:rsid w:val="006C54D6"/>
    <w:rsid w:val="006C62F7"/>
    <w:rsid w:val="006C725A"/>
    <w:rsid w:val="006C7903"/>
    <w:rsid w:val="006D09E8"/>
    <w:rsid w:val="006D10E5"/>
    <w:rsid w:val="006D156C"/>
    <w:rsid w:val="006D2CED"/>
    <w:rsid w:val="006D30DC"/>
    <w:rsid w:val="006D433C"/>
    <w:rsid w:val="006D7089"/>
    <w:rsid w:val="006D76F9"/>
    <w:rsid w:val="006E15FA"/>
    <w:rsid w:val="006E293C"/>
    <w:rsid w:val="006E2AED"/>
    <w:rsid w:val="006E466B"/>
    <w:rsid w:val="006E4E8D"/>
    <w:rsid w:val="006E5C67"/>
    <w:rsid w:val="006F0879"/>
    <w:rsid w:val="006F0CF8"/>
    <w:rsid w:val="006F0E6A"/>
    <w:rsid w:val="006F2DA6"/>
    <w:rsid w:val="006F3A4A"/>
    <w:rsid w:val="006F3E78"/>
    <w:rsid w:val="006F4850"/>
    <w:rsid w:val="006F4ED9"/>
    <w:rsid w:val="006F67D8"/>
    <w:rsid w:val="006F7475"/>
    <w:rsid w:val="007004F7"/>
    <w:rsid w:val="00700C3D"/>
    <w:rsid w:val="00701709"/>
    <w:rsid w:val="0070410F"/>
    <w:rsid w:val="00704690"/>
    <w:rsid w:val="00704940"/>
    <w:rsid w:val="007056E8"/>
    <w:rsid w:val="00705B6A"/>
    <w:rsid w:val="00707E2A"/>
    <w:rsid w:val="007113FC"/>
    <w:rsid w:val="007119F9"/>
    <w:rsid w:val="00712BA3"/>
    <w:rsid w:val="0071329E"/>
    <w:rsid w:val="0071457C"/>
    <w:rsid w:val="0071538E"/>
    <w:rsid w:val="00715EF0"/>
    <w:rsid w:val="00716317"/>
    <w:rsid w:val="00717CA3"/>
    <w:rsid w:val="00720C81"/>
    <w:rsid w:val="007223CC"/>
    <w:rsid w:val="00722B66"/>
    <w:rsid w:val="00724140"/>
    <w:rsid w:val="00724B21"/>
    <w:rsid w:val="007251AB"/>
    <w:rsid w:val="00725A20"/>
    <w:rsid w:val="00725EBB"/>
    <w:rsid w:val="00726E6A"/>
    <w:rsid w:val="007278A7"/>
    <w:rsid w:val="00727B14"/>
    <w:rsid w:val="00727EF9"/>
    <w:rsid w:val="00731BE3"/>
    <w:rsid w:val="00731E92"/>
    <w:rsid w:val="00732D18"/>
    <w:rsid w:val="00734E25"/>
    <w:rsid w:val="00735DCD"/>
    <w:rsid w:val="00735F7D"/>
    <w:rsid w:val="007373BA"/>
    <w:rsid w:val="00740D71"/>
    <w:rsid w:val="00742E3D"/>
    <w:rsid w:val="0074453C"/>
    <w:rsid w:val="00744556"/>
    <w:rsid w:val="00745191"/>
    <w:rsid w:val="007469A8"/>
    <w:rsid w:val="00747BDB"/>
    <w:rsid w:val="00750331"/>
    <w:rsid w:val="007523F1"/>
    <w:rsid w:val="007556F4"/>
    <w:rsid w:val="00755E9A"/>
    <w:rsid w:val="00756E82"/>
    <w:rsid w:val="0076068D"/>
    <w:rsid w:val="00761B41"/>
    <w:rsid w:val="00761EA0"/>
    <w:rsid w:val="0076326C"/>
    <w:rsid w:val="00763664"/>
    <w:rsid w:val="00764E26"/>
    <w:rsid w:val="00765A00"/>
    <w:rsid w:val="007661FC"/>
    <w:rsid w:val="007668BA"/>
    <w:rsid w:val="00766E90"/>
    <w:rsid w:val="00771A0B"/>
    <w:rsid w:val="007737A9"/>
    <w:rsid w:val="007743E3"/>
    <w:rsid w:val="00776B58"/>
    <w:rsid w:val="00780001"/>
    <w:rsid w:val="007800B9"/>
    <w:rsid w:val="00780869"/>
    <w:rsid w:val="00781982"/>
    <w:rsid w:val="007820E7"/>
    <w:rsid w:val="0079060E"/>
    <w:rsid w:val="007906CB"/>
    <w:rsid w:val="00790BD7"/>
    <w:rsid w:val="0079117A"/>
    <w:rsid w:val="00791354"/>
    <w:rsid w:val="00791A6D"/>
    <w:rsid w:val="00792459"/>
    <w:rsid w:val="00793B1C"/>
    <w:rsid w:val="00793EEF"/>
    <w:rsid w:val="00794307"/>
    <w:rsid w:val="007962B0"/>
    <w:rsid w:val="00796E6B"/>
    <w:rsid w:val="00797282"/>
    <w:rsid w:val="007A15A2"/>
    <w:rsid w:val="007A1AE2"/>
    <w:rsid w:val="007A1D9A"/>
    <w:rsid w:val="007A24E9"/>
    <w:rsid w:val="007A3A14"/>
    <w:rsid w:val="007A4905"/>
    <w:rsid w:val="007A50D5"/>
    <w:rsid w:val="007A549D"/>
    <w:rsid w:val="007A5908"/>
    <w:rsid w:val="007A673C"/>
    <w:rsid w:val="007B0516"/>
    <w:rsid w:val="007B0C47"/>
    <w:rsid w:val="007B151D"/>
    <w:rsid w:val="007B1A14"/>
    <w:rsid w:val="007B1A31"/>
    <w:rsid w:val="007B23C3"/>
    <w:rsid w:val="007B2897"/>
    <w:rsid w:val="007B2C5B"/>
    <w:rsid w:val="007B3CFF"/>
    <w:rsid w:val="007B53B3"/>
    <w:rsid w:val="007B684F"/>
    <w:rsid w:val="007B7873"/>
    <w:rsid w:val="007C3098"/>
    <w:rsid w:val="007C3AAD"/>
    <w:rsid w:val="007C4564"/>
    <w:rsid w:val="007C45F0"/>
    <w:rsid w:val="007C4735"/>
    <w:rsid w:val="007C4D75"/>
    <w:rsid w:val="007C4E8C"/>
    <w:rsid w:val="007C575F"/>
    <w:rsid w:val="007C5E26"/>
    <w:rsid w:val="007C62F2"/>
    <w:rsid w:val="007D17CB"/>
    <w:rsid w:val="007D3132"/>
    <w:rsid w:val="007D419F"/>
    <w:rsid w:val="007D4373"/>
    <w:rsid w:val="007D4635"/>
    <w:rsid w:val="007D4AF8"/>
    <w:rsid w:val="007D5A10"/>
    <w:rsid w:val="007D7025"/>
    <w:rsid w:val="007D7615"/>
    <w:rsid w:val="007E1CD1"/>
    <w:rsid w:val="007E402D"/>
    <w:rsid w:val="007E4088"/>
    <w:rsid w:val="007E48AD"/>
    <w:rsid w:val="007E5C4A"/>
    <w:rsid w:val="007E5F07"/>
    <w:rsid w:val="007E649D"/>
    <w:rsid w:val="007E7474"/>
    <w:rsid w:val="007F1300"/>
    <w:rsid w:val="007F1FAC"/>
    <w:rsid w:val="007F2489"/>
    <w:rsid w:val="007F3C82"/>
    <w:rsid w:val="007F3D8E"/>
    <w:rsid w:val="007F3DF2"/>
    <w:rsid w:val="007F41C7"/>
    <w:rsid w:val="007F44AB"/>
    <w:rsid w:val="007F7DD1"/>
    <w:rsid w:val="00800D4A"/>
    <w:rsid w:val="0080113A"/>
    <w:rsid w:val="008011CC"/>
    <w:rsid w:val="00801A85"/>
    <w:rsid w:val="00801C40"/>
    <w:rsid w:val="00801E77"/>
    <w:rsid w:val="00803A87"/>
    <w:rsid w:val="008056BE"/>
    <w:rsid w:val="00805FD3"/>
    <w:rsid w:val="008060CE"/>
    <w:rsid w:val="00810072"/>
    <w:rsid w:val="008100BF"/>
    <w:rsid w:val="00810258"/>
    <w:rsid w:val="0081067E"/>
    <w:rsid w:val="0081135E"/>
    <w:rsid w:val="00811939"/>
    <w:rsid w:val="008146DF"/>
    <w:rsid w:val="0081495C"/>
    <w:rsid w:val="00814C2F"/>
    <w:rsid w:val="008159E2"/>
    <w:rsid w:val="00815CCD"/>
    <w:rsid w:val="008160C2"/>
    <w:rsid w:val="00816324"/>
    <w:rsid w:val="00816CD5"/>
    <w:rsid w:val="00816F6C"/>
    <w:rsid w:val="00822114"/>
    <w:rsid w:val="00823AF5"/>
    <w:rsid w:val="0082475B"/>
    <w:rsid w:val="00826A46"/>
    <w:rsid w:val="00826DAA"/>
    <w:rsid w:val="00827D0A"/>
    <w:rsid w:val="008305CF"/>
    <w:rsid w:val="00831DF5"/>
    <w:rsid w:val="00833F7D"/>
    <w:rsid w:val="00834BCD"/>
    <w:rsid w:val="00836F53"/>
    <w:rsid w:val="00840F95"/>
    <w:rsid w:val="00841FA0"/>
    <w:rsid w:val="0084444F"/>
    <w:rsid w:val="0084448E"/>
    <w:rsid w:val="008455EB"/>
    <w:rsid w:val="00847844"/>
    <w:rsid w:val="00847ECA"/>
    <w:rsid w:val="00850CC1"/>
    <w:rsid w:val="008517BA"/>
    <w:rsid w:val="0085233C"/>
    <w:rsid w:val="008534DB"/>
    <w:rsid w:val="00853695"/>
    <w:rsid w:val="0085460B"/>
    <w:rsid w:val="008551F3"/>
    <w:rsid w:val="00855863"/>
    <w:rsid w:val="0085596E"/>
    <w:rsid w:val="0085762F"/>
    <w:rsid w:val="00857993"/>
    <w:rsid w:val="00860C88"/>
    <w:rsid w:val="0086113E"/>
    <w:rsid w:val="00861AD8"/>
    <w:rsid w:val="00862B6C"/>
    <w:rsid w:val="00863921"/>
    <w:rsid w:val="008679BD"/>
    <w:rsid w:val="00870018"/>
    <w:rsid w:val="0087020C"/>
    <w:rsid w:val="008703C9"/>
    <w:rsid w:val="0087095A"/>
    <w:rsid w:val="008733C2"/>
    <w:rsid w:val="008734A5"/>
    <w:rsid w:val="00876798"/>
    <w:rsid w:val="00876FD9"/>
    <w:rsid w:val="00877286"/>
    <w:rsid w:val="0087739F"/>
    <w:rsid w:val="00877622"/>
    <w:rsid w:val="008776DD"/>
    <w:rsid w:val="00877D62"/>
    <w:rsid w:val="00880507"/>
    <w:rsid w:val="00882999"/>
    <w:rsid w:val="00883FFA"/>
    <w:rsid w:val="008860E5"/>
    <w:rsid w:val="00890C11"/>
    <w:rsid w:val="00891D8C"/>
    <w:rsid w:val="00891F77"/>
    <w:rsid w:val="00892022"/>
    <w:rsid w:val="008922E7"/>
    <w:rsid w:val="00892968"/>
    <w:rsid w:val="00892B0C"/>
    <w:rsid w:val="00892E80"/>
    <w:rsid w:val="00893EDD"/>
    <w:rsid w:val="00893F39"/>
    <w:rsid w:val="00894F7D"/>
    <w:rsid w:val="00895BE3"/>
    <w:rsid w:val="00897E38"/>
    <w:rsid w:val="008A0B80"/>
    <w:rsid w:val="008A1444"/>
    <w:rsid w:val="008A177D"/>
    <w:rsid w:val="008A20C6"/>
    <w:rsid w:val="008A233E"/>
    <w:rsid w:val="008A3306"/>
    <w:rsid w:val="008A401D"/>
    <w:rsid w:val="008A4CD4"/>
    <w:rsid w:val="008A50FD"/>
    <w:rsid w:val="008A57F7"/>
    <w:rsid w:val="008B00E5"/>
    <w:rsid w:val="008B1377"/>
    <w:rsid w:val="008B33C4"/>
    <w:rsid w:val="008B3ECB"/>
    <w:rsid w:val="008B5502"/>
    <w:rsid w:val="008B7448"/>
    <w:rsid w:val="008B7B10"/>
    <w:rsid w:val="008C1A72"/>
    <w:rsid w:val="008C1E1E"/>
    <w:rsid w:val="008C2BAB"/>
    <w:rsid w:val="008C2E4F"/>
    <w:rsid w:val="008C309E"/>
    <w:rsid w:val="008C42CD"/>
    <w:rsid w:val="008C5E91"/>
    <w:rsid w:val="008C6738"/>
    <w:rsid w:val="008C6D52"/>
    <w:rsid w:val="008C6E4C"/>
    <w:rsid w:val="008C77C9"/>
    <w:rsid w:val="008D07AE"/>
    <w:rsid w:val="008D09F7"/>
    <w:rsid w:val="008D0E46"/>
    <w:rsid w:val="008D2F76"/>
    <w:rsid w:val="008D3222"/>
    <w:rsid w:val="008D5B26"/>
    <w:rsid w:val="008D7076"/>
    <w:rsid w:val="008D7B6B"/>
    <w:rsid w:val="008E01B4"/>
    <w:rsid w:val="008E0E7F"/>
    <w:rsid w:val="008E19FE"/>
    <w:rsid w:val="008E2D6B"/>
    <w:rsid w:val="008E32DB"/>
    <w:rsid w:val="008E3C90"/>
    <w:rsid w:val="008E5141"/>
    <w:rsid w:val="008E55FC"/>
    <w:rsid w:val="008E5F66"/>
    <w:rsid w:val="008E6C5F"/>
    <w:rsid w:val="008E718B"/>
    <w:rsid w:val="008F05E7"/>
    <w:rsid w:val="008F0C8C"/>
    <w:rsid w:val="008F104C"/>
    <w:rsid w:val="008F21B3"/>
    <w:rsid w:val="008F2AB2"/>
    <w:rsid w:val="008F3A9A"/>
    <w:rsid w:val="008F5436"/>
    <w:rsid w:val="008F5E32"/>
    <w:rsid w:val="008F6F18"/>
    <w:rsid w:val="008F7D07"/>
    <w:rsid w:val="00900F98"/>
    <w:rsid w:val="009022D2"/>
    <w:rsid w:val="009034AD"/>
    <w:rsid w:val="0090475A"/>
    <w:rsid w:val="00905467"/>
    <w:rsid w:val="0090556E"/>
    <w:rsid w:val="009076C9"/>
    <w:rsid w:val="00911328"/>
    <w:rsid w:val="009121A8"/>
    <w:rsid w:val="00912478"/>
    <w:rsid w:val="00913B03"/>
    <w:rsid w:val="0091543D"/>
    <w:rsid w:val="00915773"/>
    <w:rsid w:val="00915E66"/>
    <w:rsid w:val="0092017D"/>
    <w:rsid w:val="00923104"/>
    <w:rsid w:val="0092328A"/>
    <w:rsid w:val="00923464"/>
    <w:rsid w:val="009239B9"/>
    <w:rsid w:val="00924653"/>
    <w:rsid w:val="00924ABC"/>
    <w:rsid w:val="00924D41"/>
    <w:rsid w:val="00925491"/>
    <w:rsid w:val="00925BA6"/>
    <w:rsid w:val="00925DAA"/>
    <w:rsid w:val="00926417"/>
    <w:rsid w:val="00926F5E"/>
    <w:rsid w:val="00932C56"/>
    <w:rsid w:val="00933DC0"/>
    <w:rsid w:val="00934494"/>
    <w:rsid w:val="00934EDD"/>
    <w:rsid w:val="0094021B"/>
    <w:rsid w:val="00943D15"/>
    <w:rsid w:val="00945FA8"/>
    <w:rsid w:val="00946EFD"/>
    <w:rsid w:val="0094717F"/>
    <w:rsid w:val="009513ED"/>
    <w:rsid w:val="00951670"/>
    <w:rsid w:val="009541F9"/>
    <w:rsid w:val="00954401"/>
    <w:rsid w:val="00954A61"/>
    <w:rsid w:val="00956E84"/>
    <w:rsid w:val="009601B7"/>
    <w:rsid w:val="0096047D"/>
    <w:rsid w:val="00961675"/>
    <w:rsid w:val="00965DD0"/>
    <w:rsid w:val="00966392"/>
    <w:rsid w:val="0096675F"/>
    <w:rsid w:val="0096703F"/>
    <w:rsid w:val="00967938"/>
    <w:rsid w:val="00967E12"/>
    <w:rsid w:val="00970038"/>
    <w:rsid w:val="00970A74"/>
    <w:rsid w:val="00970B61"/>
    <w:rsid w:val="009712DB"/>
    <w:rsid w:val="0097176A"/>
    <w:rsid w:val="00972DF4"/>
    <w:rsid w:val="009733A3"/>
    <w:rsid w:val="00973CDD"/>
    <w:rsid w:val="009746C3"/>
    <w:rsid w:val="00974D72"/>
    <w:rsid w:val="00976BB6"/>
    <w:rsid w:val="00977000"/>
    <w:rsid w:val="009805F3"/>
    <w:rsid w:val="0098117C"/>
    <w:rsid w:val="009811D7"/>
    <w:rsid w:val="0098166F"/>
    <w:rsid w:val="009819DF"/>
    <w:rsid w:val="00982004"/>
    <w:rsid w:val="00982A7F"/>
    <w:rsid w:val="009832D0"/>
    <w:rsid w:val="0098363A"/>
    <w:rsid w:val="0098387C"/>
    <w:rsid w:val="00984BBC"/>
    <w:rsid w:val="00985F11"/>
    <w:rsid w:val="009869C7"/>
    <w:rsid w:val="00986D12"/>
    <w:rsid w:val="00987EBC"/>
    <w:rsid w:val="00991EDC"/>
    <w:rsid w:val="0099332A"/>
    <w:rsid w:val="00993754"/>
    <w:rsid w:val="00994050"/>
    <w:rsid w:val="009945CB"/>
    <w:rsid w:val="00994A12"/>
    <w:rsid w:val="00995883"/>
    <w:rsid w:val="0099595D"/>
    <w:rsid w:val="00996759"/>
    <w:rsid w:val="009A0B49"/>
    <w:rsid w:val="009A115C"/>
    <w:rsid w:val="009A2193"/>
    <w:rsid w:val="009A3E6B"/>
    <w:rsid w:val="009A46A7"/>
    <w:rsid w:val="009A51CD"/>
    <w:rsid w:val="009A589F"/>
    <w:rsid w:val="009A6C12"/>
    <w:rsid w:val="009A77CA"/>
    <w:rsid w:val="009B0EEA"/>
    <w:rsid w:val="009B186C"/>
    <w:rsid w:val="009B2831"/>
    <w:rsid w:val="009B31F6"/>
    <w:rsid w:val="009B4617"/>
    <w:rsid w:val="009B5472"/>
    <w:rsid w:val="009B613F"/>
    <w:rsid w:val="009B61DA"/>
    <w:rsid w:val="009B6D5C"/>
    <w:rsid w:val="009B70D0"/>
    <w:rsid w:val="009B7A1B"/>
    <w:rsid w:val="009C00E3"/>
    <w:rsid w:val="009C09B8"/>
    <w:rsid w:val="009C151D"/>
    <w:rsid w:val="009C2872"/>
    <w:rsid w:val="009C5A08"/>
    <w:rsid w:val="009C653A"/>
    <w:rsid w:val="009C721D"/>
    <w:rsid w:val="009C7E82"/>
    <w:rsid w:val="009D0D9F"/>
    <w:rsid w:val="009D4A97"/>
    <w:rsid w:val="009E09D4"/>
    <w:rsid w:val="009E1488"/>
    <w:rsid w:val="009E2072"/>
    <w:rsid w:val="009E243F"/>
    <w:rsid w:val="009E4D7C"/>
    <w:rsid w:val="009E4DE6"/>
    <w:rsid w:val="009E50B6"/>
    <w:rsid w:val="009E5417"/>
    <w:rsid w:val="009E66D7"/>
    <w:rsid w:val="009E6CC2"/>
    <w:rsid w:val="009E71E1"/>
    <w:rsid w:val="009F0A5F"/>
    <w:rsid w:val="009F1463"/>
    <w:rsid w:val="009F2F76"/>
    <w:rsid w:val="009F30F3"/>
    <w:rsid w:val="009F4FB1"/>
    <w:rsid w:val="009F5D86"/>
    <w:rsid w:val="009F6B49"/>
    <w:rsid w:val="009F79CE"/>
    <w:rsid w:val="009F7E8E"/>
    <w:rsid w:val="00A0088D"/>
    <w:rsid w:val="00A01B53"/>
    <w:rsid w:val="00A01F03"/>
    <w:rsid w:val="00A02B9E"/>
    <w:rsid w:val="00A048A0"/>
    <w:rsid w:val="00A05A17"/>
    <w:rsid w:val="00A06938"/>
    <w:rsid w:val="00A07786"/>
    <w:rsid w:val="00A10B04"/>
    <w:rsid w:val="00A12A64"/>
    <w:rsid w:val="00A1434D"/>
    <w:rsid w:val="00A14976"/>
    <w:rsid w:val="00A1523B"/>
    <w:rsid w:val="00A1672E"/>
    <w:rsid w:val="00A179A7"/>
    <w:rsid w:val="00A202D8"/>
    <w:rsid w:val="00A2196F"/>
    <w:rsid w:val="00A22664"/>
    <w:rsid w:val="00A2296E"/>
    <w:rsid w:val="00A22A4D"/>
    <w:rsid w:val="00A23687"/>
    <w:rsid w:val="00A245A6"/>
    <w:rsid w:val="00A246A4"/>
    <w:rsid w:val="00A24A6C"/>
    <w:rsid w:val="00A25893"/>
    <w:rsid w:val="00A2650A"/>
    <w:rsid w:val="00A26A6F"/>
    <w:rsid w:val="00A26B03"/>
    <w:rsid w:val="00A30340"/>
    <w:rsid w:val="00A304A7"/>
    <w:rsid w:val="00A309BD"/>
    <w:rsid w:val="00A31D77"/>
    <w:rsid w:val="00A3230F"/>
    <w:rsid w:val="00A32C1D"/>
    <w:rsid w:val="00A341B7"/>
    <w:rsid w:val="00A3499D"/>
    <w:rsid w:val="00A35682"/>
    <w:rsid w:val="00A36357"/>
    <w:rsid w:val="00A368EF"/>
    <w:rsid w:val="00A37334"/>
    <w:rsid w:val="00A37396"/>
    <w:rsid w:val="00A402C7"/>
    <w:rsid w:val="00A41527"/>
    <w:rsid w:val="00A42FB1"/>
    <w:rsid w:val="00A43CDF"/>
    <w:rsid w:val="00A443C1"/>
    <w:rsid w:val="00A45AA3"/>
    <w:rsid w:val="00A4651F"/>
    <w:rsid w:val="00A475BB"/>
    <w:rsid w:val="00A50972"/>
    <w:rsid w:val="00A5139C"/>
    <w:rsid w:val="00A54162"/>
    <w:rsid w:val="00A5440D"/>
    <w:rsid w:val="00A54712"/>
    <w:rsid w:val="00A54A6A"/>
    <w:rsid w:val="00A55346"/>
    <w:rsid w:val="00A55A07"/>
    <w:rsid w:val="00A564A3"/>
    <w:rsid w:val="00A569B4"/>
    <w:rsid w:val="00A56D58"/>
    <w:rsid w:val="00A578FE"/>
    <w:rsid w:val="00A60F5E"/>
    <w:rsid w:val="00A612AD"/>
    <w:rsid w:val="00A61C5C"/>
    <w:rsid w:val="00A61DCC"/>
    <w:rsid w:val="00A6234A"/>
    <w:rsid w:val="00A62A90"/>
    <w:rsid w:val="00A62D4C"/>
    <w:rsid w:val="00A63F19"/>
    <w:rsid w:val="00A6493C"/>
    <w:rsid w:val="00A65E4A"/>
    <w:rsid w:val="00A662DE"/>
    <w:rsid w:val="00A70575"/>
    <w:rsid w:val="00A70F89"/>
    <w:rsid w:val="00A71509"/>
    <w:rsid w:val="00A7169C"/>
    <w:rsid w:val="00A723F3"/>
    <w:rsid w:val="00A7244D"/>
    <w:rsid w:val="00A7257C"/>
    <w:rsid w:val="00A73C3A"/>
    <w:rsid w:val="00A76642"/>
    <w:rsid w:val="00A82DC1"/>
    <w:rsid w:val="00A8441E"/>
    <w:rsid w:val="00A854BA"/>
    <w:rsid w:val="00A85B72"/>
    <w:rsid w:val="00A867EB"/>
    <w:rsid w:val="00A868EC"/>
    <w:rsid w:val="00A925DB"/>
    <w:rsid w:val="00A92AB1"/>
    <w:rsid w:val="00A931DD"/>
    <w:rsid w:val="00A93232"/>
    <w:rsid w:val="00A93E38"/>
    <w:rsid w:val="00A9592A"/>
    <w:rsid w:val="00A95EF9"/>
    <w:rsid w:val="00A95FE5"/>
    <w:rsid w:val="00AA0BE0"/>
    <w:rsid w:val="00AA10AB"/>
    <w:rsid w:val="00AA135D"/>
    <w:rsid w:val="00AA2A34"/>
    <w:rsid w:val="00AA2D46"/>
    <w:rsid w:val="00AA3B03"/>
    <w:rsid w:val="00AA493E"/>
    <w:rsid w:val="00AA58D9"/>
    <w:rsid w:val="00AA6384"/>
    <w:rsid w:val="00AB069E"/>
    <w:rsid w:val="00AB153A"/>
    <w:rsid w:val="00AB1C0A"/>
    <w:rsid w:val="00AB1C3C"/>
    <w:rsid w:val="00AB5319"/>
    <w:rsid w:val="00AB5AF6"/>
    <w:rsid w:val="00AB5B14"/>
    <w:rsid w:val="00AB62BD"/>
    <w:rsid w:val="00AB64A7"/>
    <w:rsid w:val="00AB72C5"/>
    <w:rsid w:val="00AB79BD"/>
    <w:rsid w:val="00AB7AB7"/>
    <w:rsid w:val="00AC180E"/>
    <w:rsid w:val="00AC40EB"/>
    <w:rsid w:val="00AC41F2"/>
    <w:rsid w:val="00AC4B5A"/>
    <w:rsid w:val="00AC51EF"/>
    <w:rsid w:val="00AD150B"/>
    <w:rsid w:val="00AD1F42"/>
    <w:rsid w:val="00AD25EE"/>
    <w:rsid w:val="00AD3747"/>
    <w:rsid w:val="00AD3E54"/>
    <w:rsid w:val="00AD43B9"/>
    <w:rsid w:val="00AD461B"/>
    <w:rsid w:val="00AD54B6"/>
    <w:rsid w:val="00AD6B12"/>
    <w:rsid w:val="00AD700C"/>
    <w:rsid w:val="00AE2E47"/>
    <w:rsid w:val="00AE6672"/>
    <w:rsid w:val="00AE667B"/>
    <w:rsid w:val="00AE6DD0"/>
    <w:rsid w:val="00AE7040"/>
    <w:rsid w:val="00AE7BB4"/>
    <w:rsid w:val="00AE7EBB"/>
    <w:rsid w:val="00AF0A5C"/>
    <w:rsid w:val="00AF17C9"/>
    <w:rsid w:val="00AF1B91"/>
    <w:rsid w:val="00AF2288"/>
    <w:rsid w:val="00AF3531"/>
    <w:rsid w:val="00AF44EF"/>
    <w:rsid w:val="00AF5217"/>
    <w:rsid w:val="00AF6691"/>
    <w:rsid w:val="00B02B76"/>
    <w:rsid w:val="00B02C28"/>
    <w:rsid w:val="00B0346F"/>
    <w:rsid w:val="00B04B09"/>
    <w:rsid w:val="00B04D35"/>
    <w:rsid w:val="00B0574E"/>
    <w:rsid w:val="00B0685B"/>
    <w:rsid w:val="00B07751"/>
    <w:rsid w:val="00B1146C"/>
    <w:rsid w:val="00B115EB"/>
    <w:rsid w:val="00B11DEB"/>
    <w:rsid w:val="00B13102"/>
    <w:rsid w:val="00B14AE2"/>
    <w:rsid w:val="00B15AD7"/>
    <w:rsid w:val="00B15B97"/>
    <w:rsid w:val="00B16856"/>
    <w:rsid w:val="00B177DF"/>
    <w:rsid w:val="00B20E6D"/>
    <w:rsid w:val="00B2155E"/>
    <w:rsid w:val="00B22F92"/>
    <w:rsid w:val="00B22FFD"/>
    <w:rsid w:val="00B231FB"/>
    <w:rsid w:val="00B232AC"/>
    <w:rsid w:val="00B235A0"/>
    <w:rsid w:val="00B23611"/>
    <w:rsid w:val="00B255FB"/>
    <w:rsid w:val="00B30F6B"/>
    <w:rsid w:val="00B3222E"/>
    <w:rsid w:val="00B34583"/>
    <w:rsid w:val="00B34CF1"/>
    <w:rsid w:val="00B35073"/>
    <w:rsid w:val="00B353A4"/>
    <w:rsid w:val="00B3551A"/>
    <w:rsid w:val="00B35C1B"/>
    <w:rsid w:val="00B36B13"/>
    <w:rsid w:val="00B403D4"/>
    <w:rsid w:val="00B41303"/>
    <w:rsid w:val="00B41779"/>
    <w:rsid w:val="00B423BD"/>
    <w:rsid w:val="00B45009"/>
    <w:rsid w:val="00B45318"/>
    <w:rsid w:val="00B45C09"/>
    <w:rsid w:val="00B45D99"/>
    <w:rsid w:val="00B46D90"/>
    <w:rsid w:val="00B50367"/>
    <w:rsid w:val="00B505F5"/>
    <w:rsid w:val="00B51165"/>
    <w:rsid w:val="00B51543"/>
    <w:rsid w:val="00B52038"/>
    <w:rsid w:val="00B5276A"/>
    <w:rsid w:val="00B53C77"/>
    <w:rsid w:val="00B54D83"/>
    <w:rsid w:val="00B557A1"/>
    <w:rsid w:val="00B55D0B"/>
    <w:rsid w:val="00B569AA"/>
    <w:rsid w:val="00B56CC1"/>
    <w:rsid w:val="00B574E8"/>
    <w:rsid w:val="00B603D4"/>
    <w:rsid w:val="00B63384"/>
    <w:rsid w:val="00B63D3E"/>
    <w:rsid w:val="00B64429"/>
    <w:rsid w:val="00B644C6"/>
    <w:rsid w:val="00B65F8B"/>
    <w:rsid w:val="00B65FB6"/>
    <w:rsid w:val="00B666A6"/>
    <w:rsid w:val="00B67E3D"/>
    <w:rsid w:val="00B70367"/>
    <w:rsid w:val="00B70FFD"/>
    <w:rsid w:val="00B72D5D"/>
    <w:rsid w:val="00B740D6"/>
    <w:rsid w:val="00B747A3"/>
    <w:rsid w:val="00B74FEE"/>
    <w:rsid w:val="00B75301"/>
    <w:rsid w:val="00B754A9"/>
    <w:rsid w:val="00B75E70"/>
    <w:rsid w:val="00B75FEB"/>
    <w:rsid w:val="00B762DB"/>
    <w:rsid w:val="00B77E92"/>
    <w:rsid w:val="00B805B9"/>
    <w:rsid w:val="00B80DA6"/>
    <w:rsid w:val="00B82A41"/>
    <w:rsid w:val="00B83962"/>
    <w:rsid w:val="00B83B71"/>
    <w:rsid w:val="00B83DC8"/>
    <w:rsid w:val="00B84AA0"/>
    <w:rsid w:val="00B84EDB"/>
    <w:rsid w:val="00B87EEE"/>
    <w:rsid w:val="00B910A0"/>
    <w:rsid w:val="00B92467"/>
    <w:rsid w:val="00B93FDF"/>
    <w:rsid w:val="00B9578C"/>
    <w:rsid w:val="00B959F2"/>
    <w:rsid w:val="00B95E57"/>
    <w:rsid w:val="00B9613A"/>
    <w:rsid w:val="00B97109"/>
    <w:rsid w:val="00BA15D3"/>
    <w:rsid w:val="00BA2429"/>
    <w:rsid w:val="00BA2718"/>
    <w:rsid w:val="00BA28E6"/>
    <w:rsid w:val="00BA32AC"/>
    <w:rsid w:val="00BA3BEF"/>
    <w:rsid w:val="00BA627F"/>
    <w:rsid w:val="00BA6423"/>
    <w:rsid w:val="00BA6B0F"/>
    <w:rsid w:val="00BA6B46"/>
    <w:rsid w:val="00BA7100"/>
    <w:rsid w:val="00BB01F3"/>
    <w:rsid w:val="00BB07A8"/>
    <w:rsid w:val="00BB2E5B"/>
    <w:rsid w:val="00BB5C2B"/>
    <w:rsid w:val="00BB7332"/>
    <w:rsid w:val="00BC030A"/>
    <w:rsid w:val="00BC0BB6"/>
    <w:rsid w:val="00BC1F22"/>
    <w:rsid w:val="00BC2177"/>
    <w:rsid w:val="00BC368B"/>
    <w:rsid w:val="00BC4A8B"/>
    <w:rsid w:val="00BC6CDD"/>
    <w:rsid w:val="00BC7468"/>
    <w:rsid w:val="00BC7B8D"/>
    <w:rsid w:val="00BD0369"/>
    <w:rsid w:val="00BD17A7"/>
    <w:rsid w:val="00BD1941"/>
    <w:rsid w:val="00BD1C8A"/>
    <w:rsid w:val="00BD236D"/>
    <w:rsid w:val="00BD23BC"/>
    <w:rsid w:val="00BD2E0B"/>
    <w:rsid w:val="00BD357D"/>
    <w:rsid w:val="00BD36B7"/>
    <w:rsid w:val="00BD4231"/>
    <w:rsid w:val="00BD5E5C"/>
    <w:rsid w:val="00BD627B"/>
    <w:rsid w:val="00BD6FBB"/>
    <w:rsid w:val="00BE017A"/>
    <w:rsid w:val="00BE1F4E"/>
    <w:rsid w:val="00BE322D"/>
    <w:rsid w:val="00BE4B86"/>
    <w:rsid w:val="00BE5A04"/>
    <w:rsid w:val="00BE6E40"/>
    <w:rsid w:val="00BF080B"/>
    <w:rsid w:val="00BF1392"/>
    <w:rsid w:val="00BF1663"/>
    <w:rsid w:val="00BF1BAA"/>
    <w:rsid w:val="00BF212E"/>
    <w:rsid w:val="00BF4D81"/>
    <w:rsid w:val="00BF52FE"/>
    <w:rsid w:val="00C011EE"/>
    <w:rsid w:val="00C02428"/>
    <w:rsid w:val="00C03412"/>
    <w:rsid w:val="00C03895"/>
    <w:rsid w:val="00C03DD4"/>
    <w:rsid w:val="00C04610"/>
    <w:rsid w:val="00C05C68"/>
    <w:rsid w:val="00C101C2"/>
    <w:rsid w:val="00C10FAD"/>
    <w:rsid w:val="00C10FCE"/>
    <w:rsid w:val="00C12BB8"/>
    <w:rsid w:val="00C12DAC"/>
    <w:rsid w:val="00C138CA"/>
    <w:rsid w:val="00C13FFA"/>
    <w:rsid w:val="00C1525B"/>
    <w:rsid w:val="00C16891"/>
    <w:rsid w:val="00C17F8B"/>
    <w:rsid w:val="00C20041"/>
    <w:rsid w:val="00C20340"/>
    <w:rsid w:val="00C22181"/>
    <w:rsid w:val="00C23533"/>
    <w:rsid w:val="00C236D4"/>
    <w:rsid w:val="00C2387B"/>
    <w:rsid w:val="00C24DD2"/>
    <w:rsid w:val="00C24FEF"/>
    <w:rsid w:val="00C25444"/>
    <w:rsid w:val="00C304E3"/>
    <w:rsid w:val="00C315EB"/>
    <w:rsid w:val="00C32BA6"/>
    <w:rsid w:val="00C32FC1"/>
    <w:rsid w:val="00C34370"/>
    <w:rsid w:val="00C35025"/>
    <w:rsid w:val="00C3561D"/>
    <w:rsid w:val="00C36746"/>
    <w:rsid w:val="00C3734F"/>
    <w:rsid w:val="00C37AC0"/>
    <w:rsid w:val="00C37AF0"/>
    <w:rsid w:val="00C40D4A"/>
    <w:rsid w:val="00C41CBE"/>
    <w:rsid w:val="00C42B69"/>
    <w:rsid w:val="00C43577"/>
    <w:rsid w:val="00C4370E"/>
    <w:rsid w:val="00C437AE"/>
    <w:rsid w:val="00C4428E"/>
    <w:rsid w:val="00C443F2"/>
    <w:rsid w:val="00C44D6D"/>
    <w:rsid w:val="00C45108"/>
    <w:rsid w:val="00C46EFB"/>
    <w:rsid w:val="00C4769F"/>
    <w:rsid w:val="00C500F3"/>
    <w:rsid w:val="00C515AD"/>
    <w:rsid w:val="00C51A61"/>
    <w:rsid w:val="00C51ECA"/>
    <w:rsid w:val="00C5285D"/>
    <w:rsid w:val="00C53286"/>
    <w:rsid w:val="00C5378C"/>
    <w:rsid w:val="00C55ED6"/>
    <w:rsid w:val="00C5661A"/>
    <w:rsid w:val="00C57EB6"/>
    <w:rsid w:val="00C61107"/>
    <w:rsid w:val="00C626A7"/>
    <w:rsid w:val="00C6448F"/>
    <w:rsid w:val="00C65DB7"/>
    <w:rsid w:val="00C66B57"/>
    <w:rsid w:val="00C70F70"/>
    <w:rsid w:val="00C726D7"/>
    <w:rsid w:val="00C738B3"/>
    <w:rsid w:val="00C73929"/>
    <w:rsid w:val="00C741B3"/>
    <w:rsid w:val="00C7540A"/>
    <w:rsid w:val="00C754E5"/>
    <w:rsid w:val="00C7596E"/>
    <w:rsid w:val="00C77832"/>
    <w:rsid w:val="00C8214B"/>
    <w:rsid w:val="00C8239B"/>
    <w:rsid w:val="00C83553"/>
    <w:rsid w:val="00C84253"/>
    <w:rsid w:val="00C8544D"/>
    <w:rsid w:val="00C86744"/>
    <w:rsid w:val="00C8782B"/>
    <w:rsid w:val="00C90506"/>
    <w:rsid w:val="00C90B7A"/>
    <w:rsid w:val="00C911AC"/>
    <w:rsid w:val="00C912F7"/>
    <w:rsid w:val="00C92ACA"/>
    <w:rsid w:val="00C92BCC"/>
    <w:rsid w:val="00C93270"/>
    <w:rsid w:val="00C93D52"/>
    <w:rsid w:val="00C93FA1"/>
    <w:rsid w:val="00C94B7F"/>
    <w:rsid w:val="00CA0978"/>
    <w:rsid w:val="00CA21A3"/>
    <w:rsid w:val="00CA240D"/>
    <w:rsid w:val="00CA2543"/>
    <w:rsid w:val="00CA4128"/>
    <w:rsid w:val="00CA5D9D"/>
    <w:rsid w:val="00CA605C"/>
    <w:rsid w:val="00CA7392"/>
    <w:rsid w:val="00CA7581"/>
    <w:rsid w:val="00CB011A"/>
    <w:rsid w:val="00CB0C9A"/>
    <w:rsid w:val="00CB162E"/>
    <w:rsid w:val="00CB1894"/>
    <w:rsid w:val="00CB2573"/>
    <w:rsid w:val="00CB262C"/>
    <w:rsid w:val="00CB2CEE"/>
    <w:rsid w:val="00CB2D0D"/>
    <w:rsid w:val="00CB35F1"/>
    <w:rsid w:val="00CB38B8"/>
    <w:rsid w:val="00CB3CE3"/>
    <w:rsid w:val="00CB6725"/>
    <w:rsid w:val="00CB696F"/>
    <w:rsid w:val="00CC03FB"/>
    <w:rsid w:val="00CC0416"/>
    <w:rsid w:val="00CC0462"/>
    <w:rsid w:val="00CC0E3F"/>
    <w:rsid w:val="00CC2A20"/>
    <w:rsid w:val="00CC5244"/>
    <w:rsid w:val="00CC706C"/>
    <w:rsid w:val="00CC72F6"/>
    <w:rsid w:val="00CD0CE2"/>
    <w:rsid w:val="00CD1113"/>
    <w:rsid w:val="00CD2542"/>
    <w:rsid w:val="00CD3499"/>
    <w:rsid w:val="00CD4494"/>
    <w:rsid w:val="00CD58D8"/>
    <w:rsid w:val="00CD5EEC"/>
    <w:rsid w:val="00CD623D"/>
    <w:rsid w:val="00CD661D"/>
    <w:rsid w:val="00CD6DE0"/>
    <w:rsid w:val="00CE2781"/>
    <w:rsid w:val="00CE2AEF"/>
    <w:rsid w:val="00CE3507"/>
    <w:rsid w:val="00CE6076"/>
    <w:rsid w:val="00CE6CDE"/>
    <w:rsid w:val="00CF1385"/>
    <w:rsid w:val="00CF1CAD"/>
    <w:rsid w:val="00CF3139"/>
    <w:rsid w:val="00CF3538"/>
    <w:rsid w:val="00CF3EF0"/>
    <w:rsid w:val="00CF3F6A"/>
    <w:rsid w:val="00CF4B1D"/>
    <w:rsid w:val="00CF5045"/>
    <w:rsid w:val="00CF68EC"/>
    <w:rsid w:val="00CF6965"/>
    <w:rsid w:val="00CF7199"/>
    <w:rsid w:val="00CF73A3"/>
    <w:rsid w:val="00CF7928"/>
    <w:rsid w:val="00D0163B"/>
    <w:rsid w:val="00D02A12"/>
    <w:rsid w:val="00D038C1"/>
    <w:rsid w:val="00D05547"/>
    <w:rsid w:val="00D05F4E"/>
    <w:rsid w:val="00D0665C"/>
    <w:rsid w:val="00D071C9"/>
    <w:rsid w:val="00D07B70"/>
    <w:rsid w:val="00D104F1"/>
    <w:rsid w:val="00D1089E"/>
    <w:rsid w:val="00D12F71"/>
    <w:rsid w:val="00D137AF"/>
    <w:rsid w:val="00D14031"/>
    <w:rsid w:val="00D15B65"/>
    <w:rsid w:val="00D16012"/>
    <w:rsid w:val="00D20550"/>
    <w:rsid w:val="00D20D73"/>
    <w:rsid w:val="00D24EEE"/>
    <w:rsid w:val="00D253FD"/>
    <w:rsid w:val="00D3079F"/>
    <w:rsid w:val="00D30D2D"/>
    <w:rsid w:val="00D31B21"/>
    <w:rsid w:val="00D3201D"/>
    <w:rsid w:val="00D32DB4"/>
    <w:rsid w:val="00D332E0"/>
    <w:rsid w:val="00D34305"/>
    <w:rsid w:val="00D34353"/>
    <w:rsid w:val="00D346F9"/>
    <w:rsid w:val="00D35AB0"/>
    <w:rsid w:val="00D36EC4"/>
    <w:rsid w:val="00D37997"/>
    <w:rsid w:val="00D37E11"/>
    <w:rsid w:val="00D37FDD"/>
    <w:rsid w:val="00D40182"/>
    <w:rsid w:val="00D4157E"/>
    <w:rsid w:val="00D428E7"/>
    <w:rsid w:val="00D43FBD"/>
    <w:rsid w:val="00D45723"/>
    <w:rsid w:val="00D46484"/>
    <w:rsid w:val="00D50FF1"/>
    <w:rsid w:val="00D51B06"/>
    <w:rsid w:val="00D51EBA"/>
    <w:rsid w:val="00D522E3"/>
    <w:rsid w:val="00D524B3"/>
    <w:rsid w:val="00D5393C"/>
    <w:rsid w:val="00D54088"/>
    <w:rsid w:val="00D556D5"/>
    <w:rsid w:val="00D56227"/>
    <w:rsid w:val="00D61FC2"/>
    <w:rsid w:val="00D63A4C"/>
    <w:rsid w:val="00D6579C"/>
    <w:rsid w:val="00D66F85"/>
    <w:rsid w:val="00D67493"/>
    <w:rsid w:val="00D708DC"/>
    <w:rsid w:val="00D728CC"/>
    <w:rsid w:val="00D7329B"/>
    <w:rsid w:val="00D744A4"/>
    <w:rsid w:val="00D7455A"/>
    <w:rsid w:val="00D77BD9"/>
    <w:rsid w:val="00D77E67"/>
    <w:rsid w:val="00D80F5E"/>
    <w:rsid w:val="00D813C7"/>
    <w:rsid w:val="00D81A60"/>
    <w:rsid w:val="00D8227B"/>
    <w:rsid w:val="00D83252"/>
    <w:rsid w:val="00D83828"/>
    <w:rsid w:val="00D851AC"/>
    <w:rsid w:val="00D86092"/>
    <w:rsid w:val="00D86EA9"/>
    <w:rsid w:val="00D90953"/>
    <w:rsid w:val="00D91225"/>
    <w:rsid w:val="00D92172"/>
    <w:rsid w:val="00D92C4C"/>
    <w:rsid w:val="00D93353"/>
    <w:rsid w:val="00D9425A"/>
    <w:rsid w:val="00D968A4"/>
    <w:rsid w:val="00DA0014"/>
    <w:rsid w:val="00DA05DE"/>
    <w:rsid w:val="00DA0CBC"/>
    <w:rsid w:val="00DA2430"/>
    <w:rsid w:val="00DA2471"/>
    <w:rsid w:val="00DA291C"/>
    <w:rsid w:val="00DA30E1"/>
    <w:rsid w:val="00DA61D6"/>
    <w:rsid w:val="00DA7AC8"/>
    <w:rsid w:val="00DB0076"/>
    <w:rsid w:val="00DB1DB5"/>
    <w:rsid w:val="00DB3A10"/>
    <w:rsid w:val="00DB4A5C"/>
    <w:rsid w:val="00DB5687"/>
    <w:rsid w:val="00DB7C9B"/>
    <w:rsid w:val="00DB7DD2"/>
    <w:rsid w:val="00DC196D"/>
    <w:rsid w:val="00DC1E28"/>
    <w:rsid w:val="00DC2313"/>
    <w:rsid w:val="00DC2C3C"/>
    <w:rsid w:val="00DC3100"/>
    <w:rsid w:val="00DC38A2"/>
    <w:rsid w:val="00DC3FF2"/>
    <w:rsid w:val="00DC4177"/>
    <w:rsid w:val="00DC495B"/>
    <w:rsid w:val="00DC4C57"/>
    <w:rsid w:val="00DC54CF"/>
    <w:rsid w:val="00DC66A4"/>
    <w:rsid w:val="00DC6B7D"/>
    <w:rsid w:val="00DC7710"/>
    <w:rsid w:val="00DC783F"/>
    <w:rsid w:val="00DD03DA"/>
    <w:rsid w:val="00DD0A94"/>
    <w:rsid w:val="00DD1258"/>
    <w:rsid w:val="00DD2091"/>
    <w:rsid w:val="00DD3FB1"/>
    <w:rsid w:val="00DD40FF"/>
    <w:rsid w:val="00DE0B17"/>
    <w:rsid w:val="00DE2612"/>
    <w:rsid w:val="00DE33C9"/>
    <w:rsid w:val="00DE36C0"/>
    <w:rsid w:val="00DE3921"/>
    <w:rsid w:val="00DE4950"/>
    <w:rsid w:val="00DE5BD1"/>
    <w:rsid w:val="00DE70D3"/>
    <w:rsid w:val="00DE73D4"/>
    <w:rsid w:val="00DE7AA6"/>
    <w:rsid w:val="00DE7C2B"/>
    <w:rsid w:val="00DF2351"/>
    <w:rsid w:val="00DF326A"/>
    <w:rsid w:val="00DF53F3"/>
    <w:rsid w:val="00DF597E"/>
    <w:rsid w:val="00DF71D3"/>
    <w:rsid w:val="00E03746"/>
    <w:rsid w:val="00E03F4B"/>
    <w:rsid w:val="00E04ADE"/>
    <w:rsid w:val="00E04E2C"/>
    <w:rsid w:val="00E06D76"/>
    <w:rsid w:val="00E10762"/>
    <w:rsid w:val="00E1155F"/>
    <w:rsid w:val="00E11AA8"/>
    <w:rsid w:val="00E11DAC"/>
    <w:rsid w:val="00E1245C"/>
    <w:rsid w:val="00E129AC"/>
    <w:rsid w:val="00E12DC8"/>
    <w:rsid w:val="00E15A1B"/>
    <w:rsid w:val="00E16A88"/>
    <w:rsid w:val="00E20E66"/>
    <w:rsid w:val="00E21024"/>
    <w:rsid w:val="00E2192B"/>
    <w:rsid w:val="00E227FC"/>
    <w:rsid w:val="00E22ABD"/>
    <w:rsid w:val="00E238E2"/>
    <w:rsid w:val="00E23E09"/>
    <w:rsid w:val="00E23E50"/>
    <w:rsid w:val="00E24AFC"/>
    <w:rsid w:val="00E25E11"/>
    <w:rsid w:val="00E25EF0"/>
    <w:rsid w:val="00E269EF"/>
    <w:rsid w:val="00E273CF"/>
    <w:rsid w:val="00E30381"/>
    <w:rsid w:val="00E31970"/>
    <w:rsid w:val="00E31FEA"/>
    <w:rsid w:val="00E33A3A"/>
    <w:rsid w:val="00E34962"/>
    <w:rsid w:val="00E34F6F"/>
    <w:rsid w:val="00E366BC"/>
    <w:rsid w:val="00E374D5"/>
    <w:rsid w:val="00E433C2"/>
    <w:rsid w:val="00E44FD3"/>
    <w:rsid w:val="00E4568E"/>
    <w:rsid w:val="00E474CC"/>
    <w:rsid w:val="00E47CA0"/>
    <w:rsid w:val="00E50875"/>
    <w:rsid w:val="00E50D08"/>
    <w:rsid w:val="00E52956"/>
    <w:rsid w:val="00E53589"/>
    <w:rsid w:val="00E53E21"/>
    <w:rsid w:val="00E55E82"/>
    <w:rsid w:val="00E5626C"/>
    <w:rsid w:val="00E563E2"/>
    <w:rsid w:val="00E56EDE"/>
    <w:rsid w:val="00E57355"/>
    <w:rsid w:val="00E57C0B"/>
    <w:rsid w:val="00E600EF"/>
    <w:rsid w:val="00E61267"/>
    <w:rsid w:val="00E632EC"/>
    <w:rsid w:val="00E64ABA"/>
    <w:rsid w:val="00E659CB"/>
    <w:rsid w:val="00E65EB3"/>
    <w:rsid w:val="00E66409"/>
    <w:rsid w:val="00E66EFB"/>
    <w:rsid w:val="00E67178"/>
    <w:rsid w:val="00E679CC"/>
    <w:rsid w:val="00E67CB7"/>
    <w:rsid w:val="00E7077D"/>
    <w:rsid w:val="00E715F6"/>
    <w:rsid w:val="00E71F5B"/>
    <w:rsid w:val="00E72440"/>
    <w:rsid w:val="00E72894"/>
    <w:rsid w:val="00E72CE0"/>
    <w:rsid w:val="00E73376"/>
    <w:rsid w:val="00E73D7F"/>
    <w:rsid w:val="00E74EB7"/>
    <w:rsid w:val="00E7664A"/>
    <w:rsid w:val="00E80E72"/>
    <w:rsid w:val="00E839E4"/>
    <w:rsid w:val="00E83BEC"/>
    <w:rsid w:val="00E841D2"/>
    <w:rsid w:val="00E84387"/>
    <w:rsid w:val="00E8462A"/>
    <w:rsid w:val="00E84E62"/>
    <w:rsid w:val="00E854EE"/>
    <w:rsid w:val="00E86A1F"/>
    <w:rsid w:val="00E86C51"/>
    <w:rsid w:val="00E87142"/>
    <w:rsid w:val="00E90BE8"/>
    <w:rsid w:val="00E91098"/>
    <w:rsid w:val="00E91108"/>
    <w:rsid w:val="00E91303"/>
    <w:rsid w:val="00E91E77"/>
    <w:rsid w:val="00E92220"/>
    <w:rsid w:val="00E9380A"/>
    <w:rsid w:val="00E93D85"/>
    <w:rsid w:val="00E96A70"/>
    <w:rsid w:val="00EA0E7B"/>
    <w:rsid w:val="00EA1462"/>
    <w:rsid w:val="00EA1FE3"/>
    <w:rsid w:val="00EA3757"/>
    <w:rsid w:val="00EA4A70"/>
    <w:rsid w:val="00EA6B34"/>
    <w:rsid w:val="00EB03AC"/>
    <w:rsid w:val="00EB091A"/>
    <w:rsid w:val="00EB34E1"/>
    <w:rsid w:val="00EB35C2"/>
    <w:rsid w:val="00EB3EC1"/>
    <w:rsid w:val="00EB4324"/>
    <w:rsid w:val="00EB4D89"/>
    <w:rsid w:val="00EB51BD"/>
    <w:rsid w:val="00EB6459"/>
    <w:rsid w:val="00EB74F6"/>
    <w:rsid w:val="00EB78BD"/>
    <w:rsid w:val="00EB7E1F"/>
    <w:rsid w:val="00EC0035"/>
    <w:rsid w:val="00EC0B4F"/>
    <w:rsid w:val="00EC0BF0"/>
    <w:rsid w:val="00EC0E21"/>
    <w:rsid w:val="00EC43B2"/>
    <w:rsid w:val="00EC4FCF"/>
    <w:rsid w:val="00EC57DB"/>
    <w:rsid w:val="00EC6778"/>
    <w:rsid w:val="00EC69F1"/>
    <w:rsid w:val="00EC7C1F"/>
    <w:rsid w:val="00ED08CF"/>
    <w:rsid w:val="00ED1D28"/>
    <w:rsid w:val="00ED221A"/>
    <w:rsid w:val="00ED27AF"/>
    <w:rsid w:val="00ED2AE1"/>
    <w:rsid w:val="00ED391F"/>
    <w:rsid w:val="00ED4FF8"/>
    <w:rsid w:val="00ED686B"/>
    <w:rsid w:val="00EE1260"/>
    <w:rsid w:val="00EE133C"/>
    <w:rsid w:val="00EE1DF3"/>
    <w:rsid w:val="00EE1EEF"/>
    <w:rsid w:val="00EE2BBC"/>
    <w:rsid w:val="00EE3458"/>
    <w:rsid w:val="00EE4752"/>
    <w:rsid w:val="00EE6222"/>
    <w:rsid w:val="00EE625D"/>
    <w:rsid w:val="00EE7574"/>
    <w:rsid w:val="00EE7688"/>
    <w:rsid w:val="00EE7D16"/>
    <w:rsid w:val="00EF0786"/>
    <w:rsid w:val="00EF159A"/>
    <w:rsid w:val="00EF1619"/>
    <w:rsid w:val="00EF4019"/>
    <w:rsid w:val="00EF60A6"/>
    <w:rsid w:val="00EF64F5"/>
    <w:rsid w:val="00EF6575"/>
    <w:rsid w:val="00F0226A"/>
    <w:rsid w:val="00F02715"/>
    <w:rsid w:val="00F02D10"/>
    <w:rsid w:val="00F0327A"/>
    <w:rsid w:val="00F059F7"/>
    <w:rsid w:val="00F065C6"/>
    <w:rsid w:val="00F06CA3"/>
    <w:rsid w:val="00F10CE1"/>
    <w:rsid w:val="00F11829"/>
    <w:rsid w:val="00F11B56"/>
    <w:rsid w:val="00F13965"/>
    <w:rsid w:val="00F146E1"/>
    <w:rsid w:val="00F14E5C"/>
    <w:rsid w:val="00F1520B"/>
    <w:rsid w:val="00F1569E"/>
    <w:rsid w:val="00F156B6"/>
    <w:rsid w:val="00F158AD"/>
    <w:rsid w:val="00F15E70"/>
    <w:rsid w:val="00F15F71"/>
    <w:rsid w:val="00F1608E"/>
    <w:rsid w:val="00F17F2F"/>
    <w:rsid w:val="00F229D5"/>
    <w:rsid w:val="00F2420E"/>
    <w:rsid w:val="00F24717"/>
    <w:rsid w:val="00F24F56"/>
    <w:rsid w:val="00F25646"/>
    <w:rsid w:val="00F279EC"/>
    <w:rsid w:val="00F304F0"/>
    <w:rsid w:val="00F3335E"/>
    <w:rsid w:val="00F34B8B"/>
    <w:rsid w:val="00F350D1"/>
    <w:rsid w:val="00F36AE7"/>
    <w:rsid w:val="00F40ABB"/>
    <w:rsid w:val="00F420FF"/>
    <w:rsid w:val="00F422D9"/>
    <w:rsid w:val="00F42746"/>
    <w:rsid w:val="00F42756"/>
    <w:rsid w:val="00F440AF"/>
    <w:rsid w:val="00F44503"/>
    <w:rsid w:val="00F44EF7"/>
    <w:rsid w:val="00F45903"/>
    <w:rsid w:val="00F47663"/>
    <w:rsid w:val="00F52727"/>
    <w:rsid w:val="00F545CE"/>
    <w:rsid w:val="00F54846"/>
    <w:rsid w:val="00F60D14"/>
    <w:rsid w:val="00F62EE5"/>
    <w:rsid w:val="00F630D7"/>
    <w:rsid w:val="00F64875"/>
    <w:rsid w:val="00F64DF9"/>
    <w:rsid w:val="00F64FDC"/>
    <w:rsid w:val="00F65ADD"/>
    <w:rsid w:val="00F70452"/>
    <w:rsid w:val="00F712E8"/>
    <w:rsid w:val="00F71BC7"/>
    <w:rsid w:val="00F737BD"/>
    <w:rsid w:val="00F744A5"/>
    <w:rsid w:val="00F758AA"/>
    <w:rsid w:val="00F758E7"/>
    <w:rsid w:val="00F75C3B"/>
    <w:rsid w:val="00F8047B"/>
    <w:rsid w:val="00F8089C"/>
    <w:rsid w:val="00F80A73"/>
    <w:rsid w:val="00F80DA9"/>
    <w:rsid w:val="00F80DB8"/>
    <w:rsid w:val="00F80F10"/>
    <w:rsid w:val="00F8161D"/>
    <w:rsid w:val="00F82F5F"/>
    <w:rsid w:val="00F87017"/>
    <w:rsid w:val="00F875C7"/>
    <w:rsid w:val="00F8798E"/>
    <w:rsid w:val="00F90134"/>
    <w:rsid w:val="00F92848"/>
    <w:rsid w:val="00F94911"/>
    <w:rsid w:val="00F9543C"/>
    <w:rsid w:val="00F96566"/>
    <w:rsid w:val="00F96C6B"/>
    <w:rsid w:val="00F96F3F"/>
    <w:rsid w:val="00F97F51"/>
    <w:rsid w:val="00FA4F20"/>
    <w:rsid w:val="00FA591F"/>
    <w:rsid w:val="00FA669A"/>
    <w:rsid w:val="00FA68C9"/>
    <w:rsid w:val="00FA7867"/>
    <w:rsid w:val="00FB02C1"/>
    <w:rsid w:val="00FB1776"/>
    <w:rsid w:val="00FB25E3"/>
    <w:rsid w:val="00FB2870"/>
    <w:rsid w:val="00FB2A6A"/>
    <w:rsid w:val="00FB3D6D"/>
    <w:rsid w:val="00FB53D4"/>
    <w:rsid w:val="00FB7196"/>
    <w:rsid w:val="00FB7C75"/>
    <w:rsid w:val="00FC0862"/>
    <w:rsid w:val="00FC1392"/>
    <w:rsid w:val="00FC1D21"/>
    <w:rsid w:val="00FC28CD"/>
    <w:rsid w:val="00FC2A87"/>
    <w:rsid w:val="00FC4A94"/>
    <w:rsid w:val="00FC4C98"/>
    <w:rsid w:val="00FC5439"/>
    <w:rsid w:val="00FC5845"/>
    <w:rsid w:val="00FC58AB"/>
    <w:rsid w:val="00FC7B10"/>
    <w:rsid w:val="00FD14C9"/>
    <w:rsid w:val="00FD181F"/>
    <w:rsid w:val="00FD23E3"/>
    <w:rsid w:val="00FD2C4A"/>
    <w:rsid w:val="00FD2F36"/>
    <w:rsid w:val="00FD3921"/>
    <w:rsid w:val="00FD3C81"/>
    <w:rsid w:val="00FD3F2F"/>
    <w:rsid w:val="00FD41DF"/>
    <w:rsid w:val="00FD48B6"/>
    <w:rsid w:val="00FD5BF2"/>
    <w:rsid w:val="00FD651F"/>
    <w:rsid w:val="00FE1A62"/>
    <w:rsid w:val="00FE39F0"/>
    <w:rsid w:val="00FE3EEF"/>
    <w:rsid w:val="00FE48EA"/>
    <w:rsid w:val="00FE5E4A"/>
    <w:rsid w:val="00FE6A51"/>
    <w:rsid w:val="00FE7319"/>
    <w:rsid w:val="00FF0B56"/>
    <w:rsid w:val="00FF0CCC"/>
    <w:rsid w:val="00FF11BD"/>
    <w:rsid w:val="00FF317F"/>
    <w:rsid w:val="00FF406B"/>
    <w:rsid w:val="00FF44DB"/>
    <w:rsid w:val="00FF4CFC"/>
    <w:rsid w:val="00FF513F"/>
    <w:rsid w:val="00FF55CE"/>
    <w:rsid w:val="00FF5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703D86B-CCF5-47E0-9F18-848D23B9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customStyle="1" w:styleId="Default">
    <w:name w:val="Default"/>
    <w:rsid w:val="009B0EEA"/>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link w:val="OdstavekseznamaZnak"/>
    <w:uiPriority w:val="34"/>
    <w:qFormat/>
    <w:rsid w:val="002F4FA2"/>
    <w:pPr>
      <w:ind w:left="720"/>
      <w:contextualSpacing/>
    </w:pPr>
  </w:style>
  <w:style w:type="character" w:styleId="Pripombasklic">
    <w:name w:val="annotation reference"/>
    <w:basedOn w:val="Privzetapisavaodstavka"/>
    <w:unhideWhenUsed/>
    <w:rsid w:val="003B07FE"/>
    <w:rPr>
      <w:sz w:val="16"/>
      <w:szCs w:val="16"/>
    </w:rPr>
  </w:style>
  <w:style w:type="paragraph" w:styleId="Pripombabesedilo">
    <w:name w:val="annotation text"/>
    <w:basedOn w:val="Navaden"/>
    <w:link w:val="PripombabesediloZnak"/>
    <w:unhideWhenUsed/>
    <w:rsid w:val="003B07FE"/>
    <w:rPr>
      <w:sz w:val="20"/>
      <w:szCs w:val="20"/>
    </w:rPr>
  </w:style>
  <w:style w:type="character" w:customStyle="1" w:styleId="PripombabesediloZnak">
    <w:name w:val="Pripomba – besedilo Znak"/>
    <w:basedOn w:val="Privzetapisavaodstavka"/>
    <w:link w:val="Pripombabesedilo"/>
    <w:rsid w:val="003B07FE"/>
    <w:rPr>
      <w:rFonts w:ascii="Times New Roman" w:hAnsi="Times New Roman" w:cs="Times New Roman"/>
      <w:sz w:val="20"/>
      <w:szCs w:val="20"/>
    </w:rPr>
  </w:style>
  <w:style w:type="paragraph" w:styleId="Zadevapripombe">
    <w:name w:val="annotation subject"/>
    <w:basedOn w:val="Pripombabesedilo"/>
    <w:next w:val="Pripombabesedilo"/>
    <w:link w:val="ZadevapripombeZnak"/>
    <w:unhideWhenUsed/>
    <w:rsid w:val="003B07FE"/>
    <w:rPr>
      <w:b/>
      <w:bCs/>
    </w:rPr>
  </w:style>
  <w:style w:type="character" w:customStyle="1" w:styleId="ZadevapripombeZnak">
    <w:name w:val="Zadeva pripombe Znak"/>
    <w:basedOn w:val="PripombabesediloZnak"/>
    <w:link w:val="Zadevapripombe"/>
    <w:rsid w:val="003B07FE"/>
    <w:rPr>
      <w:rFonts w:ascii="Times New Roman" w:hAnsi="Times New Roman" w:cs="Times New Roman"/>
      <w:b/>
      <w:bCs/>
      <w:sz w:val="20"/>
      <w:szCs w:val="20"/>
    </w:rPr>
  </w:style>
  <w:style w:type="paragraph" w:styleId="Revizija">
    <w:name w:val="Revision"/>
    <w:hidden/>
    <w:uiPriority w:val="99"/>
    <w:semiHidden/>
    <w:rsid w:val="003B07FE"/>
    <w:pPr>
      <w:spacing w:after="0" w:line="240" w:lineRule="auto"/>
    </w:pPr>
    <w:rPr>
      <w:rFonts w:ascii="Times New Roman" w:hAnsi="Times New Roman" w:cs="Times New Roman"/>
    </w:rPr>
  </w:style>
  <w:style w:type="paragraph" w:styleId="Besedilooblaka">
    <w:name w:val="Balloon Text"/>
    <w:basedOn w:val="Navaden"/>
    <w:link w:val="BesedilooblakaZnak"/>
    <w:unhideWhenUsed/>
    <w:rsid w:val="003B07FE"/>
    <w:rPr>
      <w:rFonts w:ascii="Tahoma" w:hAnsi="Tahoma" w:cs="Tahoma"/>
      <w:sz w:val="16"/>
      <w:szCs w:val="16"/>
    </w:rPr>
  </w:style>
  <w:style w:type="character" w:customStyle="1" w:styleId="BesedilooblakaZnak">
    <w:name w:val="Besedilo oblačka Znak"/>
    <w:basedOn w:val="Privzetapisavaodstavka"/>
    <w:link w:val="Besedilooblaka"/>
    <w:rsid w:val="003B07FE"/>
    <w:rPr>
      <w:rFonts w:ascii="Tahoma" w:hAnsi="Tahoma" w:cs="Tahoma"/>
      <w:sz w:val="16"/>
      <w:szCs w:val="16"/>
    </w:rPr>
  </w:style>
  <w:style w:type="paragraph" w:styleId="Glava">
    <w:name w:val="header"/>
    <w:basedOn w:val="Navaden"/>
    <w:link w:val="GlavaZnak"/>
    <w:uiPriority w:val="99"/>
    <w:unhideWhenUsed/>
    <w:rsid w:val="00EA6B34"/>
    <w:pPr>
      <w:tabs>
        <w:tab w:val="center" w:pos="4536"/>
        <w:tab w:val="right" w:pos="9072"/>
      </w:tabs>
    </w:pPr>
  </w:style>
  <w:style w:type="character" w:customStyle="1" w:styleId="GlavaZnak">
    <w:name w:val="Glava Znak"/>
    <w:basedOn w:val="Privzetapisavaodstavka"/>
    <w:link w:val="Glava"/>
    <w:uiPriority w:val="99"/>
    <w:rsid w:val="00EA6B34"/>
    <w:rPr>
      <w:rFonts w:ascii="Times New Roman" w:hAnsi="Times New Roman" w:cs="Times New Roman"/>
    </w:rPr>
  </w:style>
  <w:style w:type="paragraph" w:styleId="Noga">
    <w:name w:val="footer"/>
    <w:basedOn w:val="Navaden"/>
    <w:link w:val="NogaZnak"/>
    <w:uiPriority w:val="99"/>
    <w:unhideWhenUsed/>
    <w:rsid w:val="00EA6B34"/>
    <w:pPr>
      <w:tabs>
        <w:tab w:val="center" w:pos="4536"/>
        <w:tab w:val="right" w:pos="9072"/>
      </w:tabs>
    </w:pPr>
  </w:style>
  <w:style w:type="character" w:customStyle="1" w:styleId="NogaZnak">
    <w:name w:val="Noga Znak"/>
    <w:basedOn w:val="Privzetapisavaodstavka"/>
    <w:link w:val="Noga"/>
    <w:uiPriority w:val="99"/>
    <w:rsid w:val="00EA6B34"/>
    <w:rPr>
      <w:rFonts w:ascii="Times New Roman" w:hAnsi="Times New Roman" w:cs="Times New Roman"/>
    </w:rPr>
  </w:style>
  <w:style w:type="paragraph" w:styleId="Naslovnaslovnika">
    <w:name w:val="envelope address"/>
    <w:basedOn w:val="Navaden"/>
    <w:rsid w:val="00B75301"/>
    <w:pPr>
      <w:framePr w:w="7920" w:h="1980" w:hRule="exact" w:hSpace="180" w:wrap="auto" w:hAnchor="page" w:xAlign="center" w:yAlign="bottom"/>
      <w:ind w:left="2880"/>
    </w:pPr>
    <w:rPr>
      <w:rFonts w:eastAsia="Times New Roman"/>
      <w:sz w:val="24"/>
      <w:szCs w:val="20"/>
      <w:lang w:eastAsia="sl-SI"/>
    </w:rPr>
  </w:style>
  <w:style w:type="character" w:styleId="tevilkastrani">
    <w:name w:val="page number"/>
    <w:rsid w:val="00B75301"/>
    <w:rPr>
      <w:rFonts w:ascii="Times New Roman" w:hAnsi="Times New Roman"/>
      <w:sz w:val="22"/>
    </w:rPr>
  </w:style>
  <w:style w:type="paragraph" w:customStyle="1" w:styleId="zadevazd">
    <w:name w:val="zadeva$zd"/>
    <w:basedOn w:val="Navaden"/>
    <w:rsid w:val="00B75301"/>
    <w:pPr>
      <w:ind w:left="851" w:hanging="851"/>
    </w:pPr>
    <w:rPr>
      <w:rFonts w:eastAsia="Times New Roman"/>
      <w:szCs w:val="20"/>
      <w:lang w:eastAsia="sl-SI"/>
    </w:rPr>
  </w:style>
  <w:style w:type="paragraph" w:customStyle="1" w:styleId="Slog1">
    <w:name w:val="Slog1"/>
    <w:basedOn w:val="Navaden"/>
    <w:autoRedefine/>
    <w:rsid w:val="00B75301"/>
    <w:pPr>
      <w:jc w:val="right"/>
    </w:pPr>
    <w:rPr>
      <w:rFonts w:eastAsia="Times New Roman"/>
      <w:szCs w:val="20"/>
      <w:lang w:eastAsia="sl-SI"/>
    </w:rPr>
  </w:style>
  <w:style w:type="paragraph" w:customStyle="1" w:styleId="VSEBINADOPISA">
    <w:name w:val="VSEBINADOPISA"/>
    <w:autoRedefine/>
    <w:rsid w:val="00B75301"/>
    <w:pPr>
      <w:spacing w:after="0" w:line="240" w:lineRule="auto"/>
      <w:jc w:val="both"/>
    </w:pPr>
    <w:rPr>
      <w:rFonts w:ascii="Times New Roman" w:eastAsia="Times New Roman" w:hAnsi="Times New Roman" w:cs="Times New Roman"/>
      <w:noProof/>
      <w:szCs w:val="20"/>
      <w:lang w:eastAsia="sl-SI"/>
    </w:rPr>
  </w:style>
  <w:style w:type="character" w:styleId="Besedilooznabemesta">
    <w:name w:val="Placeholder Text"/>
    <w:basedOn w:val="Privzetapisavaodstavka"/>
    <w:uiPriority w:val="99"/>
    <w:semiHidden/>
    <w:rsid w:val="00B75301"/>
    <w:rPr>
      <w:color w:val="808080"/>
    </w:rPr>
  </w:style>
  <w:style w:type="paragraph" w:styleId="Sprotnaopomba-besedilo">
    <w:name w:val="footnote text"/>
    <w:basedOn w:val="Navaden"/>
    <w:link w:val="Sprotnaopomba-besediloZnak"/>
    <w:uiPriority w:val="99"/>
    <w:rsid w:val="00B75301"/>
    <w:pPr>
      <w:jc w:val="both"/>
    </w:pPr>
    <w:rPr>
      <w:rFonts w:eastAsia="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B75301"/>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rsid w:val="00B75301"/>
    <w:rPr>
      <w:vertAlign w:val="superscript"/>
    </w:rPr>
  </w:style>
  <w:style w:type="character" w:styleId="Hiperpovezava">
    <w:name w:val="Hyperlink"/>
    <w:basedOn w:val="Privzetapisavaodstavka"/>
    <w:uiPriority w:val="99"/>
    <w:rsid w:val="00B75301"/>
    <w:rPr>
      <w:color w:val="0000FF"/>
      <w:u w:val="single"/>
    </w:rPr>
  </w:style>
  <w:style w:type="paragraph" w:customStyle="1" w:styleId="Odstavek-rtica">
    <w:name w:val="Odstavek - črtica"/>
    <w:basedOn w:val="Navaden"/>
    <w:link w:val="Odstavek-rticaZnak"/>
    <w:rsid w:val="00B75301"/>
    <w:pPr>
      <w:numPr>
        <w:numId w:val="1"/>
      </w:numPr>
      <w:spacing w:before="240"/>
      <w:jc w:val="both"/>
    </w:pPr>
    <w:rPr>
      <w:rFonts w:eastAsia="Times New Roman"/>
      <w:lang w:eastAsia="sl-SI"/>
    </w:rPr>
  </w:style>
  <w:style w:type="character" w:customStyle="1" w:styleId="Odstavek-rticaZnak">
    <w:name w:val="Odstavek - črtica Znak"/>
    <w:basedOn w:val="Privzetapisavaodstavka"/>
    <w:link w:val="Odstavek-rtica"/>
    <w:rsid w:val="00B75301"/>
    <w:rPr>
      <w:rFonts w:ascii="Times New Roman" w:eastAsia="Times New Roman" w:hAnsi="Times New Roman" w:cs="Times New Roman"/>
      <w:lang w:eastAsia="sl-SI"/>
    </w:rPr>
  </w:style>
  <w:style w:type="paragraph" w:customStyle="1" w:styleId="Opredelitve">
    <w:name w:val="Opredelitve"/>
    <w:basedOn w:val="Navaden"/>
    <w:link w:val="OpredelitveZnakZnak"/>
    <w:rsid w:val="00B75301"/>
    <w:pPr>
      <w:numPr>
        <w:numId w:val="2"/>
      </w:numPr>
      <w:jc w:val="both"/>
    </w:pPr>
    <w:rPr>
      <w:rFonts w:eastAsia="Times New Roman"/>
      <w:lang w:eastAsia="sl-SI"/>
    </w:rPr>
  </w:style>
  <w:style w:type="character" w:customStyle="1" w:styleId="OpredelitveZnakZnak">
    <w:name w:val="Opredelitve Znak Znak"/>
    <w:basedOn w:val="Privzetapisavaodstavka"/>
    <w:link w:val="Opredelitve"/>
    <w:rsid w:val="00B75301"/>
    <w:rPr>
      <w:rFonts w:ascii="Times New Roman" w:eastAsia="Times New Roman" w:hAnsi="Times New Roman" w:cs="Times New Roman"/>
      <w:lang w:eastAsia="sl-SI"/>
    </w:rPr>
  </w:style>
  <w:style w:type="table" w:styleId="Tabelamrea">
    <w:name w:val="Table Grid"/>
    <w:basedOn w:val="Navadnatabela"/>
    <w:uiPriority w:val="59"/>
    <w:rsid w:val="00B75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fc">
    <w:name w:val="mrppfc"/>
    <w:basedOn w:val="Privzetapisavaodstavka"/>
    <w:rsid w:val="00B75301"/>
    <w:rPr>
      <w:b/>
      <w:bCs/>
    </w:rPr>
  </w:style>
  <w:style w:type="character" w:customStyle="1" w:styleId="mrppsc">
    <w:name w:val="mrppsc"/>
    <w:basedOn w:val="Privzetapisavaodstavka"/>
    <w:rsid w:val="00B75301"/>
  </w:style>
  <w:style w:type="character" w:customStyle="1" w:styleId="OdstavekseznamaZnak">
    <w:name w:val="Odstavek seznama Znak"/>
    <w:link w:val="Odstavekseznama"/>
    <w:uiPriority w:val="34"/>
    <w:locked/>
    <w:rsid w:val="00B75301"/>
    <w:rPr>
      <w:rFonts w:ascii="Times New Roman" w:hAnsi="Times New Roman" w:cs="Times New Roman"/>
    </w:rPr>
  </w:style>
  <w:style w:type="character" w:styleId="SledenaHiperpovezava">
    <w:name w:val="FollowedHyperlink"/>
    <w:basedOn w:val="Privzetapisavaodstavka"/>
    <w:rsid w:val="00B75301"/>
    <w:rPr>
      <w:color w:val="800080" w:themeColor="followedHyperlink"/>
      <w:u w:val="single"/>
    </w:rPr>
  </w:style>
  <w:style w:type="paragraph" w:customStyle="1" w:styleId="CM1">
    <w:name w:val="CM1"/>
    <w:basedOn w:val="Default"/>
    <w:next w:val="Default"/>
    <w:uiPriority w:val="99"/>
    <w:rsid w:val="00B75301"/>
    <w:rPr>
      <w:rFonts w:ascii="EUAlbertina" w:eastAsia="Times New Roman" w:hAnsi="EUAlbertina"/>
      <w:color w:val="auto"/>
      <w:lang w:eastAsia="sl-SI"/>
    </w:rPr>
  </w:style>
  <w:style w:type="paragraph" w:customStyle="1" w:styleId="CM3">
    <w:name w:val="CM3"/>
    <w:basedOn w:val="Default"/>
    <w:next w:val="Default"/>
    <w:uiPriority w:val="99"/>
    <w:rsid w:val="00B75301"/>
    <w:rPr>
      <w:rFonts w:ascii="EUAlbertina" w:eastAsia="Times New Roman" w:hAnsi="EUAlbertina"/>
      <w:color w:val="auto"/>
      <w:lang w:eastAsia="sl-SI"/>
    </w:rPr>
  </w:style>
  <w:style w:type="paragraph" w:customStyle="1" w:styleId="CM4">
    <w:name w:val="CM4"/>
    <w:basedOn w:val="Default"/>
    <w:next w:val="Default"/>
    <w:uiPriority w:val="99"/>
    <w:rsid w:val="00B75301"/>
    <w:rPr>
      <w:rFonts w:ascii="EUAlbertina" w:eastAsia="Times New Roman" w:hAnsi="EUAlbertina"/>
      <w:color w:val="auto"/>
      <w:lang w:eastAsia="sl-SI"/>
    </w:rPr>
  </w:style>
  <w:style w:type="paragraph" w:styleId="Navadensplet">
    <w:name w:val="Normal (Web)"/>
    <w:basedOn w:val="Navaden"/>
    <w:uiPriority w:val="99"/>
    <w:unhideWhenUsed/>
    <w:rsid w:val="00B75301"/>
    <w:pPr>
      <w:spacing w:after="240"/>
    </w:pPr>
    <w:rPr>
      <w:rFonts w:eastAsia="Times New Roman"/>
      <w:sz w:val="24"/>
      <w:szCs w:val="24"/>
      <w:lang w:eastAsia="sl-SI"/>
    </w:rPr>
  </w:style>
  <w:style w:type="character" w:styleId="Poudarek">
    <w:name w:val="Emphasis"/>
    <w:basedOn w:val="Privzetapisavaodstavka"/>
    <w:uiPriority w:val="20"/>
    <w:qFormat/>
    <w:rsid w:val="00B75301"/>
    <w:rPr>
      <w:i/>
      <w:iCs/>
    </w:rPr>
  </w:style>
  <w:style w:type="paragraph" w:styleId="Napis">
    <w:name w:val="caption"/>
    <w:basedOn w:val="Navaden"/>
    <w:next w:val="Navaden"/>
    <w:unhideWhenUsed/>
    <w:qFormat/>
    <w:rsid w:val="00B75301"/>
    <w:pPr>
      <w:spacing w:after="200"/>
    </w:pPr>
    <w:rPr>
      <w:rFonts w:eastAsia="Times New Roman"/>
      <w:b/>
      <w:bCs/>
      <w:color w:val="4F81BD" w:themeColor="accent1"/>
      <w:sz w:val="18"/>
      <w:szCs w:val="18"/>
      <w:lang w:eastAsia="sl-SI"/>
    </w:rPr>
  </w:style>
  <w:style w:type="character" w:customStyle="1" w:styleId="definition">
    <w:name w:val="definition"/>
    <w:basedOn w:val="Privzetapisavaodstavka"/>
    <w:rsid w:val="00BE322D"/>
    <w:rPr>
      <w:color w:val="666666"/>
    </w:rPr>
  </w:style>
  <w:style w:type="character" w:customStyle="1" w:styleId="italic">
    <w:name w:val="italic"/>
    <w:basedOn w:val="Privzetapisavaodstavka"/>
    <w:rsid w:val="001B7761"/>
    <w:rPr>
      <w:i/>
      <w:iCs/>
    </w:rPr>
  </w:style>
  <w:style w:type="character" w:customStyle="1" w:styleId="bold">
    <w:name w:val="bold"/>
    <w:basedOn w:val="Privzetapisavaodstavka"/>
    <w:rsid w:val="001B7761"/>
    <w:rPr>
      <w:b/>
      <w:bCs/>
    </w:rPr>
  </w:style>
  <w:style w:type="paragraph" w:styleId="Telobesedila-zamik">
    <w:name w:val="Body Text Indent"/>
    <w:basedOn w:val="Navaden"/>
    <w:link w:val="Telobesedila-zamikZnak"/>
    <w:rsid w:val="00EC0E21"/>
    <w:pPr>
      <w:autoSpaceDE w:val="0"/>
      <w:autoSpaceDN w:val="0"/>
      <w:adjustRightInd w:val="0"/>
      <w:ind w:left="1416" w:hanging="705"/>
      <w:jc w:val="both"/>
    </w:pPr>
    <w:rPr>
      <w:rFonts w:ascii="TimesNewRoman" w:eastAsia="Times New Roman" w:hAnsi="TimesNewRoman"/>
      <w:szCs w:val="20"/>
      <w:lang w:eastAsia="sl-SI"/>
    </w:rPr>
  </w:style>
  <w:style w:type="character" w:customStyle="1" w:styleId="Telobesedila-zamikZnak">
    <w:name w:val="Telo besedila - zamik Znak"/>
    <w:basedOn w:val="Privzetapisavaodstavka"/>
    <w:link w:val="Telobesedila-zamik"/>
    <w:rsid w:val="00EC0E21"/>
    <w:rPr>
      <w:rFonts w:ascii="TimesNewRoman" w:eastAsia="Times New Roman" w:hAnsi="TimesNewRoman" w:cs="Times New Roman"/>
      <w:szCs w:val="20"/>
      <w:lang w:eastAsia="sl-SI"/>
    </w:rPr>
  </w:style>
  <w:style w:type="paragraph" w:customStyle="1" w:styleId="esegmentc1">
    <w:name w:val="esegment_c1"/>
    <w:basedOn w:val="Navaden"/>
    <w:rsid w:val="00EC0E21"/>
    <w:pPr>
      <w:spacing w:after="153"/>
    </w:pPr>
    <w:rPr>
      <w:rFonts w:eastAsia="Times New Roman"/>
      <w:color w:val="333333"/>
      <w:sz w:val="13"/>
      <w:szCs w:val="13"/>
      <w:lang w:eastAsia="sl-SI"/>
    </w:rPr>
  </w:style>
  <w:style w:type="paragraph" w:styleId="Telobesedila">
    <w:name w:val="Body Text"/>
    <w:basedOn w:val="Navaden"/>
    <w:link w:val="TelobesedilaZnak"/>
    <w:uiPriority w:val="99"/>
    <w:semiHidden/>
    <w:unhideWhenUsed/>
    <w:rsid w:val="00993754"/>
    <w:pPr>
      <w:spacing w:after="120"/>
    </w:pPr>
  </w:style>
  <w:style w:type="character" w:customStyle="1" w:styleId="TelobesedilaZnak">
    <w:name w:val="Telo besedila Znak"/>
    <w:basedOn w:val="Privzetapisavaodstavka"/>
    <w:link w:val="Telobesedila"/>
    <w:uiPriority w:val="99"/>
    <w:semiHidden/>
    <w:rsid w:val="00993754"/>
    <w:rPr>
      <w:rFonts w:ascii="Times New Roman" w:hAnsi="Times New Roman" w:cs="Times New Roman"/>
    </w:rPr>
  </w:style>
  <w:style w:type="character" w:styleId="Naslovknjige">
    <w:name w:val="Book Title"/>
    <w:basedOn w:val="Privzetapisavaodstavka"/>
    <w:uiPriority w:val="33"/>
    <w:qFormat/>
    <w:rsid w:val="00D7455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018">
      <w:bodyDiv w:val="1"/>
      <w:marLeft w:val="0"/>
      <w:marRight w:val="0"/>
      <w:marTop w:val="0"/>
      <w:marBottom w:val="0"/>
      <w:divBdr>
        <w:top w:val="none" w:sz="0" w:space="0" w:color="auto"/>
        <w:left w:val="none" w:sz="0" w:space="0" w:color="auto"/>
        <w:bottom w:val="none" w:sz="0" w:space="0" w:color="auto"/>
        <w:right w:val="none" w:sz="0" w:space="0" w:color="auto"/>
      </w:divBdr>
    </w:div>
    <w:div w:id="150559092">
      <w:bodyDiv w:val="1"/>
      <w:marLeft w:val="0"/>
      <w:marRight w:val="0"/>
      <w:marTop w:val="0"/>
      <w:marBottom w:val="0"/>
      <w:divBdr>
        <w:top w:val="none" w:sz="0" w:space="0" w:color="auto"/>
        <w:left w:val="none" w:sz="0" w:space="0" w:color="auto"/>
        <w:bottom w:val="none" w:sz="0" w:space="0" w:color="auto"/>
        <w:right w:val="none" w:sz="0" w:space="0" w:color="auto"/>
      </w:divBdr>
      <w:divsChild>
        <w:div w:id="161823966">
          <w:marLeft w:val="1166"/>
          <w:marRight w:val="0"/>
          <w:marTop w:val="58"/>
          <w:marBottom w:val="0"/>
          <w:divBdr>
            <w:top w:val="none" w:sz="0" w:space="0" w:color="auto"/>
            <w:left w:val="none" w:sz="0" w:space="0" w:color="auto"/>
            <w:bottom w:val="none" w:sz="0" w:space="0" w:color="auto"/>
            <w:right w:val="none" w:sz="0" w:space="0" w:color="auto"/>
          </w:divBdr>
        </w:div>
        <w:div w:id="442696473">
          <w:marLeft w:val="1166"/>
          <w:marRight w:val="0"/>
          <w:marTop w:val="58"/>
          <w:marBottom w:val="0"/>
          <w:divBdr>
            <w:top w:val="none" w:sz="0" w:space="0" w:color="auto"/>
            <w:left w:val="none" w:sz="0" w:space="0" w:color="auto"/>
            <w:bottom w:val="none" w:sz="0" w:space="0" w:color="auto"/>
            <w:right w:val="none" w:sz="0" w:space="0" w:color="auto"/>
          </w:divBdr>
        </w:div>
        <w:div w:id="826871123">
          <w:marLeft w:val="1166"/>
          <w:marRight w:val="0"/>
          <w:marTop w:val="58"/>
          <w:marBottom w:val="0"/>
          <w:divBdr>
            <w:top w:val="none" w:sz="0" w:space="0" w:color="auto"/>
            <w:left w:val="none" w:sz="0" w:space="0" w:color="auto"/>
            <w:bottom w:val="none" w:sz="0" w:space="0" w:color="auto"/>
            <w:right w:val="none" w:sz="0" w:space="0" w:color="auto"/>
          </w:divBdr>
        </w:div>
        <w:div w:id="842622993">
          <w:marLeft w:val="1166"/>
          <w:marRight w:val="0"/>
          <w:marTop w:val="58"/>
          <w:marBottom w:val="0"/>
          <w:divBdr>
            <w:top w:val="none" w:sz="0" w:space="0" w:color="auto"/>
            <w:left w:val="none" w:sz="0" w:space="0" w:color="auto"/>
            <w:bottom w:val="none" w:sz="0" w:space="0" w:color="auto"/>
            <w:right w:val="none" w:sz="0" w:space="0" w:color="auto"/>
          </w:divBdr>
        </w:div>
        <w:div w:id="1012805789">
          <w:marLeft w:val="1166"/>
          <w:marRight w:val="0"/>
          <w:marTop w:val="58"/>
          <w:marBottom w:val="0"/>
          <w:divBdr>
            <w:top w:val="none" w:sz="0" w:space="0" w:color="auto"/>
            <w:left w:val="none" w:sz="0" w:space="0" w:color="auto"/>
            <w:bottom w:val="none" w:sz="0" w:space="0" w:color="auto"/>
            <w:right w:val="none" w:sz="0" w:space="0" w:color="auto"/>
          </w:divBdr>
        </w:div>
        <w:div w:id="1020739004">
          <w:marLeft w:val="1166"/>
          <w:marRight w:val="0"/>
          <w:marTop w:val="58"/>
          <w:marBottom w:val="0"/>
          <w:divBdr>
            <w:top w:val="none" w:sz="0" w:space="0" w:color="auto"/>
            <w:left w:val="none" w:sz="0" w:space="0" w:color="auto"/>
            <w:bottom w:val="none" w:sz="0" w:space="0" w:color="auto"/>
            <w:right w:val="none" w:sz="0" w:space="0" w:color="auto"/>
          </w:divBdr>
        </w:div>
        <w:div w:id="1045258234">
          <w:marLeft w:val="1166"/>
          <w:marRight w:val="0"/>
          <w:marTop w:val="58"/>
          <w:marBottom w:val="0"/>
          <w:divBdr>
            <w:top w:val="none" w:sz="0" w:space="0" w:color="auto"/>
            <w:left w:val="none" w:sz="0" w:space="0" w:color="auto"/>
            <w:bottom w:val="none" w:sz="0" w:space="0" w:color="auto"/>
            <w:right w:val="none" w:sz="0" w:space="0" w:color="auto"/>
          </w:divBdr>
        </w:div>
        <w:div w:id="1134759784">
          <w:marLeft w:val="1166"/>
          <w:marRight w:val="0"/>
          <w:marTop w:val="58"/>
          <w:marBottom w:val="0"/>
          <w:divBdr>
            <w:top w:val="none" w:sz="0" w:space="0" w:color="auto"/>
            <w:left w:val="none" w:sz="0" w:space="0" w:color="auto"/>
            <w:bottom w:val="none" w:sz="0" w:space="0" w:color="auto"/>
            <w:right w:val="none" w:sz="0" w:space="0" w:color="auto"/>
          </w:divBdr>
        </w:div>
        <w:div w:id="1214778123">
          <w:marLeft w:val="1166"/>
          <w:marRight w:val="0"/>
          <w:marTop w:val="58"/>
          <w:marBottom w:val="0"/>
          <w:divBdr>
            <w:top w:val="none" w:sz="0" w:space="0" w:color="auto"/>
            <w:left w:val="none" w:sz="0" w:space="0" w:color="auto"/>
            <w:bottom w:val="none" w:sz="0" w:space="0" w:color="auto"/>
            <w:right w:val="none" w:sz="0" w:space="0" w:color="auto"/>
          </w:divBdr>
        </w:div>
        <w:div w:id="1284851053">
          <w:marLeft w:val="1166"/>
          <w:marRight w:val="0"/>
          <w:marTop w:val="58"/>
          <w:marBottom w:val="0"/>
          <w:divBdr>
            <w:top w:val="none" w:sz="0" w:space="0" w:color="auto"/>
            <w:left w:val="none" w:sz="0" w:space="0" w:color="auto"/>
            <w:bottom w:val="none" w:sz="0" w:space="0" w:color="auto"/>
            <w:right w:val="none" w:sz="0" w:space="0" w:color="auto"/>
          </w:divBdr>
        </w:div>
        <w:div w:id="1323580887">
          <w:marLeft w:val="1166"/>
          <w:marRight w:val="0"/>
          <w:marTop w:val="58"/>
          <w:marBottom w:val="0"/>
          <w:divBdr>
            <w:top w:val="none" w:sz="0" w:space="0" w:color="auto"/>
            <w:left w:val="none" w:sz="0" w:space="0" w:color="auto"/>
            <w:bottom w:val="none" w:sz="0" w:space="0" w:color="auto"/>
            <w:right w:val="none" w:sz="0" w:space="0" w:color="auto"/>
          </w:divBdr>
        </w:div>
        <w:div w:id="1724677945">
          <w:marLeft w:val="1166"/>
          <w:marRight w:val="0"/>
          <w:marTop w:val="58"/>
          <w:marBottom w:val="0"/>
          <w:divBdr>
            <w:top w:val="none" w:sz="0" w:space="0" w:color="auto"/>
            <w:left w:val="none" w:sz="0" w:space="0" w:color="auto"/>
            <w:bottom w:val="none" w:sz="0" w:space="0" w:color="auto"/>
            <w:right w:val="none" w:sz="0" w:space="0" w:color="auto"/>
          </w:divBdr>
        </w:div>
        <w:div w:id="1937638907">
          <w:marLeft w:val="1166"/>
          <w:marRight w:val="0"/>
          <w:marTop w:val="58"/>
          <w:marBottom w:val="0"/>
          <w:divBdr>
            <w:top w:val="none" w:sz="0" w:space="0" w:color="auto"/>
            <w:left w:val="none" w:sz="0" w:space="0" w:color="auto"/>
            <w:bottom w:val="none" w:sz="0" w:space="0" w:color="auto"/>
            <w:right w:val="none" w:sz="0" w:space="0" w:color="auto"/>
          </w:divBdr>
        </w:div>
        <w:div w:id="2047756431">
          <w:marLeft w:val="1166"/>
          <w:marRight w:val="0"/>
          <w:marTop w:val="58"/>
          <w:marBottom w:val="0"/>
          <w:divBdr>
            <w:top w:val="none" w:sz="0" w:space="0" w:color="auto"/>
            <w:left w:val="none" w:sz="0" w:space="0" w:color="auto"/>
            <w:bottom w:val="none" w:sz="0" w:space="0" w:color="auto"/>
            <w:right w:val="none" w:sz="0" w:space="0" w:color="auto"/>
          </w:divBdr>
        </w:div>
      </w:divsChild>
    </w:div>
    <w:div w:id="193081113">
      <w:bodyDiv w:val="1"/>
      <w:marLeft w:val="0"/>
      <w:marRight w:val="0"/>
      <w:marTop w:val="0"/>
      <w:marBottom w:val="0"/>
      <w:divBdr>
        <w:top w:val="none" w:sz="0" w:space="0" w:color="auto"/>
        <w:left w:val="none" w:sz="0" w:space="0" w:color="auto"/>
        <w:bottom w:val="none" w:sz="0" w:space="0" w:color="auto"/>
        <w:right w:val="none" w:sz="0" w:space="0" w:color="auto"/>
      </w:divBdr>
    </w:div>
    <w:div w:id="600340518">
      <w:bodyDiv w:val="1"/>
      <w:marLeft w:val="0"/>
      <w:marRight w:val="0"/>
      <w:marTop w:val="0"/>
      <w:marBottom w:val="0"/>
      <w:divBdr>
        <w:top w:val="none" w:sz="0" w:space="0" w:color="auto"/>
        <w:left w:val="none" w:sz="0" w:space="0" w:color="auto"/>
        <w:bottom w:val="none" w:sz="0" w:space="0" w:color="auto"/>
        <w:right w:val="none" w:sz="0" w:space="0" w:color="auto"/>
      </w:divBdr>
    </w:div>
    <w:div w:id="923611115">
      <w:bodyDiv w:val="1"/>
      <w:marLeft w:val="0"/>
      <w:marRight w:val="0"/>
      <w:marTop w:val="0"/>
      <w:marBottom w:val="0"/>
      <w:divBdr>
        <w:top w:val="none" w:sz="0" w:space="0" w:color="auto"/>
        <w:left w:val="none" w:sz="0" w:space="0" w:color="auto"/>
        <w:bottom w:val="none" w:sz="0" w:space="0" w:color="auto"/>
        <w:right w:val="none" w:sz="0" w:space="0" w:color="auto"/>
      </w:divBdr>
      <w:divsChild>
        <w:div w:id="949553077">
          <w:marLeft w:val="547"/>
          <w:marRight w:val="0"/>
          <w:marTop w:val="0"/>
          <w:marBottom w:val="0"/>
          <w:divBdr>
            <w:top w:val="none" w:sz="0" w:space="0" w:color="auto"/>
            <w:left w:val="none" w:sz="0" w:space="0" w:color="auto"/>
            <w:bottom w:val="none" w:sz="0" w:space="0" w:color="auto"/>
            <w:right w:val="none" w:sz="0" w:space="0" w:color="auto"/>
          </w:divBdr>
        </w:div>
      </w:divsChild>
    </w:div>
    <w:div w:id="1014502139">
      <w:bodyDiv w:val="1"/>
      <w:marLeft w:val="0"/>
      <w:marRight w:val="0"/>
      <w:marTop w:val="0"/>
      <w:marBottom w:val="0"/>
      <w:divBdr>
        <w:top w:val="none" w:sz="0" w:space="0" w:color="auto"/>
        <w:left w:val="none" w:sz="0" w:space="0" w:color="auto"/>
        <w:bottom w:val="none" w:sz="0" w:space="0" w:color="auto"/>
        <w:right w:val="none" w:sz="0" w:space="0" w:color="auto"/>
      </w:divBdr>
    </w:div>
    <w:div w:id="1361976631">
      <w:bodyDiv w:val="1"/>
      <w:marLeft w:val="0"/>
      <w:marRight w:val="0"/>
      <w:marTop w:val="0"/>
      <w:marBottom w:val="0"/>
      <w:divBdr>
        <w:top w:val="none" w:sz="0" w:space="0" w:color="auto"/>
        <w:left w:val="none" w:sz="0" w:space="0" w:color="auto"/>
        <w:bottom w:val="none" w:sz="0" w:space="0" w:color="auto"/>
        <w:right w:val="none" w:sz="0" w:space="0" w:color="auto"/>
      </w:divBdr>
    </w:div>
    <w:div w:id="1375695719">
      <w:bodyDiv w:val="1"/>
      <w:marLeft w:val="0"/>
      <w:marRight w:val="0"/>
      <w:marTop w:val="0"/>
      <w:marBottom w:val="0"/>
      <w:divBdr>
        <w:top w:val="none" w:sz="0" w:space="0" w:color="auto"/>
        <w:left w:val="none" w:sz="0" w:space="0" w:color="auto"/>
        <w:bottom w:val="none" w:sz="0" w:space="0" w:color="auto"/>
        <w:right w:val="none" w:sz="0" w:space="0" w:color="auto"/>
      </w:divBdr>
      <w:divsChild>
        <w:div w:id="523247591">
          <w:marLeft w:val="1267"/>
          <w:marRight w:val="0"/>
          <w:marTop w:val="67"/>
          <w:marBottom w:val="0"/>
          <w:divBdr>
            <w:top w:val="none" w:sz="0" w:space="0" w:color="auto"/>
            <w:left w:val="none" w:sz="0" w:space="0" w:color="auto"/>
            <w:bottom w:val="none" w:sz="0" w:space="0" w:color="auto"/>
            <w:right w:val="none" w:sz="0" w:space="0" w:color="auto"/>
          </w:divBdr>
        </w:div>
        <w:div w:id="654337325">
          <w:marLeft w:val="1267"/>
          <w:marRight w:val="0"/>
          <w:marTop w:val="67"/>
          <w:marBottom w:val="0"/>
          <w:divBdr>
            <w:top w:val="none" w:sz="0" w:space="0" w:color="auto"/>
            <w:left w:val="none" w:sz="0" w:space="0" w:color="auto"/>
            <w:bottom w:val="none" w:sz="0" w:space="0" w:color="auto"/>
            <w:right w:val="none" w:sz="0" w:space="0" w:color="auto"/>
          </w:divBdr>
        </w:div>
        <w:div w:id="1114666180">
          <w:marLeft w:val="1267"/>
          <w:marRight w:val="0"/>
          <w:marTop w:val="67"/>
          <w:marBottom w:val="0"/>
          <w:divBdr>
            <w:top w:val="none" w:sz="0" w:space="0" w:color="auto"/>
            <w:left w:val="none" w:sz="0" w:space="0" w:color="auto"/>
            <w:bottom w:val="none" w:sz="0" w:space="0" w:color="auto"/>
            <w:right w:val="none" w:sz="0" w:space="0" w:color="auto"/>
          </w:divBdr>
        </w:div>
        <w:div w:id="1762871028">
          <w:marLeft w:val="1267"/>
          <w:marRight w:val="0"/>
          <w:marTop w:val="67"/>
          <w:marBottom w:val="0"/>
          <w:divBdr>
            <w:top w:val="none" w:sz="0" w:space="0" w:color="auto"/>
            <w:left w:val="none" w:sz="0" w:space="0" w:color="auto"/>
            <w:bottom w:val="none" w:sz="0" w:space="0" w:color="auto"/>
            <w:right w:val="none" w:sz="0" w:space="0" w:color="auto"/>
          </w:divBdr>
        </w:div>
        <w:div w:id="1986813937">
          <w:marLeft w:val="1267"/>
          <w:marRight w:val="0"/>
          <w:marTop w:val="67"/>
          <w:marBottom w:val="0"/>
          <w:divBdr>
            <w:top w:val="none" w:sz="0" w:space="0" w:color="auto"/>
            <w:left w:val="none" w:sz="0" w:space="0" w:color="auto"/>
            <w:bottom w:val="none" w:sz="0" w:space="0" w:color="auto"/>
            <w:right w:val="none" w:sz="0" w:space="0" w:color="auto"/>
          </w:divBdr>
        </w:div>
      </w:divsChild>
    </w:div>
    <w:div w:id="18390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a.europa.eu/documents/10180/1721448/Guidelines+on+default+definition+(EBA-GL-2016-07)_SL.pdf/701978ab-47b5-41bd-80ff-82e315da4ed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i.si/porocanje/porocanje-banki-slovenije/porocila/porocanje-monetarnih-financnih-instituci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i.si/financna-stabilnost/predpisi/seznam-predpisov/kreditno-tveganje/kreditno-tveganje-splosni-predpi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nkingsupervision.europa.eu/ecb/pub/pdf/guidance_on_npl.sl.pdf?6a577105003e05b936c2e2c4fbbb9411" TargetMode="External"/><Relationship Id="rId4" Type="http://schemas.openxmlformats.org/officeDocument/2006/relationships/settings" Target="settings.xml"/><Relationship Id="rId9" Type="http://schemas.openxmlformats.org/officeDocument/2006/relationships/hyperlink" Target="https://www.eba.europa.eu/documents/10180/1965596/Guidelines+on+Accounting+for+ECL+%28EBA-GL-2017-06%29_SL.pdf/a85278ee-9a65-441a-9a21-60d10bf93e2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A6CD-9933-4B80-A8D6-B2FD1E74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5485</Words>
  <Characters>31267</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trotovnik</dc:creator>
  <cp:keywords/>
  <dc:description/>
  <cp:lastModifiedBy>Šupek Jure</cp:lastModifiedBy>
  <cp:revision>1</cp:revision>
  <cp:lastPrinted>2017-04-14T06:06:00Z</cp:lastPrinted>
  <dcterms:created xsi:type="dcterms:W3CDTF">2017-12-15T13:23:00Z</dcterms:created>
  <dcterms:modified xsi:type="dcterms:W3CDTF">2017-12-15T13:23:00Z</dcterms:modified>
</cp:coreProperties>
</file>