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C2" w:rsidRDefault="00B607C2" w:rsidP="00823BAB">
      <w:pPr>
        <w:jc w:val="both"/>
        <w:rPr>
          <w:noProof/>
          <w:lang w:val="en-GB"/>
        </w:rPr>
      </w:pPr>
    </w:p>
    <w:p w:rsidR="00B607C2" w:rsidRPr="00B607C2" w:rsidRDefault="00B607C2" w:rsidP="00B607C2">
      <w:pPr>
        <w:autoSpaceDE w:val="0"/>
        <w:autoSpaceDN w:val="0"/>
        <w:adjustRightInd w:val="0"/>
        <w:jc w:val="left"/>
        <w:rPr>
          <w:color w:val="000000"/>
          <w:sz w:val="24"/>
          <w:szCs w:val="24"/>
          <w:lang w:val="sl-SI"/>
        </w:rPr>
      </w:pPr>
    </w:p>
    <w:p w:rsidR="00B607C2" w:rsidRPr="00B607C2" w:rsidRDefault="00B607C2" w:rsidP="00B607C2">
      <w:pPr>
        <w:autoSpaceDE w:val="0"/>
        <w:autoSpaceDN w:val="0"/>
        <w:adjustRightInd w:val="0"/>
        <w:jc w:val="left"/>
        <w:rPr>
          <w:color w:val="000000"/>
          <w:sz w:val="24"/>
          <w:szCs w:val="24"/>
          <w:lang w:val="sl-SI"/>
        </w:rPr>
      </w:pPr>
    </w:p>
    <w:p w:rsidR="00B607C2" w:rsidRPr="00B607C2" w:rsidRDefault="00B607C2" w:rsidP="00B607C2">
      <w:pPr>
        <w:autoSpaceDE w:val="0"/>
        <w:autoSpaceDN w:val="0"/>
        <w:adjustRightInd w:val="0"/>
        <w:jc w:val="left"/>
        <w:rPr>
          <w:color w:val="000000"/>
          <w:sz w:val="24"/>
          <w:szCs w:val="24"/>
          <w:lang w:val="sl-SI"/>
        </w:rPr>
      </w:pPr>
      <w:r w:rsidRPr="00B607C2">
        <w:rPr>
          <w:color w:val="000000"/>
          <w:sz w:val="24"/>
          <w:szCs w:val="24"/>
          <w:lang w:val="sl-SI"/>
        </w:rPr>
        <w:t xml:space="preserve"> </w:t>
      </w:r>
      <w:r w:rsidRPr="00B607C2">
        <w:rPr>
          <w:b/>
          <w:bCs/>
          <w:color w:val="000000"/>
          <w:lang w:val="sl-SI"/>
        </w:rPr>
        <w:t xml:space="preserve">(unofficial consolidated text) </w:t>
      </w:r>
      <w:r w:rsidRPr="00B607C2">
        <w:rPr>
          <w:color w:val="000000"/>
          <w:sz w:val="24"/>
          <w:szCs w:val="24"/>
          <w:lang w:val="sl-SI"/>
        </w:rPr>
        <w:t xml:space="preserve"> </w:t>
      </w:r>
    </w:p>
    <w:p w:rsidR="00B607C2" w:rsidRDefault="00B607C2" w:rsidP="00B607C2">
      <w:pPr>
        <w:pStyle w:val="Odstavekseznama"/>
        <w:numPr>
          <w:ilvl w:val="0"/>
          <w:numId w:val="48"/>
        </w:numPr>
        <w:autoSpaceDE w:val="0"/>
        <w:autoSpaceDN w:val="0"/>
        <w:adjustRightInd w:val="0"/>
        <w:spacing w:after="35"/>
        <w:jc w:val="left"/>
        <w:rPr>
          <w:color w:val="000000"/>
          <w:lang w:val="sl-SI"/>
        </w:rPr>
      </w:pPr>
      <w:r w:rsidRPr="00B607C2">
        <w:rPr>
          <w:color w:val="000000"/>
          <w:lang w:val="sl-SI"/>
        </w:rPr>
        <w:t xml:space="preserve">Official Gazette of the Republic of Slovenia, No. /15 of 24 July 2015 - original text (in force since 1 December 2015) </w:t>
      </w:r>
    </w:p>
    <w:p w:rsidR="00B607C2" w:rsidRDefault="00B607C2" w:rsidP="00B607C2">
      <w:pPr>
        <w:pStyle w:val="Odstavekseznama"/>
        <w:numPr>
          <w:ilvl w:val="0"/>
          <w:numId w:val="48"/>
        </w:numPr>
        <w:autoSpaceDE w:val="0"/>
        <w:autoSpaceDN w:val="0"/>
        <w:adjustRightInd w:val="0"/>
        <w:spacing w:after="35"/>
        <w:jc w:val="left"/>
        <w:rPr>
          <w:color w:val="000000"/>
          <w:lang w:val="sl-SI"/>
        </w:rPr>
      </w:pPr>
      <w:r w:rsidRPr="00B607C2">
        <w:rPr>
          <w:color w:val="000000"/>
          <w:lang w:val="sl-SI"/>
        </w:rPr>
        <w:t>Official Gazette of the Republic of Slovenia, No. 49/16 of 8 July 2016 – additi</w:t>
      </w:r>
      <w:r>
        <w:rPr>
          <w:color w:val="000000"/>
          <w:lang w:val="sl-SI"/>
        </w:rPr>
        <w:t>ons (in force since 9 July 2016)</w:t>
      </w:r>
    </w:p>
    <w:p w:rsidR="00B607C2" w:rsidRPr="0093711D" w:rsidRDefault="00B607C2" w:rsidP="00B3465A">
      <w:pPr>
        <w:pStyle w:val="Odstavekseznama"/>
        <w:numPr>
          <w:ilvl w:val="0"/>
          <w:numId w:val="48"/>
        </w:numPr>
        <w:autoSpaceDE w:val="0"/>
        <w:autoSpaceDN w:val="0"/>
        <w:adjustRightInd w:val="0"/>
        <w:spacing w:after="35"/>
        <w:jc w:val="both"/>
        <w:rPr>
          <w:noProof/>
          <w:lang w:val="en-GB"/>
        </w:rPr>
      </w:pPr>
      <w:r w:rsidRPr="0093711D">
        <w:rPr>
          <w:color w:val="000000"/>
          <w:highlight w:val="yellow"/>
          <w:lang w:val="sl-SI"/>
        </w:rPr>
        <w:t xml:space="preserve">Official Gazette of the Republic of Slovenia, No. 68/17 of 1 December 2017 – changes (in force since  </w:t>
      </w:r>
      <w:r w:rsidR="0093711D" w:rsidRPr="0093711D">
        <w:rPr>
          <w:color w:val="000000"/>
          <w:highlight w:val="yellow"/>
          <w:lang w:val="sl-SI"/>
        </w:rPr>
        <w:t>January 2018</w:t>
      </w:r>
      <w:r w:rsidRPr="0093711D">
        <w:rPr>
          <w:color w:val="000000"/>
          <w:highlight w:val="yellow"/>
          <w:lang w:val="sl-SI"/>
        </w:rPr>
        <w:t>)</w:t>
      </w:r>
    </w:p>
    <w:p w:rsidR="00B607C2" w:rsidRDefault="00B607C2">
      <w:r>
        <w:rPr>
          <w:noProof/>
          <w:lang w:val="en-GB"/>
        </w:rPr>
        <w:t>__________________________________________________________________________________</w:t>
      </w:r>
    </w:p>
    <w:p w:rsidR="00B607C2" w:rsidRDefault="00B607C2" w:rsidP="00823BAB">
      <w:pPr>
        <w:jc w:val="both"/>
        <w:rPr>
          <w:noProof/>
          <w:lang w:val="en-GB"/>
        </w:rPr>
      </w:pPr>
    </w:p>
    <w:p w:rsidR="00823BAB" w:rsidRPr="00823BAB" w:rsidRDefault="00823BAB" w:rsidP="00823BAB">
      <w:pPr>
        <w:jc w:val="both"/>
        <w:rPr>
          <w:noProof/>
        </w:rPr>
      </w:pPr>
      <w:r>
        <w:rPr>
          <w:noProof/>
          <w:lang w:val="en-GB"/>
        </w:rPr>
        <w:t xml:space="preserve">Pursuant to point 1 of Article 58 and points 1, 2 and 3 of Article 135 of the Banking Act (Official Gazette of the Republic of Slovenia, No. 25/15; hereinafter: the ZBan-2) and the second paragraph of Article 13 and the first paragraph of Article 31 of the Bank of Slovenia Act (Official Gazette of the Republic of Slovenia, Nos. 72/06 [official consolidated version] and 59/11), the Governing Board of the Bank of Slovenia hereby issues the following </w:t>
      </w:r>
    </w:p>
    <w:p w:rsidR="00823BAB" w:rsidRPr="00823BAB" w:rsidRDefault="00823BAB" w:rsidP="00823BAB">
      <w:pPr>
        <w:rPr>
          <w:noProof/>
        </w:rPr>
      </w:pPr>
    </w:p>
    <w:p w:rsidR="00823BAB" w:rsidRPr="00823BAB" w:rsidRDefault="00823BAB" w:rsidP="00823BAB">
      <w:pPr>
        <w:rPr>
          <w:b/>
          <w:noProof/>
          <w:sz w:val="24"/>
          <w:szCs w:val="24"/>
        </w:rPr>
      </w:pPr>
      <w:r>
        <w:rPr>
          <w:b/>
          <w:bCs/>
          <w:noProof/>
          <w:sz w:val="24"/>
          <w:szCs w:val="24"/>
          <w:lang w:val="en-GB"/>
        </w:rPr>
        <w:t>REGULATION</w:t>
      </w:r>
    </w:p>
    <w:p w:rsidR="00823BAB" w:rsidRPr="00823BAB" w:rsidRDefault="00823BAB" w:rsidP="00823BAB">
      <w:pPr>
        <w:rPr>
          <w:b/>
          <w:noProof/>
          <w:sz w:val="24"/>
          <w:szCs w:val="24"/>
        </w:rPr>
      </w:pPr>
    </w:p>
    <w:p w:rsidR="00823BAB" w:rsidRPr="00823BAB" w:rsidRDefault="00823BAB" w:rsidP="00823BAB">
      <w:pPr>
        <w:rPr>
          <w:b/>
          <w:noProof/>
          <w:sz w:val="24"/>
          <w:szCs w:val="24"/>
        </w:rPr>
      </w:pPr>
      <w:r>
        <w:rPr>
          <w:b/>
          <w:bCs/>
          <w:noProof/>
          <w:sz w:val="24"/>
          <w:szCs w:val="24"/>
          <w:lang w:val="en-GB"/>
        </w:rPr>
        <w:t xml:space="preserve">on </w:t>
      </w:r>
      <w:r w:rsidR="009D426E">
        <w:rPr>
          <w:b/>
          <w:bCs/>
          <w:noProof/>
          <w:sz w:val="24"/>
          <w:szCs w:val="24"/>
          <w:lang w:val="en-GB"/>
        </w:rPr>
        <w:t>I</w:t>
      </w:r>
      <w:r>
        <w:rPr>
          <w:b/>
          <w:bCs/>
          <w:noProof/>
          <w:sz w:val="24"/>
          <w:szCs w:val="24"/>
          <w:lang w:val="en-GB"/>
        </w:rPr>
        <w:t xml:space="preserve">nternal </w:t>
      </w:r>
      <w:r w:rsidR="009D426E">
        <w:rPr>
          <w:b/>
          <w:bCs/>
          <w:noProof/>
          <w:sz w:val="24"/>
          <w:szCs w:val="24"/>
          <w:lang w:val="en-GB"/>
        </w:rPr>
        <w:t>G</w:t>
      </w:r>
      <w:r>
        <w:rPr>
          <w:b/>
          <w:bCs/>
          <w:noProof/>
          <w:sz w:val="24"/>
          <w:szCs w:val="24"/>
          <w:lang w:val="en-GB"/>
        </w:rPr>
        <w:t xml:space="preserve">overnance </w:t>
      </w:r>
      <w:r w:rsidR="009D426E">
        <w:rPr>
          <w:b/>
          <w:bCs/>
          <w:noProof/>
          <w:sz w:val="24"/>
          <w:szCs w:val="24"/>
          <w:lang w:val="en-GB"/>
        </w:rPr>
        <w:t>A</w:t>
      </w:r>
      <w:r>
        <w:rPr>
          <w:b/>
          <w:bCs/>
          <w:noProof/>
          <w:sz w:val="24"/>
          <w:szCs w:val="24"/>
          <w:lang w:val="en-GB"/>
        </w:rPr>
        <w:t xml:space="preserve">rrangements, the </w:t>
      </w:r>
      <w:r w:rsidR="003E2585">
        <w:rPr>
          <w:b/>
          <w:bCs/>
          <w:noProof/>
          <w:sz w:val="24"/>
          <w:szCs w:val="24"/>
          <w:lang w:val="en-GB"/>
        </w:rPr>
        <w:t>Management body</w:t>
      </w:r>
      <w:r>
        <w:rPr>
          <w:b/>
          <w:bCs/>
          <w:noProof/>
          <w:sz w:val="24"/>
          <w:szCs w:val="24"/>
          <w:lang w:val="en-GB"/>
        </w:rPr>
        <w:t xml:space="preserve"> and the </w:t>
      </w:r>
      <w:r w:rsidR="009D426E">
        <w:rPr>
          <w:b/>
          <w:bCs/>
          <w:noProof/>
          <w:sz w:val="24"/>
          <w:szCs w:val="24"/>
          <w:lang w:val="en-GB"/>
        </w:rPr>
        <w:t>I</w:t>
      </w:r>
      <w:r>
        <w:rPr>
          <w:b/>
          <w:bCs/>
          <w:noProof/>
          <w:sz w:val="24"/>
          <w:szCs w:val="24"/>
          <w:lang w:val="en-GB"/>
        </w:rPr>
        <w:t xml:space="preserve">nternal </w:t>
      </w:r>
      <w:r w:rsidR="009D426E">
        <w:rPr>
          <w:b/>
          <w:bCs/>
          <w:noProof/>
          <w:sz w:val="24"/>
          <w:szCs w:val="24"/>
          <w:lang w:val="en-GB"/>
        </w:rPr>
        <w:t>C</w:t>
      </w:r>
      <w:r>
        <w:rPr>
          <w:b/>
          <w:bCs/>
          <w:noProof/>
          <w:sz w:val="24"/>
          <w:szCs w:val="24"/>
          <w:lang w:val="en-GB"/>
        </w:rPr>
        <w:t xml:space="preserve">apital </w:t>
      </w:r>
      <w:r w:rsidR="009D426E">
        <w:rPr>
          <w:b/>
          <w:bCs/>
          <w:noProof/>
          <w:sz w:val="24"/>
          <w:szCs w:val="24"/>
          <w:lang w:val="en-GB"/>
        </w:rPr>
        <w:t>A</w:t>
      </w:r>
      <w:r>
        <w:rPr>
          <w:b/>
          <w:bCs/>
          <w:noProof/>
          <w:sz w:val="24"/>
          <w:szCs w:val="24"/>
          <w:lang w:val="en-GB"/>
        </w:rPr>
        <w:t xml:space="preserve">dequacy </w:t>
      </w:r>
      <w:r w:rsidR="009D426E">
        <w:rPr>
          <w:b/>
          <w:bCs/>
          <w:noProof/>
          <w:sz w:val="24"/>
          <w:szCs w:val="24"/>
          <w:lang w:val="en-GB"/>
        </w:rPr>
        <w:t>A</w:t>
      </w:r>
      <w:r>
        <w:rPr>
          <w:b/>
          <w:bCs/>
          <w:noProof/>
          <w:sz w:val="24"/>
          <w:szCs w:val="24"/>
          <w:lang w:val="en-GB"/>
        </w:rPr>
        <w:t xml:space="preserve">ssessment </w:t>
      </w:r>
      <w:r w:rsidR="009D426E">
        <w:rPr>
          <w:b/>
          <w:bCs/>
          <w:noProof/>
          <w:sz w:val="24"/>
          <w:szCs w:val="24"/>
          <w:lang w:val="en-GB"/>
        </w:rPr>
        <w:t>P</w:t>
      </w:r>
      <w:r>
        <w:rPr>
          <w:b/>
          <w:bCs/>
          <w:noProof/>
          <w:sz w:val="24"/>
          <w:szCs w:val="24"/>
          <w:lang w:val="en-GB"/>
        </w:rPr>
        <w:t xml:space="preserve">rocess for </w:t>
      </w:r>
      <w:r w:rsidR="009D426E">
        <w:rPr>
          <w:b/>
          <w:bCs/>
          <w:noProof/>
          <w:sz w:val="24"/>
          <w:szCs w:val="24"/>
          <w:lang w:val="en-GB"/>
        </w:rPr>
        <w:t>B</w:t>
      </w:r>
      <w:r>
        <w:rPr>
          <w:b/>
          <w:bCs/>
          <w:noProof/>
          <w:sz w:val="24"/>
          <w:szCs w:val="24"/>
          <w:lang w:val="en-GB"/>
        </w:rPr>
        <w:t xml:space="preserve">anks and </w:t>
      </w:r>
      <w:r w:rsidR="009D426E">
        <w:rPr>
          <w:b/>
          <w:bCs/>
          <w:noProof/>
          <w:sz w:val="24"/>
          <w:szCs w:val="24"/>
          <w:lang w:val="en-GB"/>
        </w:rPr>
        <w:t>S</w:t>
      </w:r>
      <w:r>
        <w:rPr>
          <w:b/>
          <w:bCs/>
          <w:noProof/>
          <w:sz w:val="24"/>
          <w:szCs w:val="24"/>
          <w:lang w:val="en-GB"/>
        </w:rPr>
        <w:t>avings banks</w:t>
      </w:r>
    </w:p>
    <w:p w:rsidR="00823BAB" w:rsidRPr="00823BAB" w:rsidRDefault="00823BAB" w:rsidP="00823BAB">
      <w:pPr>
        <w:tabs>
          <w:tab w:val="left" w:pos="5133"/>
        </w:tabs>
        <w:rPr>
          <w:noProof/>
        </w:rPr>
      </w:pPr>
    </w:p>
    <w:p w:rsidR="00823BAB" w:rsidRPr="00823BAB" w:rsidRDefault="00823BAB" w:rsidP="00823BAB">
      <w:pPr>
        <w:tabs>
          <w:tab w:val="left" w:pos="5133"/>
        </w:tabs>
        <w:jc w:val="left"/>
        <w:rPr>
          <w:noProof/>
        </w:rPr>
      </w:pPr>
    </w:p>
    <w:p w:rsidR="00823BAB" w:rsidRPr="00823BAB" w:rsidRDefault="00823BAB" w:rsidP="00823BAB">
      <w:pPr>
        <w:pStyle w:val="Odstavekseznama"/>
        <w:numPr>
          <w:ilvl w:val="0"/>
          <w:numId w:val="1"/>
        </w:numPr>
        <w:rPr>
          <w:b/>
          <w:noProof/>
        </w:rPr>
      </w:pPr>
      <w:r>
        <w:rPr>
          <w:b/>
          <w:bCs/>
          <w:noProof/>
          <w:lang w:val="en-GB"/>
        </w:rPr>
        <w:t>GENERAL PROVISIONS</w:t>
      </w:r>
    </w:p>
    <w:p w:rsidR="00823BAB" w:rsidRPr="00823BAB" w:rsidRDefault="00823BAB" w:rsidP="00823BAB">
      <w:pPr>
        <w:rPr>
          <w:noProof/>
        </w:rPr>
      </w:pPr>
    </w:p>
    <w:p w:rsidR="00823BAB" w:rsidRPr="00823BAB" w:rsidRDefault="00823BAB" w:rsidP="00823BAB">
      <w:pPr>
        <w:pStyle w:val="Odstavekseznama"/>
        <w:numPr>
          <w:ilvl w:val="1"/>
          <w:numId w:val="2"/>
        </w:numPr>
        <w:rPr>
          <w:b/>
          <w:noProof/>
        </w:rPr>
      </w:pPr>
      <w:r>
        <w:rPr>
          <w:b/>
          <w:bCs/>
          <w:noProof/>
          <w:lang w:val="en-GB"/>
        </w:rPr>
        <w:t xml:space="preserve"> Subject of regulation, application of regulations and definition of terms</w:t>
      </w:r>
    </w:p>
    <w:p w:rsidR="00823BAB" w:rsidRPr="00823BAB" w:rsidRDefault="00823BAB" w:rsidP="00823BAB">
      <w:pPr>
        <w:rPr>
          <w:noProof/>
        </w:rPr>
      </w:pPr>
    </w:p>
    <w:p w:rsidR="00823BAB" w:rsidRPr="00823BAB" w:rsidRDefault="00823BAB" w:rsidP="00823BAB">
      <w:pPr>
        <w:pStyle w:val="Odstavekseznama"/>
        <w:numPr>
          <w:ilvl w:val="0"/>
          <w:numId w:val="12"/>
        </w:numPr>
        <w:rPr>
          <w:b/>
          <w:noProof/>
        </w:rPr>
      </w:pPr>
      <w:r>
        <w:rPr>
          <w:b/>
          <w:bCs/>
          <w:noProof/>
          <w:lang w:val="en-GB"/>
        </w:rPr>
        <w:t>Article 1</w:t>
      </w:r>
    </w:p>
    <w:p w:rsidR="00823BAB" w:rsidRPr="00823BAB" w:rsidRDefault="00823BAB" w:rsidP="00823BAB">
      <w:pPr>
        <w:pStyle w:val="Odstavekseznama"/>
        <w:ind w:left="0"/>
        <w:rPr>
          <w:b/>
          <w:noProof/>
        </w:rPr>
      </w:pPr>
      <w:r>
        <w:rPr>
          <w:b/>
          <w:bCs/>
          <w:noProof/>
          <w:lang w:val="en-GB"/>
        </w:rPr>
        <w:t>(content of regulation)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This regulation sets out the requirements with regard to:</w:t>
      </w:r>
    </w:p>
    <w:p w:rsidR="00823BAB" w:rsidRPr="00823BAB" w:rsidRDefault="00823BAB" w:rsidP="00823BAB">
      <w:pPr>
        <w:ind w:firstLine="360"/>
        <w:jc w:val="both"/>
        <w:rPr>
          <w:noProof/>
        </w:rPr>
      </w:pPr>
      <w:r>
        <w:rPr>
          <w:noProof/>
          <w:lang w:val="en-GB"/>
        </w:rPr>
        <w:t>1. internal governance arrangements, including detailed rules with regard to risk management and the remuneration polic</w:t>
      </w:r>
      <w:r w:rsidR="00CA3850">
        <w:rPr>
          <w:noProof/>
          <w:lang w:val="en-GB"/>
        </w:rPr>
        <w:t xml:space="preserve">ies </w:t>
      </w:r>
      <w:r>
        <w:rPr>
          <w:noProof/>
          <w:lang w:val="en-GB"/>
        </w:rPr>
        <w:t>and practices of a bank or savings bank (hereinafter: bank);</w:t>
      </w:r>
    </w:p>
    <w:p w:rsidR="00823BAB" w:rsidRPr="00823BAB" w:rsidRDefault="00823BAB" w:rsidP="00823BAB">
      <w:pPr>
        <w:ind w:firstLine="360"/>
        <w:jc w:val="both"/>
        <w:rPr>
          <w:noProof/>
        </w:rPr>
      </w:pPr>
      <w:r>
        <w:rPr>
          <w:noProof/>
          <w:lang w:val="en-GB"/>
        </w:rPr>
        <w:t xml:space="preserve">2. rules for the functioning of a </w:t>
      </w:r>
      <w:r w:rsidR="003E2585">
        <w:rPr>
          <w:noProof/>
          <w:lang w:val="en-GB"/>
        </w:rPr>
        <w:t>Management body</w:t>
      </w:r>
      <w:r>
        <w:rPr>
          <w:noProof/>
          <w:lang w:val="en-GB"/>
        </w:rPr>
        <w:t xml:space="preserve"> and its committees, </w:t>
      </w:r>
      <w:r w:rsidR="0012357B">
        <w:rPr>
          <w:noProof/>
          <w:lang w:val="en-GB"/>
        </w:rPr>
        <w:t>including</w:t>
      </w:r>
      <w:r>
        <w:rPr>
          <w:noProof/>
          <w:lang w:val="en-GB"/>
        </w:rPr>
        <w:t xml:space="preserve"> the conduct of its members in accordance with the relevant standards of professional diligence</w:t>
      </w:r>
      <w:r w:rsidR="00756AAD">
        <w:rPr>
          <w:noProof/>
          <w:lang w:val="en-GB"/>
        </w:rPr>
        <w:t>,</w:t>
      </w:r>
      <w:r>
        <w:rPr>
          <w:noProof/>
          <w:lang w:val="en-GB"/>
        </w:rPr>
        <w:t xml:space="preserve"> highest ethical standards, and the prevention of conflicts of interest;</w:t>
      </w:r>
    </w:p>
    <w:p w:rsidR="00823BAB" w:rsidRPr="00823BAB" w:rsidRDefault="00823BAB" w:rsidP="00823BAB">
      <w:pPr>
        <w:ind w:firstLine="360"/>
        <w:jc w:val="both"/>
        <w:rPr>
          <w:noProof/>
        </w:rPr>
      </w:pPr>
      <w:r>
        <w:rPr>
          <w:noProof/>
          <w:lang w:val="en-GB"/>
        </w:rPr>
        <w:t>3. the internal capital adequacy assessment process;</w:t>
      </w:r>
    </w:p>
    <w:p w:rsidR="00823BAB" w:rsidRPr="00823BAB" w:rsidRDefault="00823BAB" w:rsidP="00823BAB">
      <w:pPr>
        <w:ind w:firstLine="360"/>
        <w:jc w:val="both"/>
        <w:rPr>
          <w:noProof/>
        </w:rPr>
      </w:pPr>
      <w:r>
        <w:rPr>
          <w:noProof/>
          <w:lang w:val="en-GB"/>
        </w:rPr>
        <w:t>4. the detailed content of reports in connection with internal governance arrangements and the methods and deadlines for submitting such reports to the Bank of Slovenia.</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Wherever this regulation makes reference to the provisions of other regulations, these provisions shall apply in their wording applicable at the time in question.</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2</w:t>
      </w:r>
    </w:p>
    <w:p w:rsidR="00823BAB" w:rsidRPr="00823BAB" w:rsidRDefault="00823BAB" w:rsidP="00823BAB">
      <w:pPr>
        <w:rPr>
          <w:b/>
          <w:noProof/>
        </w:rPr>
      </w:pPr>
      <w:r>
        <w:rPr>
          <w:b/>
          <w:bCs/>
          <w:noProof/>
          <w:lang w:val="en-GB"/>
        </w:rPr>
        <w:t>(application of regulations)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This regulation transposes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into the law of the Republic of Slovenia.</w:t>
      </w:r>
    </w:p>
    <w:p w:rsidR="00823BAB" w:rsidRPr="00823BAB" w:rsidRDefault="00823BAB" w:rsidP="00823BAB">
      <w:pPr>
        <w:jc w:val="both"/>
        <w:rPr>
          <w:b/>
          <w:noProof/>
        </w:rPr>
      </w:pPr>
    </w:p>
    <w:p w:rsidR="00823BAB" w:rsidRPr="00823BAB" w:rsidRDefault="00823BAB" w:rsidP="00823BAB">
      <w:pPr>
        <w:pStyle w:val="Odstavekseznama"/>
        <w:numPr>
          <w:ilvl w:val="0"/>
          <w:numId w:val="12"/>
        </w:numPr>
        <w:rPr>
          <w:b/>
          <w:noProof/>
        </w:rPr>
      </w:pPr>
      <w:r>
        <w:rPr>
          <w:b/>
          <w:bCs/>
          <w:noProof/>
          <w:lang w:val="en-GB"/>
        </w:rPr>
        <w:t>Article 3</w:t>
      </w:r>
    </w:p>
    <w:p w:rsidR="00823BAB" w:rsidRPr="00823BAB" w:rsidRDefault="00823BAB" w:rsidP="00823BAB">
      <w:pPr>
        <w:rPr>
          <w:b/>
          <w:noProof/>
        </w:rPr>
      </w:pPr>
      <w:r>
        <w:rPr>
          <w:b/>
          <w:bCs/>
          <w:noProof/>
          <w:lang w:val="en-GB"/>
        </w:rPr>
        <w:t>(definition of terms)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The terms used in this regulation shall have the same meanings as in the ZBan-2 and Regulation (EU) No 575/2013 of the European Parliament and of the Council of 26 June 2013 on prudential requirements for credit institutions and investment firms and amending Regulation (EU) No 648/2012 (OJ L 176 of 27 June 2013, p 1; hereinafter: Regulation (EU) No 575/2013), and in regulations issued on their basis.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other terms used in this regulation shall have the following meanings:</w:t>
      </w:r>
    </w:p>
    <w:p w:rsidR="00823BAB" w:rsidRPr="00823BAB" w:rsidRDefault="00823BAB" w:rsidP="00823BAB">
      <w:pPr>
        <w:jc w:val="both"/>
        <w:rPr>
          <w:noProof/>
        </w:rPr>
      </w:pPr>
      <w:r>
        <w:rPr>
          <w:noProof/>
          <w:lang w:val="en-GB"/>
        </w:rPr>
        <w:t xml:space="preserve">1. “corporate governance arrangements” are the set of relationships and relations established and realised between a bank, its </w:t>
      </w:r>
      <w:r w:rsidR="003E2585">
        <w:rPr>
          <w:noProof/>
          <w:lang w:val="en-GB"/>
        </w:rPr>
        <w:t>Management body</w:t>
      </w:r>
      <w:r>
        <w:rPr>
          <w:noProof/>
          <w:lang w:val="en-GB"/>
        </w:rPr>
        <w:t xml:space="preserve"> and its owners that are based on the powers and responsibilities of these entities and </w:t>
      </w:r>
      <w:r w:rsidR="00DD2A55">
        <w:rPr>
          <w:noProof/>
          <w:lang w:val="en-GB"/>
        </w:rPr>
        <w:t>considering</w:t>
      </w:r>
      <w:r>
        <w:rPr>
          <w:noProof/>
          <w:lang w:val="en-GB"/>
        </w:rPr>
        <w:t xml:space="preserve"> the interests of the bank’s other stakeholders and the </w:t>
      </w:r>
      <w:r>
        <w:rPr>
          <w:i/>
          <w:iCs/>
          <w:noProof/>
          <w:lang w:val="en-GB"/>
        </w:rPr>
        <w:t xml:space="preserve">de facto </w:t>
      </w:r>
      <w:r w:rsidR="00022E24">
        <w:rPr>
          <w:noProof/>
          <w:lang w:val="en-GB"/>
        </w:rPr>
        <w:t>consistency</w:t>
      </w:r>
      <w:r w:rsidR="00A21428">
        <w:rPr>
          <w:noProof/>
          <w:lang w:val="en-GB"/>
        </w:rPr>
        <w:t xml:space="preserve"> between</w:t>
      </w:r>
      <w:r>
        <w:rPr>
          <w:noProof/>
          <w:lang w:val="en-GB"/>
        </w:rPr>
        <w:t xml:space="preserve"> the short-term and long-term interests of these </w:t>
      </w:r>
      <w:r w:rsidR="00BC7B8A">
        <w:rPr>
          <w:noProof/>
          <w:lang w:val="en-GB"/>
        </w:rPr>
        <w:t>stakeholders</w:t>
      </w:r>
      <w:r>
        <w:rPr>
          <w:noProof/>
          <w:lang w:val="en-GB"/>
        </w:rPr>
        <w:t>,</w:t>
      </w:r>
      <w:r w:rsidR="00BC7B8A">
        <w:rPr>
          <w:noProof/>
          <w:lang w:val="en-GB"/>
        </w:rPr>
        <w:t xml:space="preserve"> which</w:t>
      </w:r>
      <w:r>
        <w:rPr>
          <w:noProof/>
          <w:lang w:val="en-GB"/>
        </w:rPr>
        <w:t xml:space="preserve"> to the greatest possible extent have an impact on the determination and realisation of the bank’s business objectives, strategies and policies and on the bank’s internal governance arrangements referred to in Article 128 of the ZBan-2;</w:t>
      </w:r>
    </w:p>
    <w:p w:rsidR="00823BAB" w:rsidRPr="00823BAB" w:rsidRDefault="00823BAB" w:rsidP="00823BAB">
      <w:pPr>
        <w:ind w:firstLine="360"/>
        <w:jc w:val="both"/>
        <w:rPr>
          <w:noProof/>
        </w:rPr>
      </w:pPr>
      <w:r>
        <w:rPr>
          <w:noProof/>
          <w:lang w:val="en-GB"/>
        </w:rPr>
        <w:t xml:space="preserve">2. “standards of professional diligence and ethical standards” are rules, recommendations and good business practices that </w:t>
      </w:r>
      <w:r>
        <w:rPr>
          <w:i/>
          <w:iCs/>
          <w:noProof/>
          <w:lang w:val="en-GB"/>
        </w:rPr>
        <w:t xml:space="preserve">inter alia </w:t>
      </w:r>
      <w:r>
        <w:rPr>
          <w:noProof/>
          <w:lang w:val="en-GB"/>
        </w:rPr>
        <w:t>contribute to the realisation of high standards of corporate culture at a bank, and consequently to the mitigation of the bank’s various risks, including the mitigation of operational risk and reputation risk;</w:t>
      </w:r>
    </w:p>
    <w:p w:rsidR="00823BAB" w:rsidRPr="00823BAB" w:rsidRDefault="00823BAB" w:rsidP="00823BAB">
      <w:pPr>
        <w:ind w:firstLine="360"/>
        <w:jc w:val="both"/>
        <w:rPr>
          <w:noProof/>
        </w:rPr>
      </w:pPr>
      <w:r>
        <w:rPr>
          <w:noProof/>
          <w:lang w:val="en-GB"/>
        </w:rPr>
        <w:t>3. a “conflict of interest at the level of the bank” is a situation in which there is or could be a threat to the interest of a bank as set out by the bank’s adopted objectives, strategies and policies referred to in the first paragraph of Article 4 of this regulation, in particular owing to circumstances deriving from the bank’s relationships, products and activities, including relationships between:</w:t>
      </w:r>
    </w:p>
    <w:p w:rsidR="00823BAB" w:rsidRPr="00823BAB" w:rsidRDefault="00823BAB" w:rsidP="00823BAB">
      <w:pPr>
        <w:pStyle w:val="Odstavekseznama"/>
        <w:numPr>
          <w:ilvl w:val="0"/>
          <w:numId w:val="14"/>
        </w:numPr>
        <w:jc w:val="both"/>
        <w:rPr>
          <w:noProof/>
        </w:rPr>
      </w:pPr>
      <w:r>
        <w:rPr>
          <w:noProof/>
          <w:lang w:val="en-GB"/>
        </w:rPr>
        <w:t xml:space="preserve">various clients of the bank, </w:t>
      </w:r>
    </w:p>
    <w:p w:rsidR="00823BAB" w:rsidRPr="00823BAB" w:rsidRDefault="00823BAB" w:rsidP="00823BAB">
      <w:pPr>
        <w:pStyle w:val="Odstavekseznama"/>
        <w:numPr>
          <w:ilvl w:val="0"/>
          <w:numId w:val="14"/>
        </w:numPr>
        <w:jc w:val="both"/>
        <w:rPr>
          <w:noProof/>
        </w:rPr>
      </w:pPr>
      <w:r>
        <w:rPr>
          <w:noProof/>
          <w:lang w:val="en-GB"/>
        </w:rPr>
        <w:t>the bank and its clients, shareholders, employees, significant suppliers, business partners and other entities in the group;</w:t>
      </w:r>
    </w:p>
    <w:p w:rsidR="00823BAB" w:rsidRPr="00823BAB" w:rsidRDefault="00823BAB" w:rsidP="00823BAB">
      <w:pPr>
        <w:ind w:firstLine="360"/>
        <w:jc w:val="both"/>
        <w:rPr>
          <w:noProof/>
        </w:rPr>
      </w:pPr>
      <w:r>
        <w:rPr>
          <w:noProof/>
          <w:lang w:val="en-GB"/>
        </w:rPr>
        <w:t xml:space="preserve">4. a “conflict of interest at the level of members of the </w:t>
      </w:r>
      <w:r w:rsidR="003E2585">
        <w:rPr>
          <w:noProof/>
          <w:lang w:val="en-GB"/>
        </w:rPr>
        <w:t>Management body</w:t>
      </w:r>
      <w:r>
        <w:rPr>
          <w:noProof/>
          <w:lang w:val="en-GB"/>
        </w:rPr>
        <w:t xml:space="preserve">” is a situation in which the private interest of a member of the </w:t>
      </w:r>
      <w:r w:rsidR="003E2585">
        <w:rPr>
          <w:noProof/>
          <w:lang w:val="en-GB"/>
        </w:rPr>
        <w:t>Management body</w:t>
      </w:r>
      <w:r>
        <w:rPr>
          <w:noProof/>
          <w:lang w:val="en-GB"/>
        </w:rPr>
        <w:t xml:space="preserve"> has or could have an impact on the impartial and objective execution of tasks or decision-making by the member in question in relation to the bank’s interests. The private interest of a member of the </w:t>
      </w:r>
      <w:r w:rsidR="003E2585">
        <w:rPr>
          <w:noProof/>
          <w:lang w:val="en-GB"/>
        </w:rPr>
        <w:t>Management body</w:t>
      </w:r>
      <w:r>
        <w:rPr>
          <w:noProof/>
          <w:lang w:val="en-GB"/>
        </w:rPr>
        <w:t xml:space="preserve"> means his/her interest in an undue material or non-material advantage for himself/herself, for an immediate family member or for a person who has interests in common with the member in question that are evidenced in action in concert between the member in question and the aforementioned person. A conflict of interest at the level of members of the </w:t>
      </w:r>
      <w:r w:rsidR="003E2585">
        <w:rPr>
          <w:noProof/>
          <w:lang w:val="en-GB"/>
        </w:rPr>
        <w:t>Management body</w:t>
      </w:r>
      <w:r>
        <w:rPr>
          <w:noProof/>
          <w:lang w:val="en-GB"/>
        </w:rPr>
        <w:t xml:space="preserve"> also includes any significant business contact;</w:t>
      </w:r>
    </w:p>
    <w:p w:rsidR="00823BAB" w:rsidRPr="00823BAB" w:rsidRDefault="00823BAB" w:rsidP="00823BAB">
      <w:pPr>
        <w:ind w:firstLine="360"/>
        <w:jc w:val="both"/>
        <w:rPr>
          <w:noProof/>
        </w:rPr>
      </w:pPr>
      <w:r>
        <w:rPr>
          <w:noProof/>
          <w:lang w:val="en-GB"/>
        </w:rPr>
        <w:t xml:space="preserve">5. a “significant business contact” is any contractual or other business relationship that meets the following criteria: </w:t>
      </w:r>
    </w:p>
    <w:p w:rsidR="00823BAB" w:rsidRPr="00823BAB" w:rsidRDefault="00823BAB" w:rsidP="00823BAB">
      <w:pPr>
        <w:pStyle w:val="Default"/>
        <w:numPr>
          <w:ilvl w:val="0"/>
          <w:numId w:val="5"/>
        </w:numPr>
        <w:tabs>
          <w:tab w:val="left" w:pos="284"/>
        </w:tabs>
        <w:jc w:val="both"/>
        <w:rPr>
          <w:noProof/>
          <w:sz w:val="22"/>
          <w:szCs w:val="22"/>
        </w:rPr>
      </w:pPr>
      <w:r>
        <w:rPr>
          <w:noProof/>
          <w:sz w:val="22"/>
          <w:szCs w:val="22"/>
          <w:lang w:val="en-GB"/>
        </w:rPr>
        <w:t xml:space="preserve">an agreement has been concluded between a member of the </w:t>
      </w:r>
      <w:r w:rsidR="003E2585">
        <w:rPr>
          <w:noProof/>
          <w:sz w:val="22"/>
          <w:szCs w:val="22"/>
          <w:lang w:val="en-GB"/>
        </w:rPr>
        <w:t>Management body</w:t>
      </w:r>
      <w:r>
        <w:rPr>
          <w:noProof/>
          <w:sz w:val="22"/>
          <w:szCs w:val="22"/>
          <w:lang w:val="en-GB"/>
        </w:rPr>
        <w:t xml:space="preserve"> or a member of his/her immediate family and the bank or its subsidiary on the supply or goods or the provision of services, including financial and consulting services, on the basis of which the member of the </w:t>
      </w:r>
      <w:r w:rsidR="003E2585">
        <w:rPr>
          <w:noProof/>
          <w:sz w:val="22"/>
          <w:szCs w:val="22"/>
          <w:lang w:val="en-GB"/>
        </w:rPr>
        <w:t>Management body</w:t>
      </w:r>
      <w:r>
        <w:rPr>
          <w:noProof/>
          <w:sz w:val="22"/>
          <w:szCs w:val="22"/>
          <w:lang w:val="en-GB"/>
        </w:rPr>
        <w:t xml:space="preserve"> or his/her immediate family member is subject to special treatment that is not in accordance with the adopted business policy or customary practice of the bank or its subsidiary, </w:t>
      </w:r>
    </w:p>
    <w:p w:rsidR="00823BAB" w:rsidRPr="00823BAB" w:rsidRDefault="00823BAB" w:rsidP="00823BAB">
      <w:pPr>
        <w:pStyle w:val="Default"/>
        <w:numPr>
          <w:ilvl w:val="0"/>
          <w:numId w:val="5"/>
        </w:numPr>
        <w:tabs>
          <w:tab w:val="left" w:pos="284"/>
        </w:tabs>
        <w:jc w:val="both"/>
        <w:rPr>
          <w:noProof/>
          <w:sz w:val="22"/>
          <w:szCs w:val="22"/>
        </w:rPr>
      </w:pPr>
      <w:r>
        <w:rPr>
          <w:noProof/>
          <w:sz w:val="22"/>
          <w:szCs w:val="22"/>
          <w:lang w:val="en-GB"/>
        </w:rPr>
        <w:t xml:space="preserve">a member of the </w:t>
      </w:r>
      <w:r w:rsidR="003E2585">
        <w:rPr>
          <w:noProof/>
          <w:sz w:val="22"/>
          <w:szCs w:val="22"/>
          <w:lang w:val="en-GB"/>
        </w:rPr>
        <w:t>Management body</w:t>
      </w:r>
      <w:r>
        <w:rPr>
          <w:noProof/>
          <w:sz w:val="22"/>
          <w:szCs w:val="22"/>
          <w:lang w:val="en-GB"/>
        </w:rPr>
        <w:t xml:space="preserve"> or a member of his/her immediate family is, as the user of banking or other services provided by the bank or its subsidiary, subject to treatment that is not in accordance with the adopted business policy or customary practice of the bank or its subsidiary, </w:t>
      </w:r>
    </w:p>
    <w:p w:rsidR="00823BAB" w:rsidRPr="00823BAB" w:rsidRDefault="00823BAB" w:rsidP="00823BAB">
      <w:pPr>
        <w:pStyle w:val="Default"/>
        <w:numPr>
          <w:ilvl w:val="0"/>
          <w:numId w:val="5"/>
        </w:numPr>
        <w:tabs>
          <w:tab w:val="left" w:pos="284"/>
        </w:tabs>
        <w:jc w:val="both"/>
        <w:rPr>
          <w:noProof/>
          <w:sz w:val="22"/>
          <w:szCs w:val="22"/>
        </w:rPr>
      </w:pPr>
      <w:r>
        <w:rPr>
          <w:noProof/>
          <w:sz w:val="22"/>
          <w:szCs w:val="22"/>
          <w:lang w:val="en-GB"/>
        </w:rPr>
        <w:t xml:space="preserve">a member of the </w:t>
      </w:r>
      <w:r w:rsidR="003E2585">
        <w:rPr>
          <w:noProof/>
          <w:sz w:val="22"/>
          <w:szCs w:val="22"/>
          <w:lang w:val="en-GB"/>
        </w:rPr>
        <w:t>Management body</w:t>
      </w:r>
      <w:r>
        <w:rPr>
          <w:noProof/>
          <w:sz w:val="22"/>
          <w:szCs w:val="22"/>
          <w:lang w:val="en-GB"/>
        </w:rPr>
        <w:t xml:space="preserve"> or a member of his/her immediate family transacts privately with or is a member of an organisation that receives contributions in the form of donations, sponsorships or other assistance from the bank, when the aggregate amount of the contributions exceeds EUR 1,000 on an annual basis,</w:t>
      </w:r>
    </w:p>
    <w:p w:rsidR="00823BAB" w:rsidRPr="00823BAB" w:rsidRDefault="00823BAB" w:rsidP="00823BAB">
      <w:pPr>
        <w:pStyle w:val="Default"/>
        <w:numPr>
          <w:ilvl w:val="0"/>
          <w:numId w:val="5"/>
        </w:numPr>
        <w:tabs>
          <w:tab w:val="left" w:pos="284"/>
        </w:tabs>
        <w:jc w:val="both"/>
        <w:rPr>
          <w:noProof/>
          <w:sz w:val="22"/>
          <w:szCs w:val="22"/>
        </w:rPr>
      </w:pPr>
      <w:r>
        <w:rPr>
          <w:noProof/>
          <w:sz w:val="22"/>
          <w:szCs w:val="22"/>
          <w:lang w:val="en-GB"/>
        </w:rPr>
        <w:t>a member of the senior management or a member of his/her immediate family is, as the user of banking or other services provided by the bank or its subsidiary, subject to treatment that is not in accordance with the adopted business policy or customary practice of the bank or its subsidiary;</w:t>
      </w:r>
    </w:p>
    <w:p w:rsidR="00823BAB" w:rsidRPr="00823BAB" w:rsidRDefault="00823BAB" w:rsidP="00823BAB">
      <w:pPr>
        <w:ind w:firstLine="360"/>
        <w:jc w:val="both"/>
        <w:rPr>
          <w:noProof/>
        </w:rPr>
      </w:pPr>
      <w:r>
        <w:rPr>
          <w:noProof/>
          <w:lang w:val="en-GB"/>
        </w:rPr>
        <w:t xml:space="preserve">6. an “indirect significant business contact” is a situation involving a significant business contact set out in the previous point in which the member of the </w:t>
      </w:r>
      <w:r w:rsidR="003E2585">
        <w:rPr>
          <w:noProof/>
          <w:lang w:val="en-GB"/>
        </w:rPr>
        <w:t>Management body</w:t>
      </w:r>
      <w:r>
        <w:rPr>
          <w:noProof/>
          <w:lang w:val="en-GB"/>
        </w:rPr>
        <w:t xml:space="preserve"> or a member of his/her immediate family is simultaneously a business partner of, a holder of a qualifying holding in, or a person authorised to manage the operations and act as the statutory representative of an entity, including a sole trader or the procurator of the entity, that has a business relationship with the bank;</w:t>
      </w:r>
    </w:p>
    <w:p w:rsidR="00823BAB" w:rsidRPr="00823BAB" w:rsidRDefault="00823BAB" w:rsidP="00823BAB">
      <w:pPr>
        <w:ind w:firstLine="360"/>
        <w:jc w:val="both"/>
        <w:rPr>
          <w:noProof/>
        </w:rPr>
      </w:pPr>
      <w:r>
        <w:rPr>
          <w:noProof/>
          <w:lang w:val="en-GB"/>
        </w:rPr>
        <w:t>7. the “risk profile” is the assessment of the overall exposure to risks to which a bank is or could be exposed in its operations at a specific moment, including interactions and concentration risk (hereinafter: the bank’s risks). This assessment may take account of exposure to risks before or after the application of risk management measures;</w:t>
      </w:r>
    </w:p>
    <w:p w:rsidR="00823BAB" w:rsidRPr="00823BAB" w:rsidRDefault="00823BAB" w:rsidP="00823BAB">
      <w:pPr>
        <w:ind w:firstLine="360"/>
        <w:jc w:val="both"/>
        <w:rPr>
          <w:noProof/>
        </w:rPr>
      </w:pPr>
      <w:r>
        <w:rPr>
          <w:noProof/>
          <w:lang w:val="en-GB"/>
        </w:rPr>
        <w:t>8. the “</w:t>
      </w:r>
      <w:r w:rsidR="00A908D2">
        <w:rPr>
          <w:noProof/>
          <w:lang w:val="en-GB"/>
        </w:rPr>
        <w:t>risk appetite</w:t>
      </w:r>
      <w:r>
        <w:rPr>
          <w:noProof/>
          <w:lang w:val="en-GB"/>
        </w:rPr>
        <w:t xml:space="preserve">” (also “acceptable risk” and “risk tolerance”;) is the overall level of risk </w:t>
      </w:r>
      <w:r w:rsidR="00064C29">
        <w:rPr>
          <w:noProof/>
          <w:lang w:val="en-GB"/>
        </w:rPr>
        <w:t xml:space="preserve">accepted </w:t>
      </w:r>
      <w:r>
        <w:rPr>
          <w:noProof/>
          <w:lang w:val="en-GB"/>
        </w:rPr>
        <w:t xml:space="preserve">in advance, including the levels of individual types of risk, that the bank is willing to take up for the purpose of realising its business objectives, strategies, policies and plans, having regard for the bank’s risk </w:t>
      </w:r>
      <w:r w:rsidR="00CA3850">
        <w:rPr>
          <w:noProof/>
          <w:lang w:val="en-GB"/>
        </w:rPr>
        <w:t>bearing</w:t>
      </w:r>
      <w:r>
        <w:rPr>
          <w:noProof/>
          <w:lang w:val="en-GB"/>
        </w:rPr>
        <w:t xml:space="preserve"> capacity, its strategies and policies for the take-up and management of risks, and its capital, liquidity and remuneration policies; </w:t>
      </w:r>
    </w:p>
    <w:p w:rsidR="00823BAB" w:rsidRPr="00823BAB" w:rsidRDefault="00823BAB" w:rsidP="00823BAB">
      <w:pPr>
        <w:ind w:firstLine="360"/>
        <w:jc w:val="both"/>
        <w:rPr>
          <w:noProof/>
        </w:rPr>
      </w:pPr>
      <w:r>
        <w:rPr>
          <w:noProof/>
          <w:lang w:val="en-GB"/>
        </w:rPr>
        <w:t xml:space="preserve">9. “risk limits” are the adopted quantitative restrictions and measures based on which a bank manages the take-up of risks and their concentration across products, investments, business lines, entities in the group or other risk management criteria, and that allow the bank to allocate risks across business lines and types of risk and that the bank sets with regard to its risk </w:t>
      </w:r>
      <w:r w:rsidR="00912BE8">
        <w:rPr>
          <w:noProof/>
          <w:lang w:val="en-GB"/>
        </w:rPr>
        <w:t>appetite</w:t>
      </w:r>
      <w:r>
        <w:rPr>
          <w:noProof/>
          <w:lang w:val="en-GB"/>
        </w:rPr>
        <w:t xml:space="preserve">, various stress scenarios and other criteria; </w:t>
      </w:r>
    </w:p>
    <w:p w:rsidR="00823BAB" w:rsidRPr="00823BAB" w:rsidRDefault="00823BAB" w:rsidP="00823BAB">
      <w:pPr>
        <w:ind w:firstLine="360"/>
        <w:jc w:val="both"/>
        <w:rPr>
          <w:noProof/>
        </w:rPr>
      </w:pPr>
      <w:r>
        <w:rPr>
          <w:noProof/>
          <w:lang w:val="en-GB"/>
        </w:rPr>
        <w:t xml:space="preserve">10. “risk </w:t>
      </w:r>
      <w:r w:rsidR="00725B2C">
        <w:rPr>
          <w:noProof/>
          <w:lang w:val="en-GB"/>
        </w:rPr>
        <w:t>bearing</w:t>
      </w:r>
      <w:r>
        <w:rPr>
          <w:noProof/>
          <w:lang w:val="en-GB"/>
        </w:rPr>
        <w:t xml:space="preserve"> capacity” is the largest overall risk level that a bank is able to take up, having regard for its available capital, liquidity, risk management and control measures, stress test results and other restrictions on the take-up of risks;</w:t>
      </w:r>
    </w:p>
    <w:p w:rsidR="00823BAB" w:rsidRPr="00823BAB" w:rsidRDefault="00823BAB" w:rsidP="00823BAB">
      <w:pPr>
        <w:ind w:firstLine="360"/>
        <w:jc w:val="both"/>
        <w:rPr>
          <w:noProof/>
        </w:rPr>
      </w:pPr>
      <w:r>
        <w:rPr>
          <w:noProof/>
          <w:lang w:val="en-GB"/>
        </w:rPr>
        <w:t>11. the “risk management culture” is a bank’s level of standards and values implemented</w:t>
      </w:r>
      <w:r w:rsidR="00164A4B">
        <w:rPr>
          <w:noProof/>
          <w:lang w:val="en-GB"/>
        </w:rPr>
        <w:t>, considering the</w:t>
      </w:r>
      <w:r>
        <w:rPr>
          <w:noProof/>
          <w:lang w:val="en-GB"/>
        </w:rPr>
        <w:t xml:space="preserve"> risk awareness </w:t>
      </w:r>
      <w:r w:rsidR="00D903B1">
        <w:rPr>
          <w:noProof/>
          <w:lang w:val="en-GB"/>
        </w:rPr>
        <w:t xml:space="preserve">of </w:t>
      </w:r>
      <w:r>
        <w:rPr>
          <w:noProof/>
          <w:lang w:val="en-GB"/>
        </w:rPr>
        <w:t xml:space="preserve">the members of the </w:t>
      </w:r>
      <w:r w:rsidR="003E2585">
        <w:rPr>
          <w:noProof/>
          <w:lang w:val="en-GB"/>
        </w:rPr>
        <w:t>Management body</w:t>
      </w:r>
      <w:r>
        <w:rPr>
          <w:noProof/>
          <w:lang w:val="en-GB"/>
        </w:rPr>
        <w:t xml:space="preserve"> and other employees that via their actions and attitudes to the bank’s risk and the proposals for internal control functions is reflected in their decision with regard to the take-up and management of risks at the level of the bank’s daily activities and has an impact on the implementation of the adopted risk </w:t>
      </w:r>
      <w:r w:rsidR="00912BE8">
        <w:rPr>
          <w:noProof/>
          <w:lang w:val="en-GB"/>
        </w:rPr>
        <w:t>appetite</w:t>
      </w:r>
      <w:r>
        <w:rPr>
          <w:noProof/>
          <w:lang w:val="en-GB"/>
        </w:rPr>
        <w:t>;</w:t>
      </w:r>
    </w:p>
    <w:p w:rsidR="00823BAB" w:rsidRPr="00823BAB" w:rsidRDefault="00823BAB" w:rsidP="00823BAB">
      <w:pPr>
        <w:ind w:firstLine="360"/>
        <w:jc w:val="both"/>
        <w:rPr>
          <w:noProof/>
        </w:rPr>
      </w:pPr>
      <w:r>
        <w:rPr>
          <w:noProof/>
          <w:lang w:val="en-GB"/>
        </w:rPr>
        <w:t xml:space="preserve">12, “credit risk” is the risk of a loss as a result of a counterparty’s inability to settle contractual liabilities by the originally agreed deadline, excluding the realisation of credit protection; </w:t>
      </w:r>
    </w:p>
    <w:p w:rsidR="00823BAB" w:rsidRPr="00823BAB" w:rsidRDefault="00823BAB" w:rsidP="00823BAB">
      <w:pPr>
        <w:ind w:firstLine="360"/>
        <w:jc w:val="both"/>
        <w:rPr>
          <w:noProof/>
        </w:rPr>
      </w:pPr>
      <w:r>
        <w:rPr>
          <w:noProof/>
          <w:lang w:val="en-GB"/>
        </w:rPr>
        <w:t xml:space="preserve">13. “concentration risk” is the risk of excessive direct and/or indirect exposure arising from the credit risk of a bank or banking group vis-à-vis an individual client, a group of connected clients or clients linked by common risk factors; </w:t>
      </w:r>
    </w:p>
    <w:p w:rsidR="00823BAB" w:rsidRPr="00823BAB" w:rsidRDefault="00823BAB" w:rsidP="00823BAB">
      <w:pPr>
        <w:ind w:firstLine="360"/>
        <w:jc w:val="both"/>
        <w:rPr>
          <w:noProof/>
        </w:rPr>
      </w:pPr>
      <w:r>
        <w:rPr>
          <w:noProof/>
          <w:lang w:val="en-GB"/>
        </w:rPr>
        <w:t>14. “compliance risk” is the risk of legal or regulatory sanctions, significant financial losses or a loss of reputation as a result of a bank’s operations failing to comply with the relevant regulations and standards of good practice;</w:t>
      </w:r>
    </w:p>
    <w:p w:rsidR="00823BAB" w:rsidRPr="00823BAB" w:rsidRDefault="00823BAB" w:rsidP="00823BAB">
      <w:pPr>
        <w:ind w:firstLine="360"/>
        <w:jc w:val="both"/>
        <w:rPr>
          <w:noProof/>
        </w:rPr>
      </w:pPr>
      <w:r>
        <w:rPr>
          <w:noProof/>
          <w:lang w:val="en-GB"/>
        </w:rPr>
        <w:t>15. “interest rate risk” is the risk of a loss as a result of adverse movements in interest rates in the banking book;</w:t>
      </w:r>
    </w:p>
    <w:p w:rsidR="00823BAB" w:rsidRPr="00823BAB" w:rsidRDefault="00823BAB" w:rsidP="00823BAB">
      <w:pPr>
        <w:ind w:firstLine="360"/>
        <w:jc w:val="both"/>
        <w:rPr>
          <w:noProof/>
        </w:rPr>
      </w:pPr>
      <w:r>
        <w:rPr>
          <w:noProof/>
          <w:lang w:val="en-GB"/>
        </w:rPr>
        <w:t>16. “market risks” are the risk of a loss as a result of adverse movements in market prices;</w:t>
      </w:r>
    </w:p>
    <w:p w:rsidR="00823BAB" w:rsidRPr="00823BAB" w:rsidRDefault="00823BAB" w:rsidP="00823BAB">
      <w:pPr>
        <w:ind w:firstLine="360"/>
        <w:jc w:val="both"/>
        <w:rPr>
          <w:noProof/>
        </w:rPr>
      </w:pPr>
      <w:r>
        <w:rPr>
          <w:noProof/>
          <w:lang w:val="en-GB"/>
        </w:rPr>
        <w:t>17. “liquidity risk” is the risk of a loss including:</w:t>
      </w:r>
    </w:p>
    <w:p w:rsidR="00823BAB" w:rsidRPr="00823BAB" w:rsidRDefault="00823BAB" w:rsidP="00823BAB">
      <w:pPr>
        <w:pStyle w:val="Odstavekseznama"/>
        <w:numPr>
          <w:ilvl w:val="0"/>
          <w:numId w:val="6"/>
        </w:numPr>
        <w:jc w:val="both"/>
        <w:rPr>
          <w:noProof/>
        </w:rPr>
      </w:pPr>
      <w:r>
        <w:rPr>
          <w:noProof/>
          <w:lang w:val="en-GB"/>
        </w:rPr>
        <w:t>the risk of providing sources of liquidity, as the risk of a loss occurring when a bank is unable to settle all of its maturing liabilities, or when a bank must obtain sources of liquidity at costs significantly higher than average market costs due to its inability to provide sufficient funds to settle its liabilities at maturity,</w:t>
      </w:r>
    </w:p>
    <w:p w:rsidR="00823BAB" w:rsidRPr="00823BAB" w:rsidRDefault="00823BAB" w:rsidP="00823BAB">
      <w:pPr>
        <w:pStyle w:val="Odstavekseznama"/>
        <w:numPr>
          <w:ilvl w:val="0"/>
          <w:numId w:val="6"/>
        </w:numPr>
        <w:jc w:val="both"/>
        <w:rPr>
          <w:noProof/>
        </w:rPr>
      </w:pPr>
      <w:r>
        <w:rPr>
          <w:noProof/>
          <w:lang w:val="en-GB"/>
        </w:rPr>
        <w:t>market liquidity risk, where positions (in an instrument) cannot be sold or replaced in a short time without significantly affecting market price, either because of inadequate market depth or because of market imbalances;</w:t>
      </w:r>
    </w:p>
    <w:p w:rsidR="00823BAB" w:rsidRPr="00823BAB" w:rsidRDefault="00823BAB" w:rsidP="00823BAB">
      <w:pPr>
        <w:ind w:firstLine="360"/>
        <w:jc w:val="both"/>
        <w:rPr>
          <w:noProof/>
        </w:rPr>
      </w:pPr>
      <w:r>
        <w:rPr>
          <w:noProof/>
          <w:lang w:val="en-GB"/>
        </w:rPr>
        <w:t>18. “reputation risk” is the risk of a loss as a result of a negative image about a bank held by its customers, business partners, employees, owners and investors, competent authorities or supervisory authorities, or other relevant public audiences;</w:t>
      </w:r>
    </w:p>
    <w:p w:rsidR="00823BAB" w:rsidRPr="00823BAB" w:rsidRDefault="00823BAB" w:rsidP="00823BAB">
      <w:pPr>
        <w:ind w:firstLine="360"/>
        <w:jc w:val="both"/>
        <w:rPr>
          <w:noProof/>
        </w:rPr>
      </w:pPr>
      <w:r>
        <w:rPr>
          <w:noProof/>
          <w:lang w:val="en-GB"/>
        </w:rPr>
        <w:t xml:space="preserve">19. “strategic risk” is the risk of loss as a result of incorrect business decisions by the </w:t>
      </w:r>
      <w:r w:rsidR="003E2585">
        <w:rPr>
          <w:noProof/>
          <w:lang w:val="en-GB"/>
        </w:rPr>
        <w:t>Management body</w:t>
      </w:r>
      <w:r>
        <w:rPr>
          <w:noProof/>
          <w:lang w:val="en-GB"/>
        </w:rPr>
        <w:t xml:space="preserve">, a failure to implement the decisions taken, and weak responsiveness on the part of the </w:t>
      </w:r>
      <w:r w:rsidR="003E2585">
        <w:rPr>
          <w:noProof/>
          <w:lang w:val="en-GB"/>
        </w:rPr>
        <w:t>Management body</w:t>
      </w:r>
      <w:r>
        <w:rPr>
          <w:noProof/>
          <w:lang w:val="en-GB"/>
        </w:rPr>
        <w:t xml:space="preserve"> to changes in the business environment;</w:t>
      </w:r>
    </w:p>
    <w:p w:rsidR="00823BAB" w:rsidRPr="00823BAB" w:rsidRDefault="00823BAB" w:rsidP="00823BAB">
      <w:pPr>
        <w:ind w:firstLine="360"/>
        <w:jc w:val="both"/>
        <w:rPr>
          <w:noProof/>
        </w:rPr>
      </w:pPr>
      <w:r>
        <w:rPr>
          <w:noProof/>
          <w:lang w:val="en-GB"/>
        </w:rPr>
        <w:t xml:space="preserve">20. “capital risk” is the risk of a loss as a result of the inadequate composition of capital with regard to the nature and scope of a bank’s operations or to the difficulties that the bank faces in obtaining fresh capital, particularly in the event of the need for a rapid increase in capital or in the event of adverse business conditions; </w:t>
      </w:r>
    </w:p>
    <w:p w:rsidR="00823BAB" w:rsidRPr="00823BAB" w:rsidRDefault="00823BAB" w:rsidP="00823BAB">
      <w:pPr>
        <w:ind w:firstLine="360"/>
        <w:jc w:val="both"/>
        <w:rPr>
          <w:noProof/>
        </w:rPr>
      </w:pPr>
      <w:r>
        <w:rPr>
          <w:noProof/>
          <w:lang w:val="en-GB"/>
        </w:rPr>
        <w:t>21. “profitability risk” is the risk of a loss as a result of the inadequate composition or diversification of income or a bank’s inability to ensure a sufficient and sustainable level of profitability;</w:t>
      </w:r>
    </w:p>
    <w:p w:rsidR="00823BAB" w:rsidRPr="00823BAB" w:rsidRDefault="00823BAB" w:rsidP="00823BAB">
      <w:pPr>
        <w:ind w:firstLine="360"/>
        <w:jc w:val="both"/>
        <w:rPr>
          <w:noProof/>
        </w:rPr>
      </w:pPr>
      <w:r>
        <w:rPr>
          <w:noProof/>
          <w:lang w:val="en-GB"/>
        </w:rPr>
        <w:t xml:space="preserve">22. the “internal </w:t>
      </w:r>
      <w:r w:rsidR="003517E9">
        <w:rPr>
          <w:noProof/>
          <w:lang w:val="en-GB"/>
        </w:rPr>
        <w:t>capital requirements</w:t>
      </w:r>
      <w:r>
        <w:rPr>
          <w:noProof/>
          <w:lang w:val="en-GB"/>
        </w:rPr>
        <w:t>” is an estimate of the capital</w:t>
      </w:r>
      <w:r w:rsidR="006F4F37">
        <w:rPr>
          <w:noProof/>
          <w:lang w:val="en-GB"/>
        </w:rPr>
        <w:t>, needed</w:t>
      </w:r>
      <w:r>
        <w:rPr>
          <w:noProof/>
          <w:lang w:val="en-GB"/>
        </w:rPr>
        <w:t xml:space="preserve"> for covering the bank’s risks;</w:t>
      </w:r>
    </w:p>
    <w:p w:rsidR="00823BAB" w:rsidRPr="00823BAB" w:rsidRDefault="00823BAB" w:rsidP="00823BAB">
      <w:pPr>
        <w:ind w:firstLine="360"/>
        <w:jc w:val="both"/>
        <w:rPr>
          <w:noProof/>
        </w:rPr>
      </w:pPr>
      <w:r>
        <w:rPr>
          <w:noProof/>
          <w:lang w:val="en-GB"/>
        </w:rPr>
        <w:t xml:space="preserve">23. the “internal capital </w:t>
      </w:r>
      <w:r w:rsidR="003517E9">
        <w:rPr>
          <w:noProof/>
          <w:lang w:val="en-GB"/>
        </w:rPr>
        <w:t>assessment</w:t>
      </w:r>
      <w:r>
        <w:rPr>
          <w:noProof/>
          <w:lang w:val="en-GB"/>
        </w:rPr>
        <w:t>” is the capital calculated on the basis of the internal definition of a bank’s capital components;</w:t>
      </w:r>
    </w:p>
    <w:p w:rsidR="00823BAB" w:rsidRPr="00823BAB" w:rsidRDefault="00823BAB" w:rsidP="00823BAB">
      <w:pPr>
        <w:ind w:firstLine="360"/>
        <w:jc w:val="both"/>
        <w:rPr>
          <w:noProof/>
        </w:rPr>
      </w:pPr>
      <w:r>
        <w:rPr>
          <w:noProof/>
          <w:lang w:val="en-GB"/>
        </w:rPr>
        <w:t>24. a “stress test” entails the use of various quantitative and qualitative techniques for testing a bank’s robustness to severe but plausible developments set out by the bank on the basis of various combinations of changes in risk factors (stress test scenarios);</w:t>
      </w:r>
    </w:p>
    <w:p w:rsidR="00823BAB" w:rsidRPr="00823BAB" w:rsidRDefault="00823BAB" w:rsidP="00823BAB">
      <w:pPr>
        <w:ind w:firstLine="360"/>
        <w:jc w:val="both"/>
        <w:rPr>
          <w:noProof/>
        </w:rPr>
      </w:pPr>
      <w:r>
        <w:rPr>
          <w:noProof/>
          <w:lang w:val="en-GB"/>
        </w:rPr>
        <w:t xml:space="preserve">25. “sensitivity analysis” is a technique that is less complicated </w:t>
      </w:r>
      <w:r w:rsidR="00D65F92">
        <w:rPr>
          <w:noProof/>
          <w:lang w:val="en-GB"/>
        </w:rPr>
        <w:t>technique of a</w:t>
      </w:r>
      <w:r>
        <w:rPr>
          <w:noProof/>
          <w:lang w:val="en-GB"/>
        </w:rPr>
        <w:t xml:space="preserve"> stress test and that merely includes an assessment of the impact of a change in a single precisely determined risk factor on a bank’s financial position, whereby the cause of the shock is not defined;</w:t>
      </w:r>
    </w:p>
    <w:p w:rsidR="00823BAB" w:rsidRPr="00823BAB" w:rsidRDefault="00823BAB" w:rsidP="00823BAB">
      <w:pPr>
        <w:ind w:firstLine="360"/>
        <w:jc w:val="both"/>
        <w:rPr>
          <w:noProof/>
        </w:rPr>
      </w:pPr>
      <w:r>
        <w:rPr>
          <w:noProof/>
          <w:lang w:val="en-GB"/>
        </w:rPr>
        <w:t>26. the “internal liquidity adequacy assessment process” (hereinafter: the ILAAP) is a process that ensures the quality and effectiveness of liquidity risk management, and the adequacy of a bank’s liquidity with regard to its risk profile.</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pStyle w:val="Odstavekseznama"/>
        <w:numPr>
          <w:ilvl w:val="1"/>
          <w:numId w:val="2"/>
        </w:numPr>
        <w:rPr>
          <w:b/>
          <w:noProof/>
        </w:rPr>
      </w:pPr>
      <w:r>
        <w:rPr>
          <w:b/>
          <w:bCs/>
          <w:noProof/>
          <w:lang w:val="en-GB"/>
        </w:rPr>
        <w:t>Bank measures to comply with requirements of this regulation</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4</w:t>
      </w:r>
    </w:p>
    <w:p w:rsidR="00823BAB" w:rsidRPr="00823BAB" w:rsidRDefault="00823BAB" w:rsidP="00823BAB">
      <w:pPr>
        <w:rPr>
          <w:b/>
          <w:noProof/>
        </w:rPr>
      </w:pPr>
      <w:r>
        <w:rPr>
          <w:b/>
          <w:bCs/>
          <w:noProof/>
          <w:lang w:val="en-GB"/>
        </w:rPr>
        <w:t>(relationship between bank’s business strategy and risk strategy)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For the purpose of implementing effective corporate governance arrangements referred to in point 1 of the second </w:t>
      </w:r>
      <w:r w:rsidR="00D77578">
        <w:rPr>
          <w:noProof/>
          <w:lang w:val="en-GB"/>
        </w:rPr>
        <w:t>paragraph of Article 3 of this r</w:t>
      </w:r>
      <w:r>
        <w:rPr>
          <w:noProof/>
          <w:lang w:val="en-GB"/>
        </w:rPr>
        <w:t xml:space="preserve">egulation, the </w:t>
      </w:r>
      <w:r w:rsidR="003E2585">
        <w:rPr>
          <w:noProof/>
          <w:lang w:val="en-GB"/>
        </w:rPr>
        <w:t>Management body</w:t>
      </w:r>
      <w:r>
        <w:rPr>
          <w:noProof/>
          <w:lang w:val="en-GB"/>
        </w:rPr>
        <w:t xml:space="preserve"> shall ensure that a bank’s business objectives, strategies and policies are appropriately </w:t>
      </w:r>
      <w:r w:rsidR="00D77578">
        <w:rPr>
          <w:noProof/>
          <w:lang w:val="en-GB"/>
        </w:rPr>
        <w:t>connecte</w:t>
      </w:r>
      <w:r w:rsidR="00E776A7">
        <w:rPr>
          <w:noProof/>
          <w:lang w:val="en-GB"/>
        </w:rPr>
        <w:t>d</w:t>
      </w:r>
      <w:r>
        <w:rPr>
          <w:noProof/>
          <w:lang w:val="en-GB"/>
        </w:rPr>
        <w:t xml:space="preserve"> with the </w:t>
      </w:r>
      <w:r w:rsidR="00B74BCA">
        <w:rPr>
          <w:noProof/>
          <w:lang w:val="en-GB"/>
        </w:rPr>
        <w:t xml:space="preserve">risk </w:t>
      </w:r>
      <w:r>
        <w:rPr>
          <w:noProof/>
          <w:lang w:val="en-GB"/>
        </w:rPr>
        <w:t>strategies and policies referred to in Articles 5 and 6 of this regulation.</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When the business objectives, strategies and policies referred to in the first paragraph of this article pursue a strategy of high risk </w:t>
      </w:r>
      <w:r w:rsidR="00912BE8">
        <w:rPr>
          <w:noProof/>
          <w:lang w:val="en-GB"/>
        </w:rPr>
        <w:t>appetite</w:t>
      </w:r>
      <w:r>
        <w:rPr>
          <w:noProof/>
          <w:lang w:val="en-GB"/>
        </w:rPr>
        <w:t xml:space="preserve">, the </w:t>
      </w:r>
      <w:r w:rsidR="003E2585">
        <w:rPr>
          <w:noProof/>
          <w:lang w:val="en-GB"/>
        </w:rPr>
        <w:t>Management body</w:t>
      </w:r>
      <w:r>
        <w:rPr>
          <w:noProof/>
          <w:lang w:val="en-GB"/>
        </w:rPr>
        <w:t xml:space="preserve"> shall, having regard for the nature, scale and complexity of the risks inherent in the bank’s business model and the activities pursued by the bank, ensure effective internal governance arrangements commensurate therewith.</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(3) A risk strategy that is not based on commensurately effective internal governance arrangements may be reflected in the bank’s strategic risk, and in the excessive take-up of risks.</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5</w:t>
      </w:r>
    </w:p>
    <w:p w:rsidR="00823BAB" w:rsidRPr="00823BAB" w:rsidRDefault="00823BAB" w:rsidP="00823BAB">
      <w:pPr>
        <w:rPr>
          <w:b/>
          <w:noProof/>
        </w:rPr>
      </w:pPr>
      <w:r>
        <w:rPr>
          <w:b/>
          <w:bCs/>
          <w:noProof/>
          <w:lang w:val="en-GB"/>
        </w:rPr>
        <w:t>(risk strategies)</w:t>
      </w:r>
    </w:p>
    <w:p w:rsidR="00823BAB" w:rsidRPr="00823BAB" w:rsidRDefault="00823BAB" w:rsidP="00823BAB">
      <w:pPr>
        <w:jc w:val="both"/>
        <w:rPr>
          <w:noProof/>
        </w:rPr>
      </w:pPr>
    </w:p>
    <w:p w:rsidR="00823BAB" w:rsidRPr="00823BAB" w:rsidRDefault="00823BAB" w:rsidP="00823BAB">
      <w:pPr>
        <w:jc w:val="both"/>
        <w:rPr>
          <w:noProof/>
        </w:rPr>
      </w:pPr>
      <w:r>
        <w:rPr>
          <w:noProof/>
          <w:lang w:val="en-GB"/>
        </w:rPr>
        <w:t xml:space="preserve">A bank shall put in place and implement effective and comprehensive strategies for taking up and managing risks set out in the first and second paragraphs of Article 19 of this regulation (hereinafter: risk strategies) that take account of the bank’s business strategy and its long-term interests, including the protection of the interests of the bank’s unsecured creditors. The risk strategies shall define the bank’s objectives and general approach to taking up and managing risks, including a definition of the risk </w:t>
      </w:r>
      <w:r w:rsidR="00912BE8">
        <w:rPr>
          <w:noProof/>
          <w:lang w:val="en-GB"/>
        </w:rPr>
        <w:t>appetite</w:t>
      </w:r>
      <w:r>
        <w:rPr>
          <w:noProof/>
          <w:lang w:val="en-GB"/>
        </w:rPr>
        <w:t xml:space="preserve">, taking account of factors in the bank’s internal and external environment and the bank’s risk attributes. </w:t>
      </w:r>
    </w:p>
    <w:p w:rsidR="00823BAB" w:rsidRPr="00823BAB" w:rsidRDefault="00823BAB" w:rsidP="00823BAB">
      <w:pPr>
        <w:pStyle w:val="Odstavekseznama"/>
        <w:ind w:left="360"/>
        <w:jc w:val="both"/>
        <w:rPr>
          <w:b/>
          <w:noProof/>
        </w:rPr>
      </w:pPr>
    </w:p>
    <w:p w:rsidR="00823BAB" w:rsidRPr="00823BAB" w:rsidRDefault="00823BAB" w:rsidP="00823BAB">
      <w:pPr>
        <w:pStyle w:val="Odstavekseznama"/>
        <w:numPr>
          <w:ilvl w:val="0"/>
          <w:numId w:val="12"/>
        </w:numPr>
        <w:rPr>
          <w:b/>
          <w:noProof/>
        </w:rPr>
      </w:pPr>
      <w:r>
        <w:rPr>
          <w:b/>
          <w:bCs/>
          <w:noProof/>
          <w:lang w:val="en-GB"/>
        </w:rPr>
        <w:t>Article 6</w:t>
      </w:r>
    </w:p>
    <w:p w:rsidR="00823BAB" w:rsidRPr="00823BAB" w:rsidRDefault="00823BAB" w:rsidP="00823BAB">
      <w:pPr>
        <w:rPr>
          <w:b/>
          <w:noProof/>
        </w:rPr>
      </w:pPr>
      <w:r>
        <w:rPr>
          <w:b/>
          <w:bCs/>
          <w:noProof/>
          <w:lang w:val="en-GB"/>
        </w:rPr>
        <w:t>(risk policies)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put in place and implement policies for taking up and managing risks set out in the first and second paragraphs of Article 19 of this regulation (hereinafter: risk policies) that set out the implementation of the risk strategies referred to in Article 5 of this regulation.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The risk policies referred to in the first paragraph of this article shall provide a detailed definition of the functions, systems, processes, procedures, methodologies and rules of the bank’s internal governance arrangements, including the corresponding powers and responsibilities, and the reporting flows at all levels of the bank’s hierarchical and organisational structure.</w:t>
      </w:r>
    </w:p>
    <w:p w:rsidR="00823BAB" w:rsidRPr="00823BAB" w:rsidRDefault="00823BAB" w:rsidP="00823BAB">
      <w:pPr>
        <w:jc w:val="both"/>
        <w:rPr>
          <w:noProof/>
        </w:rPr>
      </w:pPr>
    </w:p>
    <w:p w:rsidR="00823BAB" w:rsidRPr="0025073A" w:rsidRDefault="00823BAB" w:rsidP="0025073A">
      <w:pPr>
        <w:rPr>
          <w:b/>
          <w:noProof/>
        </w:rPr>
      </w:pPr>
      <w:r w:rsidRPr="0025073A">
        <w:rPr>
          <w:b/>
          <w:bCs/>
          <w:noProof/>
          <w:lang w:val="en-GB"/>
        </w:rPr>
        <w:t>Article 7</w:t>
      </w:r>
    </w:p>
    <w:p w:rsidR="00823BAB" w:rsidRPr="00823BAB" w:rsidRDefault="00823BAB" w:rsidP="00823BAB">
      <w:pPr>
        <w:rPr>
          <w:b/>
          <w:noProof/>
        </w:rPr>
      </w:pPr>
      <w:r>
        <w:rPr>
          <w:b/>
          <w:bCs/>
          <w:noProof/>
          <w:lang w:val="en-GB"/>
        </w:rPr>
        <w:t xml:space="preserve">(responsibilities of </w:t>
      </w:r>
      <w:r w:rsidR="003E2585">
        <w:rPr>
          <w:b/>
          <w:bCs/>
          <w:noProof/>
          <w:lang w:val="en-GB"/>
        </w:rPr>
        <w:t>Management body</w:t>
      </w:r>
      <w:r>
        <w:rPr>
          <w:b/>
          <w:bCs/>
          <w:noProof/>
          <w:lang w:val="en-GB"/>
        </w:rPr>
        <w:t xml:space="preserve"> and senior management with regard to risk strategies and policies)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On the basis of its knowledge and understanding of a bank’s risks, in respect of the strategies and policies referred to in Articles 5 and 6 of this regulation the </w:t>
      </w:r>
      <w:r w:rsidR="003E2585">
        <w:rPr>
          <w:noProof/>
          <w:lang w:val="en-GB"/>
        </w:rPr>
        <w:t>Management body</w:t>
      </w:r>
      <w:r>
        <w:rPr>
          <w:noProof/>
          <w:lang w:val="en-GB"/>
        </w:rPr>
        <w:t xml:space="preserve"> shall:</w:t>
      </w:r>
    </w:p>
    <w:p w:rsidR="00823BAB" w:rsidRPr="00823BAB" w:rsidRDefault="00823BAB" w:rsidP="00823BAB">
      <w:pPr>
        <w:ind w:firstLine="360"/>
        <w:jc w:val="both"/>
        <w:rPr>
          <w:noProof/>
        </w:rPr>
      </w:pPr>
      <w:r>
        <w:rPr>
          <w:noProof/>
          <w:lang w:val="en-GB"/>
        </w:rPr>
        <w:t>1. define and adopt them;</w:t>
      </w:r>
    </w:p>
    <w:p w:rsidR="00823BAB" w:rsidRPr="00823BAB" w:rsidRDefault="00823BAB" w:rsidP="00823BAB">
      <w:pPr>
        <w:ind w:firstLine="360"/>
        <w:jc w:val="both"/>
        <w:rPr>
          <w:noProof/>
        </w:rPr>
      </w:pPr>
      <w:r>
        <w:rPr>
          <w:noProof/>
          <w:lang w:val="en-GB"/>
        </w:rPr>
        <w:t>2. regularly (at least once a year) review their adequacy, including ensuring that they are updated in relation to the impact of factors in the bank’s internal and external environment;</w:t>
      </w:r>
    </w:p>
    <w:p w:rsidR="00823BAB" w:rsidRPr="00823BAB" w:rsidRDefault="00823BAB" w:rsidP="00823BAB">
      <w:pPr>
        <w:ind w:firstLine="360"/>
        <w:jc w:val="both"/>
        <w:rPr>
          <w:noProof/>
        </w:rPr>
      </w:pPr>
      <w:r>
        <w:rPr>
          <w:noProof/>
          <w:lang w:val="en-GB"/>
        </w:rPr>
        <w:t>3. conduct supervision of their proper implementation in accordance with regulations, standards and the bank’s bylaws, and the requirements of the Bank of Slovenia and other competent supervisory authorities.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senior management shall formulate and update the risk strategies and policies on the basis of guidance from the management board, and shall ensure their proper implementation at the level of the bank’s daily activities, regularly briefing the management board with regard to the adequacy of their implementation.</w:t>
      </w:r>
    </w:p>
    <w:p w:rsidR="00823BAB" w:rsidRPr="00823BAB" w:rsidRDefault="00823BAB" w:rsidP="00823BAB">
      <w:pPr>
        <w:ind w:firstLine="360"/>
        <w:jc w:val="both"/>
        <w:rPr>
          <w:noProof/>
        </w:rPr>
      </w:pPr>
    </w:p>
    <w:p w:rsidR="00823BAB" w:rsidRPr="00823BAB" w:rsidRDefault="00823BAB" w:rsidP="00823BAB">
      <w:pPr>
        <w:ind w:firstLine="360"/>
        <w:jc w:val="both"/>
        <w:rPr>
          <w:b/>
          <w:noProof/>
        </w:rPr>
      </w:pPr>
    </w:p>
    <w:p w:rsidR="00823BAB" w:rsidRPr="00823BAB" w:rsidRDefault="00823BAB" w:rsidP="00823BAB">
      <w:pPr>
        <w:rPr>
          <w:b/>
          <w:noProof/>
        </w:rPr>
      </w:pPr>
      <w:r>
        <w:rPr>
          <w:b/>
          <w:bCs/>
          <w:noProof/>
          <w:lang w:val="en-GB"/>
        </w:rPr>
        <w:t>2. BANK’S INTERNAL GOVERNANCE ARRANGEMENTS, INCLUDING DETAILED RISK MANAGEMENT RULES AND REMUNERATION POLICY AND PRACTICES</w:t>
      </w:r>
    </w:p>
    <w:p w:rsidR="00823BAB" w:rsidRPr="00823BAB" w:rsidRDefault="00823BAB" w:rsidP="00823BAB">
      <w:pPr>
        <w:jc w:val="both"/>
        <w:rPr>
          <w:noProof/>
        </w:rPr>
      </w:pPr>
    </w:p>
    <w:p w:rsidR="00823BAB" w:rsidRPr="00823BAB" w:rsidRDefault="00823BAB" w:rsidP="00823BAB">
      <w:pPr>
        <w:rPr>
          <w:b/>
          <w:noProof/>
        </w:rPr>
      </w:pPr>
      <w:r>
        <w:rPr>
          <w:b/>
          <w:bCs/>
          <w:noProof/>
          <w:lang w:val="en-GB"/>
        </w:rPr>
        <w:t>2.1 General requirements with regard to bank’s internal governance arrangements</w:t>
      </w:r>
    </w:p>
    <w:p w:rsidR="00823BAB" w:rsidRPr="00823BAB" w:rsidRDefault="00823BAB" w:rsidP="00823BAB">
      <w:pPr>
        <w:jc w:val="both"/>
        <w:rPr>
          <w:noProof/>
        </w:rPr>
      </w:pPr>
    </w:p>
    <w:p w:rsidR="00823BAB" w:rsidRPr="007C1E2D" w:rsidRDefault="00823BAB" w:rsidP="007C1E2D">
      <w:pPr>
        <w:rPr>
          <w:b/>
          <w:noProof/>
        </w:rPr>
      </w:pPr>
      <w:r w:rsidRPr="007C1E2D">
        <w:rPr>
          <w:b/>
          <w:bCs/>
          <w:noProof/>
          <w:lang w:val="en-GB"/>
        </w:rPr>
        <w:t>Article 8</w:t>
      </w:r>
    </w:p>
    <w:p w:rsidR="00823BAB" w:rsidRPr="00823BAB" w:rsidRDefault="00823BAB" w:rsidP="00823BAB">
      <w:pPr>
        <w:rPr>
          <w:b/>
          <w:noProof/>
        </w:rPr>
      </w:pPr>
      <w:r>
        <w:rPr>
          <w:b/>
          <w:bCs/>
          <w:noProof/>
          <w:lang w:val="en-GB"/>
        </w:rPr>
        <w:t>(corporate culture and code of practice and ethics)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The </w:t>
      </w:r>
      <w:r w:rsidR="003E2585">
        <w:rPr>
          <w:noProof/>
          <w:lang w:val="en-GB"/>
        </w:rPr>
        <w:t>Management body</w:t>
      </w:r>
      <w:r>
        <w:rPr>
          <w:noProof/>
          <w:lang w:val="en-GB"/>
        </w:rPr>
        <w:t xml:space="preserve"> shall, for the purpose of implementing the stable internal governance arrangements referred to in Article 128 of the ZBan-2 and on the basis of its own example, set a standard for the bank’s corporate culture that:</w:t>
      </w:r>
    </w:p>
    <w:p w:rsidR="00823BAB" w:rsidRPr="00823BAB" w:rsidRDefault="00823BAB" w:rsidP="00823BAB">
      <w:pPr>
        <w:ind w:firstLine="360"/>
        <w:jc w:val="both"/>
        <w:rPr>
          <w:noProof/>
        </w:rPr>
      </w:pPr>
      <w:r>
        <w:rPr>
          <w:noProof/>
          <w:lang w:val="en-GB"/>
        </w:rPr>
        <w:t xml:space="preserve">1. is based on the bank’s corporate values, based on which the conduct expected of members of the </w:t>
      </w:r>
      <w:r w:rsidR="003E2585">
        <w:rPr>
          <w:noProof/>
          <w:lang w:val="en-GB"/>
        </w:rPr>
        <w:t>Management body</w:t>
      </w:r>
      <w:r>
        <w:rPr>
          <w:noProof/>
          <w:lang w:val="en-GB"/>
        </w:rPr>
        <w:t xml:space="preserve"> and other employees is in accordance with due professional diligence and ethics, the rules for the prevention of conflicts of interest, and regulations, standards and the bank’s bylaws;</w:t>
      </w:r>
    </w:p>
    <w:p w:rsidR="00823BAB" w:rsidRPr="00823BAB" w:rsidRDefault="00823BAB" w:rsidP="00823BAB">
      <w:pPr>
        <w:ind w:firstLine="360"/>
        <w:jc w:val="both"/>
        <w:rPr>
          <w:noProof/>
        </w:rPr>
      </w:pPr>
      <w:r>
        <w:rPr>
          <w:noProof/>
          <w:lang w:val="en-GB"/>
        </w:rPr>
        <w:t xml:space="preserve">2. promotes a risk management culture that is in accordance with the adopted risk </w:t>
      </w:r>
      <w:r w:rsidR="00912BE8">
        <w:rPr>
          <w:noProof/>
          <w:lang w:val="en-GB"/>
        </w:rPr>
        <w:t>appetite</w:t>
      </w:r>
      <w:r>
        <w:rPr>
          <w:noProof/>
          <w:lang w:val="en-GB"/>
        </w:rPr>
        <w:t xml:space="preserve">, risk limits and risk </w:t>
      </w:r>
      <w:r w:rsidR="00725B2C">
        <w:rPr>
          <w:noProof/>
          <w:lang w:val="en-GB"/>
        </w:rPr>
        <w:t>bearing</w:t>
      </w:r>
      <w:r>
        <w:rPr>
          <w:noProof/>
          <w:lang w:val="en-GB"/>
        </w:rPr>
        <w:t xml:space="preserve"> capacity;</w:t>
      </w:r>
    </w:p>
    <w:p w:rsidR="00823BAB" w:rsidRPr="00823BAB" w:rsidRDefault="00823BAB" w:rsidP="00823BAB">
      <w:pPr>
        <w:ind w:firstLine="360"/>
        <w:jc w:val="both"/>
        <w:rPr>
          <w:noProof/>
        </w:rPr>
      </w:pPr>
      <w:r>
        <w:rPr>
          <w:noProof/>
          <w:lang w:val="en-GB"/>
        </w:rPr>
        <w:t xml:space="preserve">3. sets out measures for cases of a failure to uphold or a breach of the bank’s corporate values and the established standards of the risk management culture.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The bank shall, for the purpose of attaining a high corporate culture, put in place and implement a code of conduct for members of the </w:t>
      </w:r>
      <w:r w:rsidR="003E2585">
        <w:rPr>
          <w:noProof/>
          <w:lang w:val="en-GB"/>
        </w:rPr>
        <w:t>Management body</w:t>
      </w:r>
      <w:r>
        <w:rPr>
          <w:noProof/>
          <w:lang w:val="en-GB"/>
        </w:rPr>
        <w:t xml:space="preserve"> and other employees (hereinafter: code of conduct). The code of conduct shall define acceptable and unacceptable </w:t>
      </w:r>
      <w:r w:rsidR="00E154D1">
        <w:rPr>
          <w:noProof/>
          <w:lang w:val="en-GB"/>
        </w:rPr>
        <w:t>behaviour</w:t>
      </w:r>
      <w:r>
        <w:rPr>
          <w:noProof/>
          <w:lang w:val="en-GB"/>
        </w:rPr>
        <w:t xml:space="preserve"> of </w:t>
      </w:r>
      <w:r w:rsidR="00BA17C0">
        <w:rPr>
          <w:noProof/>
          <w:lang w:val="en-GB"/>
        </w:rPr>
        <w:t>employees</w:t>
      </w:r>
      <w:r>
        <w:rPr>
          <w:noProof/>
          <w:lang w:val="en-GB"/>
        </w:rPr>
        <w:t xml:space="preserve"> at all of the bank’s hierarchical and organisational levels, including the bank’s committees, commissions and advisory bodies, and shall set out a policy of zero tolerance on the part of the bank to actions by individuals that could have an adverse impact on the bank’s reputation, or that are inadmissible from a legal, moral or ethical perspective.</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The bank shall provide for regular reviews of the implementation of the code of conduct by the persons referred to in the first paragraph of this article, and shall set out a function or a commission that takes a position on suspected breaches of the code of conduct. The </w:t>
      </w:r>
      <w:r w:rsidR="003E2585">
        <w:rPr>
          <w:noProof/>
          <w:lang w:val="en-GB"/>
        </w:rPr>
        <w:t>Management body</w:t>
      </w:r>
      <w:r>
        <w:rPr>
          <w:noProof/>
          <w:lang w:val="en-GB"/>
        </w:rPr>
        <w:t xml:space="preserve"> shall be informed of the findings of these reviews. </w:t>
      </w:r>
    </w:p>
    <w:p w:rsidR="00823BAB" w:rsidRPr="00823BAB" w:rsidRDefault="00823BAB" w:rsidP="00823BAB">
      <w:pPr>
        <w:rPr>
          <w:b/>
          <w:noProof/>
        </w:rPr>
      </w:pPr>
    </w:p>
    <w:p w:rsidR="00823BAB" w:rsidRPr="00823BAB" w:rsidRDefault="00823BAB" w:rsidP="00823BAB">
      <w:pPr>
        <w:rPr>
          <w:b/>
          <w:noProof/>
        </w:rPr>
      </w:pPr>
    </w:p>
    <w:p w:rsidR="00823BAB" w:rsidRPr="00823BAB" w:rsidRDefault="00823BAB" w:rsidP="00823BAB">
      <w:pPr>
        <w:rPr>
          <w:b/>
          <w:noProof/>
        </w:rPr>
      </w:pPr>
      <w:r>
        <w:rPr>
          <w:b/>
          <w:bCs/>
          <w:noProof/>
          <w:lang w:val="en-GB"/>
        </w:rPr>
        <w:t>2.2 Organisational structure</w:t>
      </w:r>
    </w:p>
    <w:p w:rsidR="00823BAB" w:rsidRPr="00823BAB" w:rsidRDefault="00823BAB" w:rsidP="00823BAB">
      <w:pPr>
        <w:rPr>
          <w:noProof/>
        </w:rPr>
      </w:pPr>
    </w:p>
    <w:p w:rsidR="00823BAB" w:rsidRPr="00823BAB" w:rsidRDefault="00823BAB" w:rsidP="00823BAB">
      <w:pPr>
        <w:rPr>
          <w:b/>
          <w:noProof/>
        </w:rPr>
      </w:pPr>
      <w:r>
        <w:rPr>
          <w:b/>
          <w:bCs/>
          <w:noProof/>
          <w:lang w:val="en-GB"/>
        </w:rPr>
        <w:t>2.2.1 Attributes of organisational structure</w:t>
      </w:r>
    </w:p>
    <w:p w:rsidR="00823BAB" w:rsidRPr="00823BAB" w:rsidRDefault="00823BAB" w:rsidP="00823BAB">
      <w:pPr>
        <w:rPr>
          <w:noProof/>
        </w:rPr>
      </w:pPr>
    </w:p>
    <w:p w:rsidR="00823BAB" w:rsidRPr="00823BAB" w:rsidRDefault="00823BAB" w:rsidP="00823BAB">
      <w:pPr>
        <w:pStyle w:val="Odstavekseznama"/>
        <w:numPr>
          <w:ilvl w:val="0"/>
          <w:numId w:val="12"/>
        </w:numPr>
        <w:rPr>
          <w:b/>
          <w:noProof/>
        </w:rPr>
      </w:pPr>
      <w:r>
        <w:rPr>
          <w:b/>
          <w:bCs/>
          <w:noProof/>
          <w:lang w:val="en-GB"/>
        </w:rPr>
        <w:t>Article 9</w:t>
      </w:r>
    </w:p>
    <w:p w:rsidR="00823BAB" w:rsidRPr="00823BAB" w:rsidRDefault="00823BAB" w:rsidP="00823BAB">
      <w:pPr>
        <w:rPr>
          <w:b/>
          <w:noProof/>
        </w:rPr>
      </w:pPr>
      <w:r>
        <w:rPr>
          <w:b/>
          <w:bCs/>
          <w:noProof/>
          <w:lang w:val="en-GB"/>
        </w:rPr>
        <w:t>(general requirements)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organisational structure referred to in point 1 of the first paragraph of Article 128 of the ZBan-2 is deemed clear if it ensures:</w:t>
      </w:r>
    </w:p>
    <w:p w:rsidR="00823BAB" w:rsidRPr="00823BAB" w:rsidRDefault="00823BAB" w:rsidP="00823BAB">
      <w:pPr>
        <w:ind w:firstLine="360"/>
        <w:jc w:val="both"/>
        <w:rPr>
          <w:noProof/>
        </w:rPr>
      </w:pPr>
      <w:r>
        <w:rPr>
          <w:noProof/>
          <w:lang w:val="en-GB"/>
        </w:rPr>
        <w:t xml:space="preserve">1. precisely defined, transparent, consistent and established internal relationships between powers and responsibilities at all hierarchical and organisational levels that uphold the rules for the prevention of conflicts of interest at the level of the bank or at the level of the members of the </w:t>
      </w:r>
      <w:r w:rsidR="003E2585">
        <w:rPr>
          <w:noProof/>
          <w:lang w:val="en-GB"/>
        </w:rPr>
        <w:t>Management body</w:t>
      </w:r>
      <w:r>
        <w:rPr>
          <w:noProof/>
          <w:lang w:val="en-GB"/>
        </w:rPr>
        <w:t>;</w:t>
      </w:r>
    </w:p>
    <w:p w:rsidR="00823BAB" w:rsidRPr="00823BAB" w:rsidRDefault="00823BAB" w:rsidP="00823BAB">
      <w:pPr>
        <w:ind w:firstLine="360"/>
        <w:jc w:val="both"/>
        <w:rPr>
          <w:noProof/>
        </w:rPr>
      </w:pPr>
      <w:r>
        <w:rPr>
          <w:noProof/>
          <w:lang w:val="en-GB"/>
        </w:rPr>
        <w:t>2. established transparent reporting flows between hierarchical and organisational levels;</w:t>
      </w:r>
    </w:p>
    <w:p w:rsidR="00823BAB" w:rsidRPr="00823BAB" w:rsidRDefault="00823BAB" w:rsidP="00823BAB">
      <w:pPr>
        <w:ind w:firstLine="360"/>
        <w:jc w:val="both"/>
        <w:rPr>
          <w:noProof/>
        </w:rPr>
      </w:pPr>
      <w:r>
        <w:rPr>
          <w:noProof/>
          <w:lang w:val="en-GB"/>
        </w:rPr>
        <w:t>3. effective communication and involvement at and between all hierarchical and organisational levels for the purposes of:</w:t>
      </w:r>
    </w:p>
    <w:p w:rsidR="00823BAB" w:rsidRPr="00823BAB" w:rsidRDefault="00823BAB" w:rsidP="00823BAB">
      <w:pPr>
        <w:pStyle w:val="Odstavekseznama"/>
        <w:numPr>
          <w:ilvl w:val="0"/>
          <w:numId w:val="7"/>
        </w:numPr>
        <w:jc w:val="both"/>
        <w:rPr>
          <w:noProof/>
        </w:rPr>
      </w:pPr>
      <w:r>
        <w:rPr>
          <w:noProof/>
          <w:lang w:val="en-GB"/>
        </w:rPr>
        <w:t xml:space="preserve">an effective, transparent and documented process of taking business decisions and decisions with regard to the bank’s risk management, and </w:t>
      </w:r>
    </w:p>
    <w:p w:rsidR="00823BAB" w:rsidRPr="00823BAB" w:rsidRDefault="00823BAB" w:rsidP="00823BAB">
      <w:pPr>
        <w:pStyle w:val="Odstavekseznama"/>
        <w:numPr>
          <w:ilvl w:val="0"/>
          <w:numId w:val="7"/>
        </w:numPr>
        <w:jc w:val="both"/>
        <w:rPr>
          <w:noProof/>
        </w:rPr>
      </w:pPr>
      <w:r>
        <w:rPr>
          <w:noProof/>
          <w:lang w:val="en-GB"/>
        </w:rPr>
        <w:t>access on the part of the bank’s employees to information that is material to the proper exercise of their powers and responsibilities.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In the event of any changes to the organisational structure, the </w:t>
      </w:r>
      <w:r w:rsidR="003E2585">
        <w:rPr>
          <w:noProof/>
          <w:lang w:val="en-GB"/>
        </w:rPr>
        <w:t>Management body</w:t>
      </w:r>
      <w:r>
        <w:rPr>
          <w:noProof/>
          <w:lang w:val="en-GB"/>
        </w:rPr>
        <w:t xml:space="preserve"> shall provide for an assessment of the impact of the changes on the stability of the internal governance arrangements, and on the bank’s capital and liquidity. The risk committee shall be informed of the assessment of the impact of the changes on the stability of the internal governance arrangements, and on the bank’s capital and liquidity. </w:t>
      </w:r>
    </w:p>
    <w:p w:rsidR="00823BAB" w:rsidRPr="00823BAB" w:rsidRDefault="00823BAB" w:rsidP="00823BAB">
      <w:pPr>
        <w:pStyle w:val="Odstavekseznama"/>
        <w:ind w:left="360"/>
        <w:jc w:val="both"/>
        <w:rPr>
          <w:b/>
          <w:noProof/>
        </w:rPr>
      </w:pPr>
    </w:p>
    <w:p w:rsidR="00823BAB" w:rsidRPr="00CA5D9E" w:rsidRDefault="00823BAB" w:rsidP="00CA5D9E">
      <w:pPr>
        <w:rPr>
          <w:b/>
          <w:noProof/>
        </w:rPr>
      </w:pPr>
      <w:r w:rsidRPr="00CA5D9E">
        <w:rPr>
          <w:b/>
          <w:bCs/>
          <w:noProof/>
          <w:lang w:val="en-GB"/>
        </w:rPr>
        <w:t>Article 10</w:t>
      </w:r>
    </w:p>
    <w:p w:rsidR="00823BAB" w:rsidRPr="00823BAB" w:rsidRDefault="00823BAB" w:rsidP="00823BAB">
      <w:pPr>
        <w:rPr>
          <w:b/>
          <w:noProof/>
        </w:rPr>
      </w:pPr>
      <w:r>
        <w:rPr>
          <w:b/>
          <w:bCs/>
          <w:noProof/>
          <w:lang w:val="en-GB"/>
        </w:rPr>
        <w:t>(prevention of conflicts of interest)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ensure that the risk policies referred to in Article 6 of this regulation include policies for identifying and preventing or managing conflicts of interest at the level of the bank or at the level of members of the </w:t>
      </w:r>
      <w:r w:rsidR="003E2585">
        <w:rPr>
          <w:noProof/>
          <w:lang w:val="en-GB"/>
        </w:rPr>
        <w:t>Management body</w:t>
      </w:r>
      <w:r>
        <w:rPr>
          <w:noProof/>
          <w:lang w:val="en-GB"/>
        </w:rPr>
        <w:t xml:space="preserve"> (hereinafter: conflicts of interest policy).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conflicts of interest policy shall define the manner in which conflicts of interest are identified and managed, including practical examples of conflicts of interest and measures in the event of the failure to uphold the policy.</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(3) The conflicts of interest policy at the level of the group shall include the bank’s approach to identifying and preventing or managing conflicts of interest in the group, including those deriving from intra-group transactions.</w:t>
      </w:r>
    </w:p>
    <w:p w:rsidR="00823BAB" w:rsidRPr="00823BAB" w:rsidRDefault="00823BAB" w:rsidP="00823BAB">
      <w:pPr>
        <w:rPr>
          <w:b/>
          <w:noProof/>
        </w:rPr>
      </w:pPr>
    </w:p>
    <w:p w:rsidR="00823BAB" w:rsidRPr="00823BAB" w:rsidRDefault="00823BAB" w:rsidP="00823BAB">
      <w:pPr>
        <w:rPr>
          <w:b/>
          <w:noProof/>
        </w:rPr>
      </w:pPr>
    </w:p>
    <w:p w:rsidR="00823BAB" w:rsidRPr="00823BAB" w:rsidRDefault="00823BAB" w:rsidP="00823BAB">
      <w:pPr>
        <w:rPr>
          <w:b/>
          <w:noProof/>
        </w:rPr>
      </w:pPr>
      <w:r>
        <w:rPr>
          <w:b/>
          <w:bCs/>
          <w:noProof/>
          <w:lang w:val="en-GB"/>
        </w:rPr>
        <w:t>2.2.2 Senior management and other employees</w:t>
      </w:r>
    </w:p>
    <w:p w:rsidR="00823BAB" w:rsidRPr="00823BAB" w:rsidRDefault="00823BAB" w:rsidP="00823BAB">
      <w:pPr>
        <w:jc w:val="both"/>
        <w:rPr>
          <w:noProof/>
        </w:rPr>
      </w:pPr>
    </w:p>
    <w:p w:rsidR="00823BAB" w:rsidRPr="00CA5D9E" w:rsidRDefault="00823BAB" w:rsidP="00CA5D9E">
      <w:pPr>
        <w:rPr>
          <w:b/>
          <w:noProof/>
        </w:rPr>
      </w:pPr>
      <w:r w:rsidRPr="00CA5D9E">
        <w:rPr>
          <w:b/>
          <w:bCs/>
          <w:noProof/>
          <w:lang w:val="en-GB"/>
        </w:rPr>
        <w:t>Article 11</w:t>
      </w:r>
    </w:p>
    <w:p w:rsidR="00823BAB" w:rsidRPr="00823BAB" w:rsidRDefault="00823BAB" w:rsidP="00823BAB">
      <w:pPr>
        <w:rPr>
          <w:b/>
          <w:noProof/>
        </w:rPr>
      </w:pPr>
      <w:r>
        <w:rPr>
          <w:b/>
          <w:bCs/>
          <w:noProof/>
          <w:lang w:val="en-GB"/>
        </w:rPr>
        <w:t>(responsibility of senior management)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The senior management shall exercise its responsibilities in </w:t>
      </w:r>
      <w:r w:rsidR="00CA5D9E">
        <w:rPr>
          <w:noProof/>
          <w:lang w:val="en-GB"/>
        </w:rPr>
        <w:t>relation</w:t>
      </w:r>
      <w:r w:rsidR="0039667F">
        <w:rPr>
          <w:noProof/>
          <w:lang w:val="en-GB"/>
        </w:rPr>
        <w:t xml:space="preserve"> to</w:t>
      </w:r>
      <w:r>
        <w:rPr>
          <w:noProof/>
          <w:lang w:val="en-GB"/>
        </w:rPr>
        <w:t xml:space="preserve"> the bank’s </w:t>
      </w:r>
      <w:r w:rsidR="008C6F6C">
        <w:rPr>
          <w:noProof/>
          <w:lang w:val="en-GB"/>
        </w:rPr>
        <w:t xml:space="preserve">day to day </w:t>
      </w:r>
      <w:r>
        <w:rPr>
          <w:noProof/>
          <w:lang w:val="en-GB"/>
        </w:rPr>
        <w:t xml:space="preserve">operations in a manner commensurate with the objectives, strategies and policies referred to in Article 4 of this regulation, </w:t>
      </w:r>
      <w:r w:rsidR="00C76BA8">
        <w:rPr>
          <w:noProof/>
          <w:lang w:val="en-GB"/>
        </w:rPr>
        <w:t>considering</w:t>
      </w:r>
      <w:r>
        <w:rPr>
          <w:noProof/>
          <w:lang w:val="en-GB"/>
        </w:rPr>
        <w:t xml:space="preserve"> the </w:t>
      </w:r>
      <w:r w:rsidR="00C76BA8">
        <w:rPr>
          <w:noProof/>
          <w:lang w:val="en-GB"/>
        </w:rPr>
        <w:t xml:space="preserve">accepted </w:t>
      </w:r>
      <w:r>
        <w:rPr>
          <w:noProof/>
          <w:lang w:val="en-GB"/>
        </w:rPr>
        <w:t xml:space="preserve">risk </w:t>
      </w:r>
      <w:r w:rsidR="00912BE8">
        <w:rPr>
          <w:noProof/>
          <w:lang w:val="en-GB"/>
        </w:rPr>
        <w:t>appetite</w:t>
      </w:r>
      <w:r>
        <w:rPr>
          <w:noProof/>
          <w:lang w:val="en-GB"/>
        </w:rPr>
        <w:t xml:space="preserve"> and risk limits, the risk </w:t>
      </w:r>
      <w:r w:rsidR="00725B2C">
        <w:rPr>
          <w:noProof/>
          <w:lang w:val="en-GB"/>
        </w:rPr>
        <w:t>bearing</w:t>
      </w:r>
      <w:r>
        <w:rPr>
          <w:noProof/>
          <w:lang w:val="en-GB"/>
        </w:rPr>
        <w:t xml:space="preserve"> capacity and the incentives deriving from the remuneration policies and practices for this category of the bank’s employees. The senior management’s internal organisation and procedures of acting and decision-making shall be transparent and based on the precisely defined, consistent and established powers and responsibilities of individual functions of the senior management, including the requisite reporting to the management board on matters that are necessary to the exercise of the management board’s responsibility for the bank’s operations and risk management referred to in the second paragraph of Article 136 of the ZBan-2.</w:t>
      </w:r>
    </w:p>
    <w:p w:rsidR="00823BAB" w:rsidRPr="00823BAB" w:rsidRDefault="00823BAB" w:rsidP="00823BAB">
      <w:pPr>
        <w:jc w:val="both"/>
        <w:rPr>
          <w:noProof/>
        </w:rPr>
      </w:pPr>
    </w:p>
    <w:p w:rsidR="00823BAB" w:rsidRPr="00CA5D9E" w:rsidRDefault="00823BAB" w:rsidP="00CA5D9E">
      <w:pPr>
        <w:rPr>
          <w:b/>
          <w:noProof/>
        </w:rPr>
      </w:pPr>
      <w:r w:rsidRPr="00CA5D9E">
        <w:rPr>
          <w:b/>
          <w:bCs/>
          <w:noProof/>
          <w:lang w:val="en-GB"/>
        </w:rPr>
        <w:t>Article 12</w:t>
      </w:r>
    </w:p>
    <w:p w:rsidR="00823BAB" w:rsidRPr="00823BAB" w:rsidRDefault="00823BAB" w:rsidP="00823BAB">
      <w:pPr>
        <w:rPr>
          <w:b/>
          <w:noProof/>
        </w:rPr>
      </w:pPr>
      <w:r>
        <w:rPr>
          <w:b/>
          <w:bCs/>
          <w:noProof/>
          <w:lang w:val="en-GB"/>
        </w:rPr>
        <w:t>(supervision of senior management)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The management board shall ensure the effective supervision of the senior management referred to in point 4 of the second paragraph of Article 136 of the ZBan-2 on the basis of:</w:t>
      </w:r>
    </w:p>
    <w:p w:rsidR="00823BAB" w:rsidRPr="00823BAB" w:rsidRDefault="00823BAB" w:rsidP="00823BAB">
      <w:pPr>
        <w:ind w:firstLine="360"/>
        <w:jc w:val="both"/>
        <w:rPr>
          <w:noProof/>
        </w:rPr>
      </w:pPr>
      <w:r>
        <w:rPr>
          <w:noProof/>
          <w:lang w:val="en-GB"/>
        </w:rPr>
        <w:t>1. defined performance criteria for the actions of the senior management;</w:t>
      </w:r>
    </w:p>
    <w:p w:rsidR="00823BAB" w:rsidRPr="00823BAB" w:rsidRDefault="00823BAB" w:rsidP="00823BAB">
      <w:pPr>
        <w:ind w:firstLine="360"/>
        <w:jc w:val="both"/>
        <w:rPr>
          <w:noProof/>
        </w:rPr>
      </w:pPr>
      <w:r>
        <w:rPr>
          <w:noProof/>
          <w:lang w:val="en-GB"/>
        </w:rPr>
        <w:t xml:space="preserve">2. appropriate measures in the event of the failure to meet the performance criteria for the actions of the senior management or the failure </w:t>
      </w:r>
      <w:r w:rsidR="008C7473">
        <w:rPr>
          <w:noProof/>
          <w:lang w:val="en-GB"/>
        </w:rPr>
        <w:t>consider</w:t>
      </w:r>
      <w:r w:rsidR="00B06178">
        <w:rPr>
          <w:noProof/>
          <w:lang w:val="en-GB"/>
        </w:rPr>
        <w:t>ing of</w:t>
      </w:r>
      <w:r w:rsidR="008C7473">
        <w:rPr>
          <w:noProof/>
          <w:lang w:val="en-GB"/>
        </w:rPr>
        <w:t xml:space="preserve"> </w:t>
      </w:r>
      <w:r>
        <w:rPr>
          <w:noProof/>
          <w:lang w:val="en-GB"/>
        </w:rPr>
        <w:t xml:space="preserve">the bank’s corporate values and the risk management culture. </w:t>
      </w:r>
    </w:p>
    <w:p w:rsidR="00823BAB" w:rsidRPr="00823BAB" w:rsidRDefault="00823BAB" w:rsidP="00823BAB">
      <w:pPr>
        <w:jc w:val="both"/>
        <w:rPr>
          <w:noProof/>
        </w:rPr>
      </w:pPr>
    </w:p>
    <w:p w:rsidR="00823BAB" w:rsidRPr="00CA5D9E" w:rsidRDefault="00823BAB" w:rsidP="00CA5D9E">
      <w:pPr>
        <w:rPr>
          <w:b/>
          <w:noProof/>
        </w:rPr>
      </w:pPr>
      <w:r w:rsidRPr="00CA5D9E">
        <w:rPr>
          <w:b/>
          <w:bCs/>
          <w:noProof/>
          <w:lang w:val="en-GB"/>
        </w:rPr>
        <w:t>Article 13</w:t>
      </w:r>
    </w:p>
    <w:p w:rsidR="00823BAB" w:rsidRPr="00823BAB" w:rsidRDefault="00823BAB" w:rsidP="00823BAB">
      <w:pPr>
        <w:rPr>
          <w:b/>
          <w:noProof/>
        </w:rPr>
      </w:pPr>
      <w:r>
        <w:rPr>
          <w:b/>
          <w:bCs/>
          <w:noProof/>
          <w:lang w:val="en-GB"/>
        </w:rPr>
        <w:t>(employees and HR policy)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ensure that the risk policies referred to in the first paragraph of Article 6 of this regulation include an appropriate HR policy, </w:t>
      </w:r>
      <w:r>
        <w:rPr>
          <w:i/>
          <w:iCs/>
          <w:noProof/>
          <w:lang w:val="en-GB"/>
        </w:rPr>
        <w:t xml:space="preserve">inter alia </w:t>
      </w:r>
      <w:r>
        <w:rPr>
          <w:noProof/>
          <w:lang w:val="en-GB"/>
        </w:rPr>
        <w:t xml:space="preserve">for the purpose of ensuring a sufficient number of qualified employees with regard to the bank’s operational needs, the scale and complexity of the risks inherent in the bank’s business model, and the bank’s risk profile.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In the event of major changes being planned in the number of employees (e.g. a long-term reduction in the number of employees for reason of austerity measures or other measures) in individual key business lines, functions, processes, products or models (hereinafter: work area), the bank shall provide for analysis of the impact of these changes on the bank’s operations. In the impact analysis, in addition to the staffing reduction in terms of actual number, the bank shall take account of the significance of their knowledge, experience and skills to the individual work area or to the bank. Before any decision on such a reduction in the number of employees, the management board shall be briefed on the impact analysis and, where appropriate, shall provide for appropriate risk management measures referred to in Article 23 of this regulation, including the requisite adjustments to the risk strategies and policies referred to in the first paragraph of Article 4 of this regulation. </w:t>
      </w:r>
    </w:p>
    <w:p w:rsidR="00823BAB" w:rsidRPr="00823BAB" w:rsidRDefault="00823BAB" w:rsidP="00823BAB">
      <w:pPr>
        <w:jc w:val="both"/>
        <w:rPr>
          <w:noProof/>
        </w:rPr>
      </w:pPr>
    </w:p>
    <w:p w:rsidR="00823BAB" w:rsidRPr="00F85642" w:rsidRDefault="00823BAB" w:rsidP="00F85642">
      <w:pPr>
        <w:rPr>
          <w:b/>
          <w:noProof/>
        </w:rPr>
      </w:pPr>
      <w:r w:rsidRPr="00F85642">
        <w:rPr>
          <w:b/>
          <w:bCs/>
          <w:noProof/>
          <w:lang w:val="en-GB"/>
        </w:rPr>
        <w:t>Article 14</w:t>
      </w:r>
    </w:p>
    <w:p w:rsidR="00823BAB" w:rsidRPr="00823BAB" w:rsidRDefault="00823BAB" w:rsidP="00823BAB">
      <w:pPr>
        <w:rPr>
          <w:b/>
          <w:noProof/>
        </w:rPr>
      </w:pPr>
      <w:r>
        <w:rPr>
          <w:b/>
          <w:bCs/>
          <w:noProof/>
          <w:lang w:val="en-GB"/>
        </w:rPr>
        <w:t>(key function holders and process of assessing their suitability)</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(1) A bank shall ensure that key function holders have suitable replacements and a succession plan for the purpose of managing operational risk deriving from a lengthy absence or the possibility of the unexpected termination of the employment relationship by a key function holder.</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For the purpose of assessing the suitability of key function holders, the bank shall define its key function holders, encompassing at a minimum the members of the senior management and the heads of internal control functions.</w:t>
      </w:r>
    </w:p>
    <w:p w:rsidR="00823BAB" w:rsidRPr="00823BAB" w:rsidRDefault="00823BAB" w:rsidP="00823BAB">
      <w:pPr>
        <w:jc w:val="both"/>
        <w:rPr>
          <w:noProof/>
        </w:rPr>
      </w:pPr>
    </w:p>
    <w:p w:rsidR="00823BAB" w:rsidRPr="00823BAB" w:rsidRDefault="00823BAB" w:rsidP="00823BAB">
      <w:pPr>
        <w:rPr>
          <w:b/>
          <w:noProof/>
        </w:rPr>
      </w:pPr>
    </w:p>
    <w:p w:rsidR="00823BAB" w:rsidRPr="00823BAB" w:rsidRDefault="00823BAB" w:rsidP="00823BAB">
      <w:pPr>
        <w:rPr>
          <w:b/>
          <w:noProof/>
        </w:rPr>
      </w:pPr>
      <w:r>
        <w:rPr>
          <w:b/>
          <w:bCs/>
          <w:noProof/>
          <w:lang w:val="en-GB"/>
        </w:rPr>
        <w:t>2.2.2 Group level</w:t>
      </w:r>
    </w:p>
    <w:p w:rsidR="00823BAB" w:rsidRPr="00823BAB" w:rsidRDefault="00823BAB" w:rsidP="00823BAB">
      <w:pPr>
        <w:jc w:val="both"/>
        <w:rPr>
          <w:noProof/>
        </w:rPr>
      </w:pPr>
    </w:p>
    <w:p w:rsidR="00823BAB" w:rsidRPr="00F85642" w:rsidRDefault="00823BAB" w:rsidP="00F85642">
      <w:pPr>
        <w:rPr>
          <w:b/>
          <w:noProof/>
        </w:rPr>
      </w:pPr>
      <w:r w:rsidRPr="00F85642">
        <w:rPr>
          <w:b/>
          <w:bCs/>
          <w:noProof/>
          <w:lang w:val="en-GB"/>
        </w:rPr>
        <w:t>Article 15</w:t>
      </w:r>
    </w:p>
    <w:p w:rsidR="00823BAB" w:rsidRPr="00823BAB" w:rsidRDefault="00823BAB" w:rsidP="00823BAB">
      <w:pPr>
        <w:rPr>
          <w:b/>
          <w:noProof/>
        </w:rPr>
      </w:pPr>
      <w:r>
        <w:rPr>
          <w:b/>
          <w:bCs/>
          <w:noProof/>
          <w:lang w:val="en-GB"/>
        </w:rPr>
        <w:t>(risk objectives, strategies and policies of parent bank)</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that has the position of a parent bank shall, for the purpose of effectively exercising the responsibilities of the </w:t>
      </w:r>
      <w:r w:rsidR="003E2585">
        <w:rPr>
          <w:noProof/>
          <w:lang w:val="en-GB"/>
        </w:rPr>
        <w:t>Management body</w:t>
      </w:r>
      <w:r>
        <w:rPr>
          <w:noProof/>
          <w:lang w:val="en-GB"/>
        </w:rPr>
        <w:t xml:space="preserve"> in connection with the operations and supervision of the group, put in place and implement the objectives, strategies and policies referred to in the first paragraph of Article 4 of this regulation at group level and the group’s corporate values. These objectives, strategies and policies shall take account of the regulations and requirements of the competent and supervisory bodies of subsidiaries and the independence of the governing bodies of subsidiaries in taking decisions that are in accordance with the interests of the subsidiaries.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group’s risk policies shall include the explicit obligation of the bank’s subsidiaries to uphold all the relevant instructions of the parent bank with regard to the implementation of the objectives, strategies and policies of the group referred to in the first paragraph of this article, having regard for the nature, scale and complexity of the risks inherent in the subsidiary’s business model and the activities that it pursues.</w:t>
      </w:r>
    </w:p>
    <w:p w:rsidR="00823BAB" w:rsidRPr="00823BAB" w:rsidRDefault="00823BAB" w:rsidP="00823BAB">
      <w:pPr>
        <w:ind w:firstLine="360"/>
        <w:jc w:val="both"/>
        <w:rPr>
          <w:noProof/>
        </w:rPr>
      </w:pPr>
    </w:p>
    <w:p w:rsidR="00823BAB" w:rsidRPr="001A5D0A" w:rsidRDefault="00823BAB" w:rsidP="001A5D0A">
      <w:pPr>
        <w:rPr>
          <w:b/>
          <w:noProof/>
        </w:rPr>
      </w:pPr>
      <w:r w:rsidRPr="001A5D0A">
        <w:rPr>
          <w:b/>
          <w:bCs/>
          <w:noProof/>
          <w:lang w:val="en-GB"/>
        </w:rPr>
        <w:t>Article 16</w:t>
      </w:r>
    </w:p>
    <w:p w:rsidR="00823BAB" w:rsidRPr="00823BAB" w:rsidRDefault="00823BAB" w:rsidP="00823BAB">
      <w:pPr>
        <w:rPr>
          <w:b/>
          <w:noProof/>
        </w:rPr>
      </w:pPr>
      <w:r>
        <w:rPr>
          <w:b/>
          <w:bCs/>
          <w:noProof/>
          <w:lang w:val="en-GB"/>
        </w:rPr>
        <w:t>(risk objectives, strategies and policies of subsidiary bank)</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In implementing the group’s business objectives, strategies and policies and the instructions of the parent bank, a bank that has the position of a subsidiary shall ensure that its operations comply with regulations, standards and bylaws and with the requirements of the Bank of Slovenia and other competent supervisory authorities. To this end the bank that has the position of a subsidiary shall put in place and implement risk strategies and policies that </w:t>
      </w:r>
      <w:r>
        <w:rPr>
          <w:i/>
          <w:iCs/>
          <w:noProof/>
          <w:lang w:val="en-GB"/>
        </w:rPr>
        <w:t xml:space="preserve">inter alia </w:t>
      </w:r>
      <w:r>
        <w:rPr>
          <w:noProof/>
          <w:lang w:val="en-GB"/>
        </w:rPr>
        <w:t>set out:</w:t>
      </w:r>
    </w:p>
    <w:p w:rsidR="00823BAB" w:rsidRPr="00823BAB" w:rsidRDefault="00823BAB" w:rsidP="00823BAB">
      <w:pPr>
        <w:ind w:firstLine="360"/>
        <w:jc w:val="both"/>
        <w:rPr>
          <w:noProof/>
        </w:rPr>
      </w:pPr>
      <w:r>
        <w:rPr>
          <w:noProof/>
          <w:lang w:val="en-GB"/>
        </w:rPr>
        <w:t xml:space="preserve">1. the extent to which the </w:t>
      </w:r>
      <w:r w:rsidR="003E2585">
        <w:rPr>
          <w:noProof/>
          <w:lang w:val="en-GB"/>
        </w:rPr>
        <w:t>Management body</w:t>
      </w:r>
      <w:r>
        <w:rPr>
          <w:noProof/>
          <w:lang w:val="en-GB"/>
        </w:rPr>
        <w:t xml:space="preserve"> is responsible for the appropriate observance of the group’s business objectives, strategies and policies, and the parent bank’s instructions;</w:t>
      </w:r>
    </w:p>
    <w:p w:rsidR="00823BAB" w:rsidRPr="00823BAB" w:rsidRDefault="00823BAB" w:rsidP="00823BAB">
      <w:pPr>
        <w:ind w:firstLine="360"/>
        <w:jc w:val="both"/>
        <w:rPr>
          <w:noProof/>
        </w:rPr>
      </w:pPr>
      <w:r>
        <w:rPr>
          <w:noProof/>
          <w:lang w:val="en-GB"/>
        </w:rPr>
        <w:t xml:space="preserve">2. the </w:t>
      </w:r>
      <w:r w:rsidR="003E2585">
        <w:rPr>
          <w:noProof/>
          <w:lang w:val="en-GB"/>
        </w:rPr>
        <w:t>Management body</w:t>
      </w:r>
      <w:r>
        <w:rPr>
          <w:noProof/>
          <w:lang w:val="en-GB"/>
        </w:rPr>
        <w:t>’s responsibility for ensuring that the group’s business objectives, strategies and policies and the instructions of the parent bank do not contravene the applicable regulations, standards and the bank’s bylaws or the requirements of the Bank of Slovenia and other competent supervisory authorities.</w:t>
      </w:r>
    </w:p>
    <w:p w:rsidR="00823BAB" w:rsidRPr="00823BAB" w:rsidRDefault="00823BAB" w:rsidP="00823BAB">
      <w:pPr>
        <w:jc w:val="both"/>
        <w:rPr>
          <w:noProof/>
        </w:rPr>
      </w:pPr>
    </w:p>
    <w:p w:rsidR="00823BAB" w:rsidRPr="00823BAB" w:rsidRDefault="00823BAB" w:rsidP="00823BAB">
      <w:pPr>
        <w:rPr>
          <w:b/>
          <w:noProof/>
        </w:rPr>
      </w:pPr>
    </w:p>
    <w:p w:rsidR="00823BAB" w:rsidRPr="00823BAB" w:rsidRDefault="00823BAB" w:rsidP="00823BAB">
      <w:pPr>
        <w:rPr>
          <w:b/>
          <w:noProof/>
        </w:rPr>
      </w:pPr>
      <w:r>
        <w:rPr>
          <w:b/>
          <w:bCs/>
          <w:noProof/>
          <w:lang w:val="en-GB"/>
        </w:rPr>
        <w:t>2.3 Risk management</w:t>
      </w:r>
    </w:p>
    <w:p w:rsidR="00823BAB" w:rsidRPr="00823BAB" w:rsidRDefault="00823BAB" w:rsidP="00823BAB">
      <w:pPr>
        <w:jc w:val="both"/>
        <w:rPr>
          <w:noProof/>
        </w:rPr>
      </w:pPr>
    </w:p>
    <w:p w:rsidR="00823BAB" w:rsidRPr="00823BAB" w:rsidRDefault="00823BAB" w:rsidP="00823BAB">
      <w:pPr>
        <w:rPr>
          <w:b/>
          <w:noProof/>
        </w:rPr>
      </w:pPr>
      <w:r>
        <w:rPr>
          <w:b/>
          <w:bCs/>
          <w:noProof/>
          <w:lang w:val="en-GB"/>
        </w:rPr>
        <w:t>2.3.1 Risk take-up</w:t>
      </w:r>
    </w:p>
    <w:p w:rsidR="00823BAB" w:rsidRPr="00823BAB" w:rsidRDefault="00823BAB" w:rsidP="00823BAB">
      <w:pPr>
        <w:jc w:val="both"/>
        <w:rPr>
          <w:noProof/>
        </w:rPr>
      </w:pPr>
    </w:p>
    <w:p w:rsidR="00823BAB" w:rsidRPr="00516ED8" w:rsidRDefault="00823BAB" w:rsidP="00516ED8">
      <w:pPr>
        <w:rPr>
          <w:b/>
          <w:noProof/>
        </w:rPr>
      </w:pPr>
      <w:r w:rsidRPr="00516ED8">
        <w:rPr>
          <w:b/>
          <w:bCs/>
          <w:noProof/>
          <w:lang w:val="en-GB"/>
        </w:rPr>
        <w:t>Article 17</w:t>
      </w:r>
    </w:p>
    <w:p w:rsidR="00823BAB" w:rsidRPr="00823BAB" w:rsidRDefault="00823BAB" w:rsidP="00823BAB">
      <w:pPr>
        <w:rPr>
          <w:b/>
          <w:noProof/>
        </w:rPr>
      </w:pPr>
      <w:r>
        <w:rPr>
          <w:b/>
          <w:bCs/>
          <w:noProof/>
          <w:lang w:val="en-GB"/>
        </w:rPr>
        <w:t xml:space="preserve">(risk </w:t>
      </w:r>
      <w:r w:rsidR="00516ED8">
        <w:rPr>
          <w:b/>
          <w:bCs/>
          <w:noProof/>
          <w:lang w:val="en-GB"/>
        </w:rPr>
        <w:t>appetite</w:t>
      </w:r>
      <w:r>
        <w:rPr>
          <w:b/>
          <w:bCs/>
          <w:noProof/>
          <w:lang w:val="en-GB"/>
        </w:rPr>
        <w:t xml:space="preserve"> and </w:t>
      </w:r>
      <w:r w:rsidR="003E2585">
        <w:rPr>
          <w:b/>
          <w:bCs/>
          <w:noProof/>
          <w:lang w:val="en-GB"/>
        </w:rPr>
        <w:t>Management body</w:t>
      </w:r>
      <w:r>
        <w:rPr>
          <w:b/>
          <w:bCs/>
          <w:noProof/>
          <w:lang w:val="en-GB"/>
        </w:rPr>
        <w:t>’s concise risk statement)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ensure that its take-up of risks at any moment is in accordance with the adopted risk </w:t>
      </w:r>
      <w:r w:rsidR="00684B11">
        <w:rPr>
          <w:noProof/>
          <w:lang w:val="en-GB"/>
        </w:rPr>
        <w:t>appetite</w:t>
      </w:r>
      <w:r>
        <w:rPr>
          <w:noProof/>
          <w:lang w:val="en-GB"/>
        </w:rPr>
        <w:t xml:space="preserve"> referred to point 8 of the second paragraph of Article 3 of this regulation. The bank’s approach to the realisation of the risk </w:t>
      </w:r>
      <w:r w:rsidR="00540F00">
        <w:rPr>
          <w:noProof/>
          <w:lang w:val="en-GB"/>
        </w:rPr>
        <w:t>appetite</w:t>
      </w:r>
      <w:r>
        <w:rPr>
          <w:noProof/>
          <w:lang w:val="en-GB"/>
        </w:rPr>
        <w:t xml:space="preserve"> shall be integral, shall take account of the interests of the bank’s owners and other stakeholders, and shall be based on the bank’s policies, processes and internal controls and the corresponding responsibilities of the risk management function and the compliance function.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w:t>
      </w:r>
      <w:r w:rsidR="003E2585">
        <w:rPr>
          <w:noProof/>
          <w:lang w:val="en-GB"/>
        </w:rPr>
        <w:t>Management body</w:t>
      </w:r>
      <w:r>
        <w:rPr>
          <w:noProof/>
          <w:lang w:val="en-GB"/>
        </w:rPr>
        <w:t xml:space="preserve"> shall explain the bank’s approach to the realisation of the risk </w:t>
      </w:r>
      <w:r w:rsidR="00E95869">
        <w:rPr>
          <w:noProof/>
          <w:lang w:val="en-GB"/>
        </w:rPr>
        <w:t>appetite</w:t>
      </w:r>
      <w:r>
        <w:rPr>
          <w:noProof/>
          <w:lang w:val="en-GB"/>
        </w:rPr>
        <w:t xml:space="preserve"> referred to in the first paragraph of this article on the basis of the concise risk statement referred to in point (f) of the first paragraph of Article 435 of Regulation (EU) No 575/2013. This statement shall include: </w:t>
      </w:r>
    </w:p>
    <w:p w:rsidR="00823BAB" w:rsidRPr="00823BAB" w:rsidRDefault="00823BAB" w:rsidP="00823BAB">
      <w:pPr>
        <w:ind w:firstLine="360"/>
        <w:jc w:val="both"/>
        <w:rPr>
          <w:noProof/>
        </w:rPr>
      </w:pPr>
      <w:r>
        <w:rPr>
          <w:noProof/>
          <w:lang w:val="en-GB"/>
        </w:rPr>
        <w:t xml:space="preserve">1. a definition of the highest overall level of risk and the levels and types of individual significant risks referred to in the first and second paragraphs of Article 19 of this regulation that the bank, for the purpose of implementing its business objectives, strategies and policies, and having regard for its risk </w:t>
      </w:r>
      <w:r w:rsidR="00725B2C">
        <w:rPr>
          <w:noProof/>
          <w:lang w:val="en-GB"/>
        </w:rPr>
        <w:t>bearing</w:t>
      </w:r>
      <w:r>
        <w:rPr>
          <w:noProof/>
          <w:lang w:val="en-GB"/>
        </w:rPr>
        <w:t xml:space="preserve"> capacity, is ready to take up or is to avoid, both in normal operating conditions and in stress conditions;</w:t>
      </w:r>
    </w:p>
    <w:p w:rsidR="00823BAB" w:rsidRPr="00823BAB" w:rsidRDefault="00823BAB" w:rsidP="00823BAB">
      <w:pPr>
        <w:ind w:firstLine="360"/>
        <w:jc w:val="both"/>
        <w:rPr>
          <w:noProof/>
        </w:rPr>
      </w:pPr>
      <w:r>
        <w:rPr>
          <w:noProof/>
          <w:lang w:val="en-GB"/>
        </w:rPr>
        <w:t xml:space="preserve">2. a definition of quantitative risk management criteria, including risk limits and other risk management measures, and an explanation with regard to the impact of these criteria on the bank’s earnings, capital, liquidity and other performance indicators; </w:t>
      </w:r>
    </w:p>
    <w:p w:rsidR="00823BAB" w:rsidRPr="00823BAB" w:rsidRDefault="00823BAB" w:rsidP="00823BAB">
      <w:pPr>
        <w:ind w:firstLine="360"/>
        <w:jc w:val="both"/>
        <w:rPr>
          <w:noProof/>
        </w:rPr>
      </w:pPr>
      <w:r>
        <w:rPr>
          <w:noProof/>
          <w:lang w:val="en-GB"/>
        </w:rPr>
        <w:t xml:space="preserve">3. the bank’s descriptive views with regard to its readiness and incentives for the take-up or management of hard-to-measure risks, including the approach to the management of operational risk, reputation risk, prevention of money laundering and other unethical business practices (qualitative risk management measures); </w:t>
      </w:r>
    </w:p>
    <w:p w:rsidR="00823BAB" w:rsidRPr="00823BAB" w:rsidRDefault="00823BAB" w:rsidP="00823BAB">
      <w:pPr>
        <w:ind w:firstLine="360"/>
        <w:jc w:val="both"/>
        <w:rPr>
          <w:noProof/>
        </w:rPr>
      </w:pPr>
      <w:r>
        <w:rPr>
          <w:noProof/>
          <w:lang w:val="en-GB"/>
        </w:rPr>
        <w:t xml:space="preserve">4. an explanation with regard to the constraints and other aspects of operations that the bank takes into account in the implementation of its business objectives, strategies and policies.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The bank shall, for the purpose of the consistent application of the </w:t>
      </w:r>
      <w:r w:rsidR="003E2585">
        <w:rPr>
          <w:noProof/>
          <w:lang w:val="en-GB"/>
        </w:rPr>
        <w:t>Management body</w:t>
      </w:r>
      <w:r>
        <w:rPr>
          <w:noProof/>
          <w:lang w:val="en-GB"/>
        </w:rPr>
        <w:t xml:space="preserve">’s concise risk statement in the bank’s everyday operations, provide the requisite information to the bank’s employees with regard to the definitions and the importance of the consistent realisation of the adopted risk </w:t>
      </w:r>
      <w:r w:rsidR="00912BE8">
        <w:rPr>
          <w:noProof/>
          <w:lang w:val="en-GB"/>
        </w:rPr>
        <w:t>appetite</w:t>
      </w:r>
      <w:r>
        <w:rPr>
          <w:noProof/>
          <w:lang w:val="en-GB"/>
        </w:rPr>
        <w:t xml:space="preserve"> and the methods for taking it into account in the bank’s daily business decisions. </w:t>
      </w:r>
    </w:p>
    <w:p w:rsidR="00823BAB" w:rsidRPr="00823BAB" w:rsidRDefault="00823BAB" w:rsidP="00823BAB">
      <w:pPr>
        <w:jc w:val="both"/>
        <w:rPr>
          <w:noProof/>
        </w:rPr>
      </w:pPr>
    </w:p>
    <w:p w:rsidR="00823BAB" w:rsidRPr="00D41792" w:rsidRDefault="00823BAB" w:rsidP="00D41792">
      <w:pPr>
        <w:rPr>
          <w:b/>
          <w:noProof/>
        </w:rPr>
      </w:pPr>
      <w:r w:rsidRPr="00D41792">
        <w:rPr>
          <w:b/>
          <w:bCs/>
          <w:noProof/>
          <w:lang w:val="en-GB"/>
        </w:rPr>
        <w:t>Article 18</w:t>
      </w:r>
    </w:p>
    <w:p w:rsidR="00823BAB" w:rsidRPr="00823BAB" w:rsidRDefault="00823BAB" w:rsidP="00823BAB">
      <w:pPr>
        <w:rPr>
          <w:b/>
          <w:noProof/>
        </w:rPr>
      </w:pPr>
      <w:r>
        <w:rPr>
          <w:b/>
          <w:bCs/>
          <w:noProof/>
          <w:lang w:val="en-GB"/>
        </w:rPr>
        <w:t xml:space="preserve">(risk </w:t>
      </w:r>
      <w:r w:rsidR="00725B2C">
        <w:rPr>
          <w:b/>
          <w:bCs/>
          <w:noProof/>
          <w:lang w:val="en-GB"/>
        </w:rPr>
        <w:t>bearing</w:t>
      </w:r>
      <w:r>
        <w:rPr>
          <w:b/>
          <w:bCs/>
          <w:noProof/>
          <w:lang w:val="en-GB"/>
        </w:rPr>
        <w:t xml:space="preserve"> capacity)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ensure that its take-up of significant risks at any moment is within the framework of the risk </w:t>
      </w:r>
      <w:r w:rsidR="00725B2C">
        <w:rPr>
          <w:noProof/>
          <w:lang w:val="en-GB"/>
        </w:rPr>
        <w:t>bearing</w:t>
      </w:r>
      <w:r>
        <w:rPr>
          <w:noProof/>
          <w:lang w:val="en-GB"/>
        </w:rPr>
        <w:t xml:space="preserve"> capacity referred to in point 10 of the second paragraph of Article 3 of this regulation.</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The bank shall put in place a methodology for assessing the risk </w:t>
      </w:r>
      <w:r w:rsidR="00725B2C">
        <w:rPr>
          <w:noProof/>
          <w:lang w:val="en-GB"/>
        </w:rPr>
        <w:t>bearing</w:t>
      </w:r>
      <w:r>
        <w:rPr>
          <w:noProof/>
          <w:lang w:val="en-GB"/>
        </w:rPr>
        <w:t xml:space="preserve"> capacity at any moment, which takes account of:</w:t>
      </w:r>
    </w:p>
    <w:p w:rsidR="00823BAB" w:rsidRPr="00823BAB" w:rsidRDefault="00823BAB" w:rsidP="00823BAB">
      <w:pPr>
        <w:ind w:firstLine="360"/>
        <w:jc w:val="both"/>
        <w:rPr>
          <w:noProof/>
        </w:rPr>
      </w:pPr>
      <w:r>
        <w:rPr>
          <w:noProof/>
          <w:lang w:val="en-GB"/>
        </w:rPr>
        <w:t>1. all significant risks that the bank takes up within the framework of its operations, including interactions and risk concentrations;</w:t>
      </w:r>
    </w:p>
    <w:p w:rsidR="00823BAB" w:rsidRPr="00823BAB" w:rsidRDefault="00823BAB" w:rsidP="00823BAB">
      <w:pPr>
        <w:ind w:firstLine="360"/>
        <w:jc w:val="both"/>
        <w:rPr>
          <w:noProof/>
        </w:rPr>
      </w:pPr>
      <w:r>
        <w:rPr>
          <w:noProof/>
          <w:lang w:val="en-GB"/>
        </w:rPr>
        <w:t>2. the available measures for managing the identified and assessed risks;</w:t>
      </w:r>
    </w:p>
    <w:p w:rsidR="00823BAB" w:rsidRPr="00823BAB" w:rsidRDefault="00823BAB" w:rsidP="00823BAB">
      <w:pPr>
        <w:ind w:firstLine="360"/>
        <w:jc w:val="both"/>
        <w:rPr>
          <w:noProof/>
        </w:rPr>
      </w:pPr>
      <w:r>
        <w:rPr>
          <w:noProof/>
          <w:lang w:val="en-GB"/>
        </w:rPr>
        <w:t>e. the bank’s capital and liquidity;</w:t>
      </w:r>
    </w:p>
    <w:p w:rsidR="00823BAB" w:rsidRPr="00823BAB" w:rsidRDefault="00823BAB" w:rsidP="00823BAB">
      <w:pPr>
        <w:ind w:firstLine="360"/>
        <w:jc w:val="both"/>
        <w:rPr>
          <w:noProof/>
        </w:rPr>
      </w:pPr>
      <w:r>
        <w:rPr>
          <w:noProof/>
          <w:lang w:val="en-GB"/>
        </w:rPr>
        <w:t>4. other restrictions, including any restrictions deriving from the bank’s bylaws, regulations and standards, or the requirements of the Bank of Slovenia and other competent and supervisory authorities.</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 xml:space="preserve">Where specific risks or other factors are not taken into account in the assessment of the risk </w:t>
      </w:r>
      <w:r w:rsidR="00725B2C">
        <w:rPr>
          <w:noProof/>
          <w:lang w:val="en-GB"/>
        </w:rPr>
        <w:t>bearing</w:t>
      </w:r>
      <w:r>
        <w:rPr>
          <w:noProof/>
          <w:lang w:val="en-GB"/>
        </w:rPr>
        <w:t xml:space="preserve"> capacity, the bank shall explain what the risks and factors are, citing the reasons why they have not been taken into account.</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(3) The bank shall regularly asses the risk </w:t>
      </w:r>
      <w:r w:rsidR="00725B2C">
        <w:rPr>
          <w:noProof/>
          <w:lang w:val="en-GB"/>
        </w:rPr>
        <w:t>bearing</w:t>
      </w:r>
      <w:r>
        <w:rPr>
          <w:noProof/>
          <w:lang w:val="en-GB"/>
        </w:rPr>
        <w:t xml:space="preserve"> capacity, including during any significant change in exposure to taken-up risks. The assessment of risk </w:t>
      </w:r>
      <w:r w:rsidR="00725B2C">
        <w:rPr>
          <w:noProof/>
          <w:lang w:val="en-GB"/>
        </w:rPr>
        <w:t>bearing</w:t>
      </w:r>
      <w:r>
        <w:rPr>
          <w:noProof/>
          <w:lang w:val="en-GB"/>
        </w:rPr>
        <w:t xml:space="preserve"> capacity shall be documented. The bank shall review the adequacy of the methodology for assessing risk </w:t>
      </w:r>
      <w:r w:rsidR="00725B2C">
        <w:rPr>
          <w:noProof/>
          <w:lang w:val="en-GB"/>
        </w:rPr>
        <w:t>bearing</w:t>
      </w:r>
      <w:r>
        <w:rPr>
          <w:noProof/>
          <w:lang w:val="en-GB"/>
        </w:rPr>
        <w:t xml:space="preserve"> capacity at least once a year, including the proposals for its potential updating. </w:t>
      </w:r>
    </w:p>
    <w:p w:rsidR="00823BAB" w:rsidRPr="00823BAB" w:rsidRDefault="00823BAB" w:rsidP="00823BAB">
      <w:pPr>
        <w:jc w:val="both"/>
        <w:rPr>
          <w:noProof/>
        </w:rPr>
      </w:pPr>
    </w:p>
    <w:p w:rsidR="00823BAB" w:rsidRPr="00D41792" w:rsidRDefault="00823BAB" w:rsidP="00D41792">
      <w:pPr>
        <w:rPr>
          <w:b/>
          <w:noProof/>
        </w:rPr>
      </w:pPr>
      <w:r w:rsidRPr="00D41792">
        <w:rPr>
          <w:b/>
          <w:bCs/>
          <w:noProof/>
          <w:lang w:val="en-GB"/>
        </w:rPr>
        <w:t>Article 19</w:t>
      </w:r>
    </w:p>
    <w:p w:rsidR="00823BAB" w:rsidRPr="00823BAB" w:rsidRDefault="00823BAB" w:rsidP="00823BAB">
      <w:pPr>
        <w:rPr>
          <w:b/>
          <w:noProof/>
        </w:rPr>
      </w:pPr>
      <w:r>
        <w:rPr>
          <w:b/>
          <w:bCs/>
          <w:noProof/>
          <w:lang w:val="en-GB"/>
        </w:rPr>
        <w:t>(bank’s risk)</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risks that a bank takes up within the framework of its operations may include credit risk and counterparty risk, concentration risk within the framework of credit risk, market risks, interest rate risk, liquidity risk, operational risk (including legal risk), compliance risk, model risk, reputation risk, strategic risk, capital risk, profitability risk, risk of excessive leverage, and securitisation risk.</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 xml:space="preserve">(2) The bank shall ensure that at any moment it is capable of managing all of its other significant risks on a consolidated, sub-consolidated and individual basis. Significant risks shall be identified early, treated comprehensively, monitored within the framework of the bank’s daily activities and presented in timely fashion to the </w:t>
      </w:r>
      <w:r w:rsidR="003E2585">
        <w:rPr>
          <w:noProof/>
          <w:lang w:val="en-GB"/>
        </w:rPr>
        <w:t>Management body</w:t>
      </w:r>
      <w:r>
        <w:rPr>
          <w:noProof/>
          <w:lang w:val="en-GB"/>
        </w:rPr>
        <w:t>, the senior management, the internal audit department and, if any, the compliance department. Effective risk management reduces the probability of unexpected losses, and consequently prevents reputation risk deriving from such losses.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(3) In addition to the general requirements in connection with risk management set out by this regulation, the bank shall additionally meet the requirements with regard to the treatment of the following risks:</w:t>
      </w:r>
    </w:p>
    <w:p w:rsidR="00823BAB" w:rsidRPr="00823BAB" w:rsidRDefault="00823BAB" w:rsidP="00823BAB">
      <w:pPr>
        <w:ind w:firstLine="360"/>
        <w:jc w:val="both"/>
        <w:rPr>
          <w:noProof/>
        </w:rPr>
      </w:pPr>
      <w:r>
        <w:rPr>
          <w:noProof/>
          <w:lang w:val="en-GB"/>
        </w:rPr>
        <w:t>1. credit risk;</w:t>
      </w:r>
    </w:p>
    <w:p w:rsidR="00823BAB" w:rsidRPr="00823BAB" w:rsidRDefault="00823BAB" w:rsidP="00823BAB">
      <w:pPr>
        <w:ind w:firstLine="360"/>
        <w:jc w:val="both"/>
        <w:rPr>
          <w:noProof/>
        </w:rPr>
      </w:pPr>
      <w:r>
        <w:rPr>
          <w:noProof/>
          <w:lang w:val="en-GB"/>
        </w:rPr>
        <w:t>2. liquidity risk;</w:t>
      </w:r>
    </w:p>
    <w:p w:rsidR="00823BAB" w:rsidRPr="00823BAB" w:rsidRDefault="00823BAB" w:rsidP="00823BAB">
      <w:pPr>
        <w:ind w:firstLine="360"/>
        <w:jc w:val="both"/>
        <w:rPr>
          <w:noProof/>
        </w:rPr>
      </w:pPr>
      <w:r>
        <w:rPr>
          <w:noProof/>
          <w:lang w:val="en-GB"/>
        </w:rPr>
        <w:t xml:space="preserve">3. operational risk; </w:t>
      </w:r>
    </w:p>
    <w:p w:rsidR="00823BAB" w:rsidRPr="00823BAB" w:rsidRDefault="00823BAB" w:rsidP="00823BAB">
      <w:pPr>
        <w:ind w:firstLine="360"/>
        <w:jc w:val="both"/>
        <w:rPr>
          <w:noProof/>
        </w:rPr>
      </w:pPr>
      <w:r>
        <w:rPr>
          <w:noProof/>
          <w:lang w:val="en-GB"/>
        </w:rPr>
        <w:t>4. market risks.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The requirements are discussed in detail in Appendices 1 to 4 of this regulation.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2.3.2 Risk management</w:t>
      </w:r>
    </w:p>
    <w:p w:rsidR="00823BAB" w:rsidRPr="00823BAB" w:rsidRDefault="00823BAB" w:rsidP="00823BAB">
      <w:pPr>
        <w:rPr>
          <w:b/>
          <w:noProof/>
        </w:rPr>
      </w:pPr>
    </w:p>
    <w:p w:rsidR="00823BAB" w:rsidRPr="00D41792" w:rsidRDefault="00823BAB" w:rsidP="00D41792">
      <w:pPr>
        <w:rPr>
          <w:b/>
          <w:noProof/>
        </w:rPr>
      </w:pPr>
      <w:r w:rsidRPr="00D41792">
        <w:rPr>
          <w:b/>
          <w:bCs/>
          <w:noProof/>
          <w:lang w:val="en-GB"/>
        </w:rPr>
        <w:t>Article 20</w:t>
      </w:r>
    </w:p>
    <w:p w:rsidR="00823BAB" w:rsidRPr="00823BAB" w:rsidRDefault="00823BAB" w:rsidP="00823BAB">
      <w:pPr>
        <w:rPr>
          <w:b/>
          <w:noProof/>
        </w:rPr>
      </w:pPr>
      <w:r>
        <w:rPr>
          <w:b/>
          <w:bCs/>
          <w:noProof/>
          <w:lang w:val="en-GB"/>
        </w:rPr>
        <w:t>(general provisions on risk management processes)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The risk management processes referred to in point 2 of the first paragraph of Article 128 of the ZBan-2 are deemed effective if they facilitate the production of high-quality assessments, analysis, reports, proposals of measures and other results of these processes, including an internal assessment of risk-based capital requirements and an internal capital assessment, based on which the management board is able to take business decisions that are in accordance with the adopted risk </w:t>
      </w:r>
      <w:r w:rsidR="00912BE8">
        <w:rPr>
          <w:noProof/>
          <w:lang w:val="en-GB"/>
        </w:rPr>
        <w:t>appetite</w:t>
      </w:r>
      <w:r>
        <w:rPr>
          <w:noProof/>
          <w:lang w:val="en-GB"/>
        </w:rPr>
        <w:t xml:space="preserve">, and other measures in connection with the realisation of stable internal governance arrangements at the bank.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bank shall provide for systematic planning of the development of the risk management processes referred to in the first paragraph of this article, for the purpose of their effective tailoring to any changes in the bank’s risk profile, the risks of the external environment and best risk management practice. </w:t>
      </w:r>
    </w:p>
    <w:p w:rsidR="00823BAB" w:rsidRPr="00823BAB" w:rsidRDefault="00823BAB" w:rsidP="00823BAB">
      <w:pPr>
        <w:jc w:val="both"/>
        <w:rPr>
          <w:noProof/>
        </w:rPr>
      </w:pPr>
    </w:p>
    <w:p w:rsidR="00823BAB" w:rsidRPr="00D41792" w:rsidRDefault="00823BAB" w:rsidP="00D41792">
      <w:pPr>
        <w:rPr>
          <w:b/>
          <w:noProof/>
        </w:rPr>
      </w:pPr>
      <w:r w:rsidRPr="00D41792">
        <w:rPr>
          <w:b/>
          <w:bCs/>
          <w:noProof/>
          <w:lang w:val="en-GB"/>
        </w:rPr>
        <w:t>Article 21</w:t>
      </w:r>
    </w:p>
    <w:p w:rsidR="00823BAB" w:rsidRPr="00823BAB" w:rsidRDefault="00823BAB" w:rsidP="00823BAB">
      <w:pPr>
        <w:rPr>
          <w:b/>
          <w:noProof/>
        </w:rPr>
      </w:pPr>
      <w:r>
        <w:rPr>
          <w:b/>
          <w:bCs/>
          <w:noProof/>
          <w:lang w:val="en-GB"/>
        </w:rPr>
        <w:t>(identification and assessment or measurement of risks)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process of identifying risks shall ensure that all the significant risks referred to in the first and second paragraphs of Article 19 of this regulation are taken into account. The identification of significant risks shall include:</w:t>
      </w:r>
    </w:p>
    <w:p w:rsidR="00823BAB" w:rsidRPr="00823BAB" w:rsidRDefault="00823BAB" w:rsidP="00823BAB">
      <w:pPr>
        <w:ind w:firstLine="360"/>
        <w:jc w:val="both"/>
        <w:rPr>
          <w:noProof/>
        </w:rPr>
      </w:pPr>
      <w:r>
        <w:rPr>
          <w:noProof/>
          <w:lang w:val="en-GB"/>
        </w:rPr>
        <w:t>1. comprehensive risk analysis, including risks that could have an adverse impact on the bank’s earnings, liquidity and share value;</w:t>
      </w:r>
    </w:p>
    <w:p w:rsidR="00823BAB" w:rsidRPr="00823BAB" w:rsidRDefault="00823BAB" w:rsidP="00823BAB">
      <w:pPr>
        <w:ind w:firstLine="360"/>
        <w:jc w:val="both"/>
        <w:rPr>
          <w:noProof/>
        </w:rPr>
      </w:pPr>
      <w:r>
        <w:rPr>
          <w:noProof/>
          <w:lang w:val="en-GB"/>
        </w:rPr>
        <w:t>2. consideration of risk concentrations and the potential risks inherent in the complexity of the bank’s legal and organisational structure;</w:t>
      </w:r>
    </w:p>
    <w:p w:rsidR="00823BAB" w:rsidRPr="00823BAB" w:rsidRDefault="00823BAB" w:rsidP="00823BAB">
      <w:pPr>
        <w:ind w:firstLine="360"/>
        <w:jc w:val="both"/>
        <w:rPr>
          <w:noProof/>
        </w:rPr>
      </w:pPr>
      <w:r>
        <w:rPr>
          <w:noProof/>
          <w:lang w:val="en-GB"/>
        </w:rPr>
        <w:t>3. analysis of trends for the purpose of identifying new or emerging risks as a result of changes in the bank’s business conditions.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process of the ordinary and, where appropriate, extraordinary assessment or measurement of the identified risks referred to in the first paragraph of this article shall be based on:</w:t>
      </w:r>
    </w:p>
    <w:p w:rsidR="00823BAB" w:rsidRPr="00823BAB" w:rsidRDefault="00823BAB" w:rsidP="00823BAB">
      <w:pPr>
        <w:ind w:firstLine="360"/>
        <w:jc w:val="both"/>
        <w:rPr>
          <w:noProof/>
        </w:rPr>
      </w:pPr>
      <w:r>
        <w:rPr>
          <w:noProof/>
          <w:lang w:val="en-GB"/>
        </w:rPr>
        <w:t>1. established and documented processes for the assessment or measurement of losses that are in accordance with the bank’s methodologies for the calculation of minimum own funds requirements;</w:t>
      </w:r>
    </w:p>
    <w:p w:rsidR="00823BAB" w:rsidRPr="00823BAB" w:rsidRDefault="00823BAB" w:rsidP="00823BAB">
      <w:pPr>
        <w:ind w:firstLine="360"/>
        <w:jc w:val="both"/>
        <w:rPr>
          <w:noProof/>
        </w:rPr>
      </w:pPr>
      <w:r>
        <w:rPr>
          <w:noProof/>
          <w:lang w:val="en-GB"/>
        </w:rPr>
        <w:t>2. the use of an appropriate toolkit of scenarios with regard to causes of risk and risk interactions;</w:t>
      </w:r>
    </w:p>
    <w:p w:rsidR="00823BAB" w:rsidRPr="00823BAB" w:rsidRDefault="00823BAB" w:rsidP="00823BAB">
      <w:pPr>
        <w:ind w:firstLine="360"/>
        <w:jc w:val="both"/>
        <w:rPr>
          <w:noProof/>
        </w:rPr>
      </w:pPr>
      <w:r>
        <w:rPr>
          <w:noProof/>
          <w:lang w:val="en-GB"/>
        </w:rPr>
        <w:t xml:space="preserve">3. the use of appropriate and reliable databases. </w:t>
      </w:r>
    </w:p>
    <w:p w:rsidR="00823BAB" w:rsidRPr="00823BAB" w:rsidRDefault="00823BAB" w:rsidP="00823BAB">
      <w:pPr>
        <w:pStyle w:val="Odstavekseznama"/>
        <w:ind w:left="360"/>
        <w:jc w:val="both"/>
        <w:rPr>
          <w:b/>
          <w:noProof/>
          <w:highlight w:val="green"/>
        </w:rPr>
      </w:pPr>
    </w:p>
    <w:p w:rsidR="00823BAB" w:rsidRPr="000307C2" w:rsidRDefault="00823BAB" w:rsidP="000307C2">
      <w:pPr>
        <w:rPr>
          <w:b/>
          <w:noProof/>
        </w:rPr>
      </w:pPr>
      <w:r w:rsidRPr="000307C2">
        <w:rPr>
          <w:b/>
          <w:bCs/>
          <w:noProof/>
          <w:lang w:val="en-GB"/>
        </w:rPr>
        <w:t>Article 22</w:t>
      </w:r>
    </w:p>
    <w:p w:rsidR="00823BAB" w:rsidRPr="00823BAB" w:rsidRDefault="00823BAB" w:rsidP="00823BAB">
      <w:pPr>
        <w:rPr>
          <w:b/>
          <w:noProof/>
        </w:rPr>
      </w:pPr>
      <w:r>
        <w:rPr>
          <w:b/>
          <w:bCs/>
          <w:noProof/>
          <w:lang w:val="en-GB"/>
        </w:rPr>
        <w:t>(stress tests)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provide for a comprehensive approach to the implementation of stress tests and sensitivity analysis (hereinafter: stress tests) that includes:</w:t>
      </w:r>
    </w:p>
    <w:p w:rsidR="00823BAB" w:rsidRPr="00823BAB" w:rsidRDefault="00823BAB" w:rsidP="00823BAB">
      <w:pPr>
        <w:ind w:firstLine="360"/>
        <w:jc w:val="both"/>
        <w:rPr>
          <w:noProof/>
        </w:rPr>
      </w:pPr>
      <w:r>
        <w:rPr>
          <w:noProof/>
          <w:lang w:val="en-GB"/>
        </w:rPr>
        <w:t>1. the identification of the most significant causes of risk, and the preparation of appropriate stress scenarios;</w:t>
      </w:r>
    </w:p>
    <w:p w:rsidR="00823BAB" w:rsidRPr="00823BAB" w:rsidRDefault="00823BAB" w:rsidP="00823BAB">
      <w:pPr>
        <w:ind w:firstLine="360"/>
        <w:jc w:val="both"/>
        <w:rPr>
          <w:noProof/>
        </w:rPr>
      </w:pPr>
      <w:r>
        <w:rPr>
          <w:noProof/>
          <w:lang w:val="en-GB"/>
        </w:rPr>
        <w:t>2. the application of the results of stress tests for the purpose of:</w:t>
      </w:r>
    </w:p>
    <w:p w:rsidR="00823BAB" w:rsidRPr="00823BAB" w:rsidRDefault="00823BAB" w:rsidP="00823BAB">
      <w:pPr>
        <w:pStyle w:val="Odstavekseznama"/>
        <w:numPr>
          <w:ilvl w:val="0"/>
          <w:numId w:val="26"/>
        </w:numPr>
        <w:jc w:val="both"/>
        <w:rPr>
          <w:noProof/>
        </w:rPr>
      </w:pPr>
      <w:r>
        <w:rPr>
          <w:noProof/>
          <w:lang w:val="en-GB"/>
        </w:rPr>
        <w:t>identifying risks and the development of the bank’s exposure to these risks,</w:t>
      </w:r>
    </w:p>
    <w:p w:rsidR="00823BAB" w:rsidRPr="00823BAB" w:rsidRDefault="00823BAB" w:rsidP="00823BAB">
      <w:pPr>
        <w:pStyle w:val="Odstavekseznama"/>
        <w:numPr>
          <w:ilvl w:val="0"/>
          <w:numId w:val="26"/>
        </w:numPr>
        <w:jc w:val="both"/>
        <w:rPr>
          <w:noProof/>
        </w:rPr>
      </w:pPr>
      <w:r>
        <w:rPr>
          <w:noProof/>
          <w:lang w:val="en-GB"/>
        </w:rPr>
        <w:t>reviewing the adequacy of assessments or measurements of risks;</w:t>
      </w:r>
    </w:p>
    <w:p w:rsidR="00823BAB" w:rsidRPr="00823BAB" w:rsidRDefault="00823BAB" w:rsidP="00823BAB">
      <w:pPr>
        <w:ind w:firstLine="360"/>
        <w:jc w:val="both"/>
        <w:rPr>
          <w:noProof/>
        </w:rPr>
      </w:pPr>
      <w:r>
        <w:rPr>
          <w:noProof/>
          <w:lang w:val="en-GB"/>
        </w:rPr>
        <w:t>3. compiling a toolkit of potential risk management measures referred to in the first paragraph of Article 23 of this regulation in the event of adverse operating conditions for the bank (e.g. the preparation of business continuity plans).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bank shall take account of the results of stress tests in the process of reviewing and planning the bank’s risk </w:t>
      </w:r>
      <w:r w:rsidR="00912BE8">
        <w:rPr>
          <w:noProof/>
          <w:lang w:val="en-GB"/>
        </w:rPr>
        <w:t>appetite</w:t>
      </w:r>
      <w:r>
        <w:rPr>
          <w:noProof/>
          <w:lang w:val="en-GB"/>
        </w:rPr>
        <w:t xml:space="preserve">, risk limits and risk </w:t>
      </w:r>
      <w:r w:rsidR="00725B2C">
        <w:rPr>
          <w:noProof/>
          <w:lang w:val="en-GB"/>
        </w:rPr>
        <w:t>bearing</w:t>
      </w:r>
      <w:r>
        <w:rPr>
          <w:noProof/>
          <w:lang w:val="en-GB"/>
        </w:rPr>
        <w:t xml:space="preserve"> capacity, planning the bank’s capital and liquidity, and making an internal assessment of capital adequacy and sustainable liquidity. The </w:t>
      </w:r>
      <w:r w:rsidR="003E2585">
        <w:rPr>
          <w:noProof/>
          <w:lang w:val="en-GB"/>
        </w:rPr>
        <w:t>Management body</w:t>
      </w:r>
      <w:r>
        <w:rPr>
          <w:noProof/>
          <w:lang w:val="en-GB"/>
        </w:rPr>
        <w:t>, the risk committee, the relevant senior management and the internal audit department shall be briefed on the results of stress tests. The management board shall confirm the results of stress tests on each occasion.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(3) The management board shall review and approve the stress scenarios referred to in the first paragraph of this article on each occasion, and shall brief the risk committee accordingly.</w:t>
      </w:r>
    </w:p>
    <w:p w:rsidR="00823BAB" w:rsidRPr="00823BAB" w:rsidRDefault="00823BAB" w:rsidP="00823BAB">
      <w:pPr>
        <w:jc w:val="both"/>
        <w:rPr>
          <w:noProof/>
        </w:rPr>
      </w:pPr>
    </w:p>
    <w:p w:rsidR="00823BAB" w:rsidRPr="00D41D49" w:rsidRDefault="00823BAB" w:rsidP="00D41D49">
      <w:pPr>
        <w:rPr>
          <w:b/>
          <w:noProof/>
        </w:rPr>
      </w:pPr>
      <w:r w:rsidRPr="00D41D49">
        <w:rPr>
          <w:b/>
          <w:bCs/>
          <w:noProof/>
          <w:lang w:val="en-GB"/>
        </w:rPr>
        <w:t>Article 23</w:t>
      </w:r>
    </w:p>
    <w:p w:rsidR="00823BAB" w:rsidRPr="00823BAB" w:rsidRDefault="00823BAB" w:rsidP="00823BAB">
      <w:pPr>
        <w:rPr>
          <w:b/>
          <w:noProof/>
        </w:rPr>
      </w:pPr>
      <w:r>
        <w:rPr>
          <w:b/>
          <w:bCs/>
          <w:noProof/>
          <w:lang w:val="en-GB"/>
        </w:rPr>
        <w:t>(risk management)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process of managing taken-up risks shall ensure the definition and implementation of potential risk management measures including:</w:t>
      </w:r>
    </w:p>
    <w:p w:rsidR="00823BAB" w:rsidRPr="00823BAB" w:rsidRDefault="00823BAB" w:rsidP="00823BAB">
      <w:pPr>
        <w:ind w:firstLine="360"/>
        <w:jc w:val="both"/>
        <w:rPr>
          <w:noProof/>
        </w:rPr>
      </w:pPr>
      <w:r>
        <w:rPr>
          <w:noProof/>
          <w:lang w:val="en-GB"/>
        </w:rPr>
        <w:t>1. the transfer or diversification of risks (e.g. via insurance) or the avoidance of risks (e.g. via the withdrawal of a product or business line);</w:t>
      </w:r>
    </w:p>
    <w:p w:rsidR="00823BAB" w:rsidRPr="00823BAB" w:rsidRDefault="00823BAB" w:rsidP="00823BAB">
      <w:pPr>
        <w:ind w:firstLine="360"/>
        <w:jc w:val="both"/>
        <w:rPr>
          <w:noProof/>
        </w:rPr>
      </w:pPr>
      <w:r>
        <w:rPr>
          <w:noProof/>
          <w:lang w:val="en-GB"/>
        </w:rPr>
        <w:t>2. risk limitation (e.g. via risk limits);</w:t>
      </w:r>
    </w:p>
    <w:p w:rsidR="00823BAB" w:rsidRPr="00823BAB" w:rsidRDefault="00823BAB" w:rsidP="00823BAB">
      <w:pPr>
        <w:ind w:firstLine="360"/>
        <w:jc w:val="both"/>
        <w:rPr>
          <w:noProof/>
        </w:rPr>
      </w:pPr>
      <w:r>
        <w:rPr>
          <w:noProof/>
          <w:lang w:val="en-GB"/>
        </w:rPr>
        <w:t>3. the temporary acceptance or take-up of risks that exceed the adopted risk limits, because their mitigation over the relevant period is not possible;</w:t>
      </w:r>
    </w:p>
    <w:p w:rsidR="00823BAB" w:rsidRPr="00823BAB" w:rsidRDefault="00823BAB" w:rsidP="00823BAB">
      <w:pPr>
        <w:ind w:firstLine="360"/>
        <w:jc w:val="both"/>
        <w:rPr>
          <w:noProof/>
        </w:rPr>
      </w:pPr>
      <w:r>
        <w:rPr>
          <w:noProof/>
          <w:lang w:val="en-GB"/>
        </w:rPr>
        <w:t>4. the acceptance or take-up of risks that cannot be mitigated to the level of the adopted risk limits or cannot be adequately insured against.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bank shall ensure that the measures referred to in point 3 of the first paragraph of this article are applied in exceptional cases only, and on the basis of an appropriate approval by the management board, which shall be briefed on the effects of such measures regularly.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(3) The risk management function shall propose the measures referred to in the first paragraph of this article for identified and assessed or measured risks, and shall guide and monitor their implementation. In the event of a decision by the management board with regard to the acceptance of significant risks referred to in points 3 and 4 of the first paragraph of this article, in conjunction with the organisational units that are taking up the risks the risk management function shall provide for the regular monitoring and reporting of the risks for the purpose of managing these risks within the agreed risk limits or in accordance with the management board’s decisions.</w:t>
      </w:r>
      <w:r>
        <w:rPr>
          <w:noProof/>
          <w:highlight w:val="yellow"/>
          <w:lang w:val="en-GB"/>
        </w:rPr>
        <w:t xml:space="preserve"> </w:t>
      </w:r>
    </w:p>
    <w:p w:rsidR="00823BAB" w:rsidRPr="00823BAB" w:rsidRDefault="00823BAB" w:rsidP="00823BAB">
      <w:pPr>
        <w:jc w:val="both"/>
        <w:rPr>
          <w:noProof/>
        </w:rPr>
      </w:pPr>
    </w:p>
    <w:p w:rsidR="00823BAB" w:rsidRPr="00AC1B74" w:rsidRDefault="00823BAB" w:rsidP="00AC1B74">
      <w:pPr>
        <w:rPr>
          <w:b/>
          <w:noProof/>
        </w:rPr>
      </w:pPr>
      <w:r w:rsidRPr="00AC1B74">
        <w:rPr>
          <w:b/>
          <w:bCs/>
          <w:noProof/>
          <w:lang w:val="en-GB"/>
        </w:rPr>
        <w:t>Article 24</w:t>
      </w:r>
    </w:p>
    <w:p w:rsidR="00823BAB" w:rsidRPr="00823BAB" w:rsidRDefault="00823BAB" w:rsidP="00823BAB">
      <w:pPr>
        <w:rPr>
          <w:b/>
          <w:noProof/>
        </w:rPr>
      </w:pPr>
      <w:r>
        <w:rPr>
          <w:b/>
          <w:bCs/>
          <w:noProof/>
          <w:lang w:val="en-GB"/>
        </w:rPr>
        <w:t>(risk monitoring and communication about risks)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The process of monitoring risks shall ensure systematic communication about risks at all of the bank’s hierarchical and organisational levels, including reporting on risks to the </w:t>
      </w:r>
      <w:r w:rsidR="003E2585">
        <w:rPr>
          <w:noProof/>
          <w:lang w:val="en-GB"/>
        </w:rPr>
        <w:t>Management body</w:t>
      </w:r>
      <w:r>
        <w:rPr>
          <w:noProof/>
          <w:lang w:val="en-GB"/>
        </w:rPr>
        <w:t xml:space="preserve">, the senior management and the internal control functions.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Effective risk monitoring ensures that the take-up of risks is in accordance with the risk limits put in place. To this end the bank shall put in place:</w:t>
      </w:r>
    </w:p>
    <w:p w:rsidR="00823BAB" w:rsidRPr="00823BAB" w:rsidRDefault="00823BAB" w:rsidP="00823BAB">
      <w:pPr>
        <w:ind w:firstLine="360"/>
        <w:jc w:val="both"/>
        <w:rPr>
          <w:noProof/>
        </w:rPr>
      </w:pPr>
      <w:r>
        <w:rPr>
          <w:noProof/>
          <w:lang w:val="en-GB"/>
        </w:rPr>
        <w:t>1. a system that facilitates the identification of breaches of risk limits in an appropriate time with regard to the nature and type of the risks;</w:t>
      </w:r>
    </w:p>
    <w:p w:rsidR="00823BAB" w:rsidRPr="00823BAB" w:rsidRDefault="00823BAB" w:rsidP="00823BAB">
      <w:pPr>
        <w:ind w:firstLine="360"/>
        <w:jc w:val="both"/>
        <w:rPr>
          <w:noProof/>
        </w:rPr>
      </w:pPr>
      <w:r>
        <w:rPr>
          <w:noProof/>
          <w:lang w:val="en-GB"/>
        </w:rPr>
        <w:t>2. procedures for handling breaches of risk limits and for determining the causes of the breaches, including the corresponding measures;</w:t>
      </w:r>
    </w:p>
    <w:p w:rsidR="00823BAB" w:rsidRPr="00823BAB" w:rsidRDefault="00823BAB" w:rsidP="00823BAB">
      <w:pPr>
        <w:ind w:firstLine="360"/>
        <w:jc w:val="both"/>
        <w:rPr>
          <w:noProof/>
        </w:rPr>
      </w:pPr>
      <w:r>
        <w:rPr>
          <w:noProof/>
          <w:lang w:val="en-GB"/>
        </w:rPr>
        <w:t xml:space="preserve">3. procedures for informing the </w:t>
      </w:r>
      <w:r w:rsidR="003E2585">
        <w:rPr>
          <w:noProof/>
          <w:lang w:val="en-GB"/>
        </w:rPr>
        <w:t>Management body</w:t>
      </w:r>
      <w:r>
        <w:rPr>
          <w:noProof/>
          <w:lang w:val="en-GB"/>
        </w:rPr>
        <w:t>, the risk committee, the senior management and the risk management function with regard to breaches of risk limits.</w:t>
      </w:r>
    </w:p>
    <w:p w:rsidR="00823BAB" w:rsidRPr="00823BAB" w:rsidRDefault="00823BAB" w:rsidP="00823BAB">
      <w:pPr>
        <w:jc w:val="both"/>
        <w:rPr>
          <w:noProof/>
        </w:rPr>
      </w:pPr>
    </w:p>
    <w:p w:rsidR="00823BAB" w:rsidRPr="00AC1B74" w:rsidRDefault="00823BAB" w:rsidP="00AC1B74">
      <w:pPr>
        <w:rPr>
          <w:b/>
          <w:noProof/>
        </w:rPr>
      </w:pPr>
      <w:r w:rsidRPr="00AC1B74">
        <w:rPr>
          <w:b/>
          <w:bCs/>
          <w:noProof/>
          <w:lang w:val="en-GB"/>
        </w:rPr>
        <w:t>Article 25</w:t>
      </w:r>
    </w:p>
    <w:p w:rsidR="00823BAB" w:rsidRPr="00823BAB" w:rsidRDefault="00823BAB" w:rsidP="00823BAB">
      <w:pPr>
        <w:rPr>
          <w:b/>
          <w:noProof/>
        </w:rPr>
      </w:pPr>
      <w:r>
        <w:rPr>
          <w:b/>
          <w:bCs/>
          <w:noProof/>
          <w:lang w:val="en-GB"/>
        </w:rPr>
        <w:t xml:space="preserve">(regular and </w:t>
      </w:r>
      <w:r>
        <w:rPr>
          <w:b/>
          <w:bCs/>
          <w:i/>
          <w:iCs/>
          <w:noProof/>
          <w:lang w:val="en-GB"/>
        </w:rPr>
        <w:t xml:space="preserve">ad hoc </w:t>
      </w:r>
      <w:r>
        <w:rPr>
          <w:b/>
          <w:bCs/>
          <w:noProof/>
          <w:lang w:val="en-GB"/>
        </w:rPr>
        <w:t>reports on risks)</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 xml:space="preserve">(1) The reporting on risks referred to in the first paragraph of Article 24 of this regulation shall be based on a transparent reporting system that includes regular and </w:t>
      </w:r>
      <w:r>
        <w:rPr>
          <w:i/>
          <w:iCs/>
          <w:noProof/>
          <w:lang w:val="en-GB"/>
        </w:rPr>
        <w:t xml:space="preserve">ad hoc </w:t>
      </w:r>
      <w:r>
        <w:rPr>
          <w:noProof/>
          <w:lang w:val="en-GB"/>
        </w:rPr>
        <w:t>reports on risks.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regular reports on risks referred to in the first paragraph of this article shall facilitate the monitoring of effective decisions with regard to measures to manage and control risks, and the monitoring of the results of such measures. These reports shall provide for a clear overview of the risk profile, particularly on the basis of information about:</w:t>
      </w:r>
    </w:p>
    <w:p w:rsidR="00823BAB" w:rsidRPr="00823BAB" w:rsidRDefault="00823BAB" w:rsidP="00823BAB">
      <w:pPr>
        <w:ind w:firstLine="360"/>
        <w:jc w:val="both"/>
        <w:rPr>
          <w:noProof/>
        </w:rPr>
      </w:pPr>
      <w:r>
        <w:rPr>
          <w:noProof/>
          <w:lang w:val="en-GB"/>
        </w:rPr>
        <w:t xml:space="preserve">1. the consideration of risk </w:t>
      </w:r>
      <w:r w:rsidR="00912BE8">
        <w:rPr>
          <w:noProof/>
          <w:lang w:val="en-GB"/>
        </w:rPr>
        <w:t>appetite</w:t>
      </w:r>
      <w:r>
        <w:rPr>
          <w:noProof/>
          <w:lang w:val="en-GB"/>
        </w:rPr>
        <w:t xml:space="preserve"> across different business lines, and breaches of risk limits;</w:t>
      </w:r>
    </w:p>
    <w:p w:rsidR="00823BAB" w:rsidRPr="00823BAB" w:rsidRDefault="00823BAB" w:rsidP="00823BAB">
      <w:pPr>
        <w:ind w:firstLine="360"/>
        <w:jc w:val="both"/>
        <w:rPr>
          <w:noProof/>
        </w:rPr>
      </w:pPr>
      <w:r>
        <w:rPr>
          <w:noProof/>
          <w:lang w:val="en-GB"/>
        </w:rPr>
        <w:t>2. the bank’s significant risks and the assessments thereof;</w:t>
      </w:r>
    </w:p>
    <w:p w:rsidR="00823BAB" w:rsidRPr="00823BAB" w:rsidRDefault="00823BAB" w:rsidP="00823BAB">
      <w:pPr>
        <w:ind w:firstLine="360"/>
        <w:jc w:val="both"/>
        <w:rPr>
          <w:noProof/>
        </w:rPr>
      </w:pPr>
      <w:r>
        <w:rPr>
          <w:noProof/>
          <w:lang w:val="en-GB"/>
        </w:rPr>
        <w:t>3. the results of stress tests.</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 xml:space="preserve">(3) The </w:t>
      </w:r>
      <w:r>
        <w:rPr>
          <w:i/>
          <w:iCs/>
          <w:noProof/>
          <w:lang w:val="en-GB"/>
        </w:rPr>
        <w:t xml:space="preserve">ad hoc </w:t>
      </w:r>
      <w:r>
        <w:rPr>
          <w:noProof/>
          <w:lang w:val="en-GB"/>
        </w:rPr>
        <w:t xml:space="preserve">reports on risks referred to in the first paragraph of this article shall facilitate the earliest possible reporting of extraordinary information on the occurrence of a significant risk that requires immediate attention or action on the part of the management board or the senior management. The management board shall brief the supervisory board on such risks without delay.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(4) In connection with the compilation of reports on risks the bank shall provide for an appropriate level of automation in the process of preparing individual reports that ensures their compliance with the actual situation. In the event of manual interventions in the content of a report, the bank shall provide for appropriate internal controls (e.g. an audit trail, the four eyes principle). </w:t>
      </w:r>
    </w:p>
    <w:p w:rsidR="00823BAB" w:rsidRPr="00823BAB" w:rsidRDefault="00823BAB" w:rsidP="00823BAB">
      <w:pPr>
        <w:ind w:firstLine="360"/>
        <w:jc w:val="both"/>
        <w:rPr>
          <w:noProof/>
        </w:rPr>
      </w:pPr>
    </w:p>
    <w:p w:rsidR="00823BAB" w:rsidRPr="00CC58A0" w:rsidRDefault="00823BAB" w:rsidP="00CC58A0">
      <w:pPr>
        <w:rPr>
          <w:b/>
          <w:noProof/>
        </w:rPr>
      </w:pPr>
      <w:r w:rsidRPr="00CC58A0">
        <w:rPr>
          <w:b/>
          <w:bCs/>
          <w:noProof/>
          <w:lang w:val="en-GB"/>
        </w:rPr>
        <w:t>Article 26</w:t>
      </w:r>
    </w:p>
    <w:p w:rsidR="00823BAB" w:rsidRPr="00823BAB" w:rsidRDefault="00823BAB" w:rsidP="00823BAB">
      <w:pPr>
        <w:rPr>
          <w:b/>
          <w:noProof/>
        </w:rPr>
      </w:pPr>
      <w:r>
        <w:rPr>
          <w:b/>
          <w:bCs/>
          <w:noProof/>
          <w:lang w:val="en-GB"/>
        </w:rPr>
        <w:t>(adequacy of reports on risks)</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(1) The scope and detail of reports on risks shall take account of the needs of the target users of the reports, as follows:</w:t>
      </w:r>
    </w:p>
    <w:p w:rsidR="00823BAB" w:rsidRPr="00823BAB" w:rsidRDefault="00823BAB" w:rsidP="00823BAB">
      <w:pPr>
        <w:ind w:firstLine="360"/>
        <w:jc w:val="both"/>
        <w:rPr>
          <w:noProof/>
        </w:rPr>
      </w:pPr>
      <w:r>
        <w:rPr>
          <w:noProof/>
          <w:lang w:val="en-GB"/>
        </w:rPr>
        <w:t xml:space="preserve">1. the bank’s </w:t>
      </w:r>
      <w:r w:rsidR="003E2585">
        <w:rPr>
          <w:noProof/>
          <w:lang w:val="en-GB"/>
        </w:rPr>
        <w:t>Management body</w:t>
      </w:r>
      <w:r>
        <w:rPr>
          <w:noProof/>
          <w:lang w:val="en-GB"/>
        </w:rPr>
        <w:t xml:space="preserve"> and senior management shall receive comprehensive information about all significant issues in connection with the bank’s operations and its risks;</w:t>
      </w:r>
    </w:p>
    <w:p w:rsidR="00823BAB" w:rsidRPr="00823BAB" w:rsidRDefault="00823BAB" w:rsidP="00823BAB">
      <w:pPr>
        <w:ind w:firstLine="360"/>
        <w:jc w:val="both"/>
        <w:rPr>
          <w:noProof/>
        </w:rPr>
      </w:pPr>
      <w:r>
        <w:rPr>
          <w:noProof/>
          <w:lang w:val="en-GB"/>
        </w:rPr>
        <w:t>2. the internal audit department, the risk management function and the bank’s other managers shall receive relevant information about key issues in connection with the bank’s operations and its risks. Information is deemed relevant if is presented in a manner that transparently summarises the significant content of an issue with regard to its priority.</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(2) Reports on risks shall be:</w:t>
      </w:r>
    </w:p>
    <w:p w:rsidR="00823BAB" w:rsidRPr="00823BAB" w:rsidRDefault="00823BAB" w:rsidP="00823BAB">
      <w:pPr>
        <w:ind w:firstLine="360"/>
        <w:jc w:val="both"/>
        <w:rPr>
          <w:noProof/>
        </w:rPr>
      </w:pPr>
      <w:r>
        <w:rPr>
          <w:noProof/>
          <w:lang w:val="en-GB"/>
        </w:rPr>
        <w:t>1. understandable; reports are deemed understandable if they contain clear and accurate information about risks;</w:t>
      </w:r>
    </w:p>
    <w:p w:rsidR="00823BAB" w:rsidRPr="00823BAB" w:rsidRDefault="00823BAB" w:rsidP="00823BAB">
      <w:pPr>
        <w:ind w:firstLine="360"/>
        <w:jc w:val="both"/>
        <w:rPr>
          <w:noProof/>
        </w:rPr>
      </w:pPr>
      <w:r>
        <w:rPr>
          <w:noProof/>
          <w:lang w:val="en-GB"/>
        </w:rPr>
        <w:t>2. sufficient; reports are deemed sufficient if they include all significant risks and together provide for a comprehensive overview of the bank’s risk profile;</w:t>
      </w:r>
    </w:p>
    <w:p w:rsidR="00823BAB" w:rsidRPr="00823BAB" w:rsidRDefault="00823BAB" w:rsidP="00823BAB">
      <w:pPr>
        <w:ind w:firstLine="360"/>
        <w:jc w:val="both"/>
        <w:rPr>
          <w:noProof/>
        </w:rPr>
      </w:pPr>
      <w:r>
        <w:rPr>
          <w:noProof/>
          <w:lang w:val="en-GB"/>
        </w:rPr>
        <w:t>3. useful; reports are deemed useful if they constitute a basis for the adoption of appropriate measures;</w:t>
      </w:r>
    </w:p>
    <w:p w:rsidR="00823BAB" w:rsidRPr="00823BAB" w:rsidRDefault="00823BAB" w:rsidP="00823BAB">
      <w:pPr>
        <w:ind w:firstLine="360"/>
        <w:jc w:val="both"/>
        <w:rPr>
          <w:noProof/>
        </w:rPr>
      </w:pPr>
      <w:r>
        <w:rPr>
          <w:noProof/>
          <w:lang w:val="en-GB"/>
        </w:rPr>
        <w:t>4. comparable and compatible; reports are deemed comparable and compatible if their form is as standardised as possible with regard to the information that they contain;</w:t>
      </w:r>
    </w:p>
    <w:p w:rsidR="00823BAB" w:rsidRPr="00823BAB" w:rsidRDefault="00823BAB" w:rsidP="00823BAB">
      <w:pPr>
        <w:ind w:firstLine="360"/>
        <w:jc w:val="both"/>
        <w:rPr>
          <w:noProof/>
        </w:rPr>
      </w:pPr>
      <w:r>
        <w:rPr>
          <w:noProof/>
          <w:lang w:val="en-GB"/>
        </w:rPr>
        <w:t xml:space="preserve">5. timely; reports are deemed timely if they facilitate the taking of decisions in an appropriate time with regard to the nature and type of the risks.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2.3.3 Management of risks inherent in new products and use of external contractors</w:t>
      </w:r>
    </w:p>
    <w:p w:rsidR="00823BAB" w:rsidRPr="00823BAB" w:rsidRDefault="00823BAB" w:rsidP="00823BAB">
      <w:pPr>
        <w:jc w:val="both"/>
        <w:rPr>
          <w:noProof/>
        </w:rPr>
      </w:pPr>
    </w:p>
    <w:p w:rsidR="00823BAB" w:rsidRPr="00CC58A0" w:rsidRDefault="00823BAB" w:rsidP="00CC58A0">
      <w:pPr>
        <w:rPr>
          <w:b/>
          <w:noProof/>
        </w:rPr>
      </w:pPr>
      <w:r w:rsidRPr="00CC58A0">
        <w:rPr>
          <w:b/>
          <w:bCs/>
          <w:noProof/>
          <w:lang w:val="en-GB"/>
        </w:rPr>
        <w:t>Article 27</w:t>
      </w:r>
    </w:p>
    <w:p w:rsidR="00823BAB" w:rsidRPr="00823BAB" w:rsidRDefault="00823BAB" w:rsidP="00823BAB">
      <w:pPr>
        <w:rPr>
          <w:b/>
          <w:noProof/>
        </w:rPr>
      </w:pPr>
      <w:r>
        <w:rPr>
          <w:b/>
          <w:bCs/>
          <w:noProof/>
          <w:lang w:val="en-GB"/>
        </w:rPr>
        <w:t>(risks of new products and external contractors)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ensure that the risks inherent in the introduction of new products are also included in the risk management processes referred to in Article 20 of this regulation.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Should the bank use external contractors in the pursuit of its business activities, the risk management processes referred to in the first paragraph of this article shall also include the risks inherent in the use of external contractors. For the purposes of this regulation, the term “external contractor” shall apply to persons that the bank uses in the pursuit of activities referred to in Article 30 of the ZBan-2. </w:t>
      </w:r>
    </w:p>
    <w:p w:rsidR="00823BAB" w:rsidRPr="00823BAB" w:rsidRDefault="00823BAB" w:rsidP="00823BAB">
      <w:pPr>
        <w:jc w:val="both"/>
        <w:rPr>
          <w:noProof/>
        </w:rPr>
      </w:pPr>
    </w:p>
    <w:p w:rsidR="00823BAB" w:rsidRPr="00CC58A0" w:rsidRDefault="00823BAB" w:rsidP="00CC58A0">
      <w:pPr>
        <w:rPr>
          <w:b/>
          <w:noProof/>
        </w:rPr>
      </w:pPr>
      <w:r w:rsidRPr="00CC58A0">
        <w:rPr>
          <w:b/>
          <w:bCs/>
          <w:noProof/>
          <w:lang w:val="en-GB"/>
        </w:rPr>
        <w:t>Article 28</w:t>
      </w:r>
    </w:p>
    <w:p w:rsidR="00823BAB" w:rsidRPr="00823BAB" w:rsidRDefault="00823BAB" w:rsidP="00823BAB">
      <w:pPr>
        <w:rPr>
          <w:b/>
          <w:noProof/>
        </w:rPr>
      </w:pPr>
      <w:r>
        <w:rPr>
          <w:b/>
          <w:bCs/>
          <w:noProof/>
          <w:lang w:val="en-GB"/>
        </w:rPr>
        <w:t>(policy for approval of new products)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For the purpose of managing the risks inherent in the introduction of new products, a bank shall put in place and implement a policy for the approval of new products. This policy shall include:</w:t>
      </w:r>
    </w:p>
    <w:p w:rsidR="00823BAB" w:rsidRPr="00823BAB" w:rsidRDefault="00823BAB" w:rsidP="00823BAB">
      <w:pPr>
        <w:ind w:firstLine="360"/>
        <w:jc w:val="both"/>
        <w:rPr>
          <w:noProof/>
        </w:rPr>
      </w:pPr>
      <w:r>
        <w:rPr>
          <w:noProof/>
          <w:lang w:val="en-GB"/>
        </w:rPr>
        <w:t>1. a definition of what the bank deems a new product and of other circumstances that have a material impact on the bank’s risks (e.g. significant changes in existing products, new services, new systems and models, new business lines, entry into new markets, new large-scale and complex transactions or transactions requiring the use of a larger number of employees);</w:t>
      </w:r>
    </w:p>
    <w:p w:rsidR="00823BAB" w:rsidRPr="00823BAB" w:rsidRDefault="00823BAB" w:rsidP="00823BAB">
      <w:pPr>
        <w:ind w:firstLine="360"/>
        <w:jc w:val="both"/>
        <w:rPr>
          <w:noProof/>
        </w:rPr>
      </w:pPr>
      <w:r>
        <w:rPr>
          <w:noProof/>
          <w:lang w:val="en-GB"/>
        </w:rPr>
        <w:t>2. the factors and principal issues that the bank must take into account or discuss before the introduction of a new product, including:</w:t>
      </w:r>
    </w:p>
    <w:p w:rsidR="00823BAB" w:rsidRPr="00823BAB" w:rsidRDefault="00823BAB" w:rsidP="00823BAB">
      <w:pPr>
        <w:pStyle w:val="Odstavekseznama"/>
        <w:numPr>
          <w:ilvl w:val="0"/>
          <w:numId w:val="13"/>
        </w:numPr>
        <w:jc w:val="both"/>
        <w:rPr>
          <w:noProof/>
        </w:rPr>
      </w:pPr>
      <w:r>
        <w:rPr>
          <w:noProof/>
          <w:lang w:val="en-GB"/>
        </w:rPr>
        <w:t>whether the new product complies with regulations, standards and the bank’s bylaws,</w:t>
      </w:r>
    </w:p>
    <w:p w:rsidR="00823BAB" w:rsidRPr="00823BAB" w:rsidRDefault="00823BAB" w:rsidP="00823BAB">
      <w:pPr>
        <w:pStyle w:val="Odstavekseznama"/>
        <w:numPr>
          <w:ilvl w:val="0"/>
          <w:numId w:val="13"/>
        </w:numPr>
        <w:jc w:val="both"/>
        <w:rPr>
          <w:noProof/>
        </w:rPr>
      </w:pPr>
      <w:r>
        <w:rPr>
          <w:noProof/>
          <w:lang w:val="en-GB"/>
        </w:rPr>
        <w:t>the impact of the introduction of the new product on the bank’s risk profile, capital and earnings,</w:t>
      </w:r>
    </w:p>
    <w:p w:rsidR="00823BAB" w:rsidRPr="00823BAB" w:rsidRDefault="00823BAB" w:rsidP="00823BAB">
      <w:pPr>
        <w:pStyle w:val="Odstavekseznama"/>
        <w:numPr>
          <w:ilvl w:val="0"/>
          <w:numId w:val="13"/>
        </w:numPr>
        <w:jc w:val="both"/>
        <w:rPr>
          <w:noProof/>
        </w:rPr>
      </w:pPr>
      <w:r>
        <w:rPr>
          <w:noProof/>
          <w:lang w:val="en-GB"/>
        </w:rPr>
        <w:t>whether the availability of the bank’s human and financial resources is sufficient for the purpose of the introduction and implementation of the new product;</w:t>
      </w:r>
    </w:p>
    <w:p w:rsidR="00823BAB" w:rsidRPr="00823BAB" w:rsidRDefault="00823BAB" w:rsidP="00823BAB">
      <w:pPr>
        <w:ind w:firstLine="360"/>
        <w:jc w:val="both"/>
        <w:rPr>
          <w:noProof/>
        </w:rPr>
      </w:pPr>
      <w:r>
        <w:rPr>
          <w:noProof/>
          <w:lang w:val="en-GB"/>
        </w:rPr>
        <w:t xml:space="preserve">3. the powers and responsibilities in the testing, introduction and implementation of the new product. </w:t>
      </w:r>
    </w:p>
    <w:p w:rsidR="00823BAB" w:rsidRPr="00823BAB" w:rsidRDefault="00823BAB" w:rsidP="00823BAB">
      <w:pPr>
        <w:jc w:val="both"/>
        <w:rPr>
          <w:noProof/>
        </w:rPr>
      </w:pPr>
    </w:p>
    <w:p w:rsidR="00823BAB" w:rsidRPr="000F3851" w:rsidRDefault="00823BAB" w:rsidP="000F3851">
      <w:pPr>
        <w:rPr>
          <w:b/>
          <w:noProof/>
        </w:rPr>
      </w:pPr>
      <w:r w:rsidRPr="000F3851">
        <w:rPr>
          <w:b/>
          <w:bCs/>
          <w:noProof/>
          <w:lang w:val="en-GB"/>
        </w:rPr>
        <w:t>Article 29</w:t>
      </w:r>
    </w:p>
    <w:p w:rsidR="00823BAB" w:rsidRPr="00823BAB" w:rsidRDefault="00823BAB" w:rsidP="00823BAB">
      <w:pPr>
        <w:rPr>
          <w:b/>
          <w:noProof/>
        </w:rPr>
      </w:pPr>
      <w:r>
        <w:rPr>
          <w:b/>
          <w:bCs/>
          <w:noProof/>
          <w:lang w:val="en-GB"/>
        </w:rPr>
        <w:t>(policy for use of external contractors)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For the purpose of managing the risks inherent in the use of external contractors, a bank shall put in place and implement a policy for the use of external contractors. This policy shall include:</w:t>
      </w:r>
    </w:p>
    <w:p w:rsidR="00823BAB" w:rsidRPr="00823BAB" w:rsidRDefault="00823BAB" w:rsidP="00823BAB">
      <w:pPr>
        <w:ind w:firstLine="360"/>
        <w:jc w:val="both"/>
        <w:rPr>
          <w:noProof/>
        </w:rPr>
      </w:pPr>
      <w:r>
        <w:rPr>
          <w:noProof/>
          <w:lang w:val="en-GB"/>
        </w:rPr>
        <w:t xml:space="preserve">1. a definition of what is deemed an external contractor by the bank; </w:t>
      </w:r>
    </w:p>
    <w:p w:rsidR="00823BAB" w:rsidRPr="00823BAB" w:rsidRDefault="00823BAB" w:rsidP="00823BAB">
      <w:pPr>
        <w:ind w:firstLine="360"/>
        <w:jc w:val="both"/>
        <w:rPr>
          <w:noProof/>
        </w:rPr>
      </w:pPr>
      <w:r>
        <w:rPr>
          <w:noProof/>
          <w:lang w:val="en-GB"/>
        </w:rPr>
        <w:t>2. details of the bank’s approach to the use of external contractors and to quality assurance in their services;</w:t>
      </w:r>
    </w:p>
    <w:p w:rsidR="00823BAB" w:rsidRPr="00823BAB" w:rsidRDefault="00823BAB" w:rsidP="00823BAB">
      <w:pPr>
        <w:ind w:firstLine="360"/>
        <w:jc w:val="both"/>
        <w:rPr>
          <w:noProof/>
        </w:rPr>
      </w:pPr>
      <w:r>
        <w:rPr>
          <w:noProof/>
          <w:lang w:val="en-GB"/>
        </w:rPr>
        <w:t xml:space="preserve">3. the basic principles and guidelines with regard to the management of the risks inherent in the use of external contractors; </w:t>
      </w:r>
    </w:p>
    <w:p w:rsidR="00823BAB" w:rsidRPr="00823BAB" w:rsidRDefault="00823BAB" w:rsidP="00823BAB">
      <w:pPr>
        <w:ind w:firstLine="360"/>
        <w:jc w:val="both"/>
        <w:rPr>
          <w:noProof/>
        </w:rPr>
      </w:pPr>
      <w:r>
        <w:rPr>
          <w:noProof/>
          <w:lang w:val="en-GB"/>
        </w:rPr>
        <w:t>4. details of the approach to ensuring business continuity in connection with the activities outsourced to external contractors;</w:t>
      </w:r>
    </w:p>
    <w:p w:rsidR="00823BAB" w:rsidRPr="00823BAB" w:rsidRDefault="00823BAB" w:rsidP="00823BAB">
      <w:pPr>
        <w:ind w:firstLine="360"/>
        <w:jc w:val="both"/>
        <w:rPr>
          <w:noProof/>
        </w:rPr>
      </w:pPr>
      <w:r>
        <w:rPr>
          <w:noProof/>
          <w:lang w:val="en-GB"/>
        </w:rPr>
        <w:t xml:space="preserve">5. the toolkit of measures in the event of the unexpected termination of the contractual relationship with external contractors.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bank shall ensure that the use of external contractors does not prejudice: </w:t>
      </w:r>
    </w:p>
    <w:p w:rsidR="00823BAB" w:rsidRPr="00823BAB" w:rsidRDefault="00823BAB" w:rsidP="00823BAB">
      <w:pPr>
        <w:ind w:firstLine="360"/>
        <w:jc w:val="both"/>
        <w:rPr>
          <w:noProof/>
        </w:rPr>
      </w:pPr>
      <w:r>
        <w:rPr>
          <w:noProof/>
          <w:lang w:val="en-GB"/>
        </w:rPr>
        <w:t>1. the pursuit of its business activities;</w:t>
      </w:r>
    </w:p>
    <w:p w:rsidR="00823BAB" w:rsidRPr="00823BAB" w:rsidRDefault="00823BAB" w:rsidP="00823BAB">
      <w:pPr>
        <w:ind w:firstLine="360"/>
        <w:jc w:val="both"/>
        <w:rPr>
          <w:noProof/>
        </w:rPr>
      </w:pPr>
      <w:r>
        <w:rPr>
          <w:noProof/>
          <w:lang w:val="en-GB"/>
        </w:rPr>
        <w:t>2. the risk management referred to in the first paragraph of Article 23 of this regulation, and</w:t>
      </w:r>
    </w:p>
    <w:p w:rsidR="00823BAB" w:rsidRPr="00823BAB" w:rsidRDefault="00823BAB" w:rsidP="00823BAB">
      <w:pPr>
        <w:ind w:firstLine="360"/>
        <w:jc w:val="both"/>
        <w:rPr>
          <w:noProof/>
        </w:rPr>
      </w:pPr>
      <w:r>
        <w:rPr>
          <w:noProof/>
          <w:lang w:val="en-GB"/>
        </w:rPr>
        <w:t xml:space="preserve">3. the internal control mechanisms referred to in the first paragraph of Article 31 of this regulation.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(3) The bank shall put in place a documented plan for the use of external contractors, including a detailed definition of: </w:t>
      </w:r>
    </w:p>
    <w:p w:rsidR="00823BAB" w:rsidRPr="00823BAB" w:rsidRDefault="00823BAB" w:rsidP="00823BAB">
      <w:pPr>
        <w:ind w:firstLine="360"/>
        <w:jc w:val="both"/>
        <w:rPr>
          <w:noProof/>
        </w:rPr>
      </w:pPr>
      <w:r>
        <w:rPr>
          <w:noProof/>
          <w:lang w:val="en-GB"/>
        </w:rPr>
        <w:t xml:space="preserve">1. the manner of the management of the risks inherent in the use of external contractors;  </w:t>
      </w:r>
    </w:p>
    <w:p w:rsidR="00823BAB" w:rsidRPr="00823BAB" w:rsidRDefault="00823BAB" w:rsidP="00823BAB">
      <w:pPr>
        <w:ind w:firstLine="360"/>
        <w:jc w:val="both"/>
        <w:rPr>
          <w:noProof/>
        </w:rPr>
      </w:pPr>
      <w:r>
        <w:rPr>
          <w:noProof/>
          <w:lang w:val="en-GB"/>
        </w:rPr>
        <w:t xml:space="preserve">2. reports on the risks inherent in the use of external contractors;  </w:t>
      </w:r>
    </w:p>
    <w:p w:rsidR="00823BAB" w:rsidRPr="00823BAB" w:rsidRDefault="00823BAB" w:rsidP="00823BAB">
      <w:pPr>
        <w:ind w:firstLine="360"/>
        <w:jc w:val="both"/>
        <w:rPr>
          <w:noProof/>
        </w:rPr>
      </w:pPr>
      <w:r>
        <w:rPr>
          <w:noProof/>
          <w:lang w:val="en-GB"/>
        </w:rPr>
        <w:t xml:space="preserve">3. the responsibility for monitoring the compliance of external contractors’ actions with regulations, standards and the bank’s bylaws.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(4) The bank shall ensure that the contractual rights and obligations of the bank and the external contractors are precisely defined and understandable. The bank’s contractual rights shall include the possibility of the early termination of the contractual relationship with external contractors at the bank’s request. The contractual obligations of external contractors shall include: </w:t>
      </w:r>
    </w:p>
    <w:p w:rsidR="00823BAB" w:rsidRPr="00823BAB" w:rsidRDefault="00823BAB" w:rsidP="00823BAB">
      <w:pPr>
        <w:ind w:firstLine="360"/>
        <w:jc w:val="both"/>
        <w:rPr>
          <w:noProof/>
        </w:rPr>
      </w:pPr>
      <w:r>
        <w:rPr>
          <w:noProof/>
          <w:lang w:val="en-GB"/>
        </w:rPr>
        <w:t xml:space="preserve">1. protection of the bank’s data; </w:t>
      </w:r>
    </w:p>
    <w:p w:rsidR="00823BAB" w:rsidRPr="00823BAB" w:rsidRDefault="00823BAB" w:rsidP="00823BAB">
      <w:pPr>
        <w:ind w:firstLine="360"/>
        <w:jc w:val="both"/>
        <w:rPr>
          <w:noProof/>
        </w:rPr>
      </w:pPr>
      <w:r>
        <w:rPr>
          <w:noProof/>
          <w:lang w:val="en-GB"/>
        </w:rPr>
        <w:t xml:space="preserve">2. compliance of external contractors’ actions with regulations and standards; </w:t>
      </w:r>
    </w:p>
    <w:p w:rsidR="00823BAB" w:rsidRPr="00823BAB" w:rsidRDefault="00823BAB" w:rsidP="00823BAB">
      <w:pPr>
        <w:ind w:firstLine="360"/>
        <w:jc w:val="both"/>
        <w:rPr>
          <w:noProof/>
        </w:rPr>
      </w:pPr>
      <w:r>
        <w:rPr>
          <w:noProof/>
          <w:lang w:val="en-GB"/>
        </w:rPr>
        <w:t xml:space="preserve">3. full access on the part of authorised persons or functions of the bank to all the premises and data of external contractors related to the provision of the services in question, and the right to view the premises and data.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(5) An external contractor shall provide the agreed level of service on the basis of a service level agreement. The service level agreement shall contain quantitative and/or qualitative criteria based on which the bank and the external contractor can assess the level of service. Should the level of service fail to comply with the service level agreement, the bank shall take appropriate measures. </w:t>
      </w:r>
    </w:p>
    <w:p w:rsidR="00823BAB" w:rsidRPr="00823BAB" w:rsidRDefault="00823BAB" w:rsidP="00823BAB">
      <w:pPr>
        <w:jc w:val="both"/>
        <w:rPr>
          <w:noProof/>
        </w:rPr>
      </w:pPr>
    </w:p>
    <w:p w:rsidR="00823BAB" w:rsidRPr="00520EC3" w:rsidRDefault="00823BAB" w:rsidP="00520EC3">
      <w:pPr>
        <w:rPr>
          <w:b/>
          <w:noProof/>
        </w:rPr>
      </w:pPr>
      <w:r w:rsidRPr="00520EC3">
        <w:rPr>
          <w:b/>
          <w:bCs/>
          <w:noProof/>
          <w:lang w:val="en-GB"/>
        </w:rPr>
        <w:t>Article 30</w:t>
      </w:r>
    </w:p>
    <w:p w:rsidR="00823BAB" w:rsidRPr="00823BAB" w:rsidRDefault="00823BAB" w:rsidP="00823BAB">
      <w:pPr>
        <w:rPr>
          <w:b/>
          <w:noProof/>
        </w:rPr>
      </w:pPr>
      <w:r>
        <w:rPr>
          <w:b/>
          <w:bCs/>
          <w:noProof/>
          <w:lang w:val="en-GB"/>
        </w:rPr>
        <w:t>(approval of new product and use of external contractor)</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 (1) The introduction of any new product or the use of an external contractor shall be subject to the bank’s approval, having regard for a risk assessment drawn up by the relevant organisational unit in conjunction with the risk management function, or another internal control function where appropriate. In the event that the risk assessment makes it evident that the impact of the new product or the use of the external contractor would be material, the introduction or use shall be subject to the approval of the management board.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risk assessment referred to in the first paragraph of this article shall be comprehensive and impartial, and shall be based on relevant risk scenarios, having regard for:</w:t>
      </w:r>
    </w:p>
    <w:p w:rsidR="00823BAB" w:rsidRPr="00823BAB" w:rsidRDefault="00823BAB" w:rsidP="00823BAB">
      <w:pPr>
        <w:ind w:firstLine="360"/>
        <w:jc w:val="both"/>
        <w:rPr>
          <w:noProof/>
        </w:rPr>
      </w:pPr>
      <w:r>
        <w:rPr>
          <w:noProof/>
          <w:lang w:val="en-GB"/>
        </w:rPr>
        <w:t>1. any deficiencies in the risk management process and in internal controls in respect of the effective management of the corresponding risks;</w:t>
      </w:r>
    </w:p>
    <w:p w:rsidR="00823BAB" w:rsidRPr="00823BAB" w:rsidRDefault="00823BAB" w:rsidP="00823BAB">
      <w:pPr>
        <w:ind w:firstLine="360"/>
        <w:jc w:val="both"/>
        <w:rPr>
          <w:noProof/>
        </w:rPr>
      </w:pPr>
      <w:r>
        <w:rPr>
          <w:noProof/>
          <w:lang w:val="en-GB"/>
        </w:rPr>
        <w:t>2. the adequacy of the methodologies and skills of the risk management function, the compliance department if any, the information technology function and the business lines in respect of the appropriate assessment and management of the corresponding risks;</w:t>
      </w:r>
    </w:p>
    <w:p w:rsidR="00823BAB" w:rsidRPr="00823BAB" w:rsidRDefault="00823BAB" w:rsidP="00823BAB">
      <w:pPr>
        <w:ind w:firstLine="360"/>
        <w:jc w:val="both"/>
        <w:rPr>
          <w:noProof/>
        </w:rPr>
      </w:pPr>
      <w:r>
        <w:rPr>
          <w:noProof/>
          <w:lang w:val="en-GB"/>
        </w:rPr>
        <w:t xml:space="preserve">3. the impact of the introduction of the new product or the use of the external contractor on the risk </w:t>
      </w:r>
      <w:r w:rsidR="00725B2C">
        <w:rPr>
          <w:noProof/>
          <w:lang w:val="en-GB"/>
        </w:rPr>
        <w:t>bearing</w:t>
      </w:r>
      <w:r>
        <w:rPr>
          <w:noProof/>
          <w:lang w:val="en-GB"/>
        </w:rPr>
        <w:t xml:space="preserve"> capacity.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Should it be evident from the assessment that adequate risk management referred to in the first paragraph of Article of 23 of this regulation is not ensured, the bank shall defer the introduction of the new product or the use of the external contractor until the establishment of adequate risk management processes, and shall inform the management board accordingly where appropriate.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2.4 Internal control mechanisms</w:t>
      </w:r>
    </w:p>
    <w:p w:rsidR="00823BAB" w:rsidRPr="00823BAB" w:rsidRDefault="00823BAB" w:rsidP="00823BAB">
      <w:pPr>
        <w:jc w:val="both"/>
        <w:rPr>
          <w:b/>
          <w:noProof/>
        </w:rPr>
      </w:pPr>
    </w:p>
    <w:p w:rsidR="00823BAB" w:rsidRPr="00520EC3" w:rsidRDefault="00823BAB" w:rsidP="00520EC3">
      <w:pPr>
        <w:rPr>
          <w:b/>
          <w:noProof/>
        </w:rPr>
      </w:pPr>
      <w:r w:rsidRPr="00520EC3">
        <w:rPr>
          <w:b/>
          <w:bCs/>
          <w:noProof/>
          <w:lang w:val="en-GB"/>
        </w:rPr>
        <w:t>Article 31</w:t>
      </w:r>
    </w:p>
    <w:p w:rsidR="00823BAB" w:rsidRPr="00823BAB" w:rsidRDefault="00823BAB" w:rsidP="00823BAB">
      <w:pPr>
        <w:rPr>
          <w:b/>
          <w:noProof/>
        </w:rPr>
      </w:pPr>
      <w:r>
        <w:rPr>
          <w:b/>
          <w:bCs/>
          <w:noProof/>
          <w:lang w:val="en-GB"/>
        </w:rPr>
        <w:t>(internal controls and internal control functions)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suitability of internal control mechanisms referred to in point 3 of the first paragraph of Article 128 of the ZBan-2 shall be determined by the independence, quality and validity of:</w:t>
      </w:r>
    </w:p>
    <w:p w:rsidR="00823BAB" w:rsidRPr="00823BAB" w:rsidRDefault="00823BAB" w:rsidP="00823BAB">
      <w:pPr>
        <w:ind w:firstLine="360"/>
        <w:jc w:val="both"/>
        <w:rPr>
          <w:noProof/>
        </w:rPr>
      </w:pPr>
      <w:r>
        <w:rPr>
          <w:noProof/>
          <w:lang w:val="en-GB"/>
        </w:rPr>
        <w:t>1. the rules for and controls of the implementation of the bank’s organisational procedures, business procedures and work procedures (hereinafter: internal controls);</w:t>
      </w:r>
    </w:p>
    <w:p w:rsidR="00823BAB" w:rsidRPr="00823BAB" w:rsidRDefault="00823BAB" w:rsidP="00823BAB">
      <w:pPr>
        <w:ind w:firstLine="360"/>
        <w:jc w:val="both"/>
        <w:rPr>
          <w:noProof/>
        </w:rPr>
      </w:pPr>
      <w:r>
        <w:rPr>
          <w:noProof/>
          <w:lang w:val="en-GB"/>
        </w:rPr>
        <w:t>2. the internal control functions and departments (hereinafter: internal control functions).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internal controls referred to in point 1 of the first paragraph of this article are deemed suitable if they provide for systematic </w:t>
      </w:r>
      <w:r w:rsidR="00604B0E">
        <w:rPr>
          <w:noProof/>
          <w:lang w:val="en-GB"/>
        </w:rPr>
        <w:t xml:space="preserve">control </w:t>
      </w:r>
      <w:r>
        <w:rPr>
          <w:noProof/>
          <w:lang w:val="en-GB"/>
        </w:rPr>
        <w:t>of all of the bank’s significant risks that is exercised on the basis of the bank’s policies, processes and measures.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 (3) The internal control functions referred to in point 2 of the first paragraph of this article are deemed suitable if they provide for an independent and objective assessment of effectiveness and compliance with regard to the bank’s internal governance arrangements on the basis of the review and assessment of the adequacy of risk strategies and policies, the bank’s risk management processes, procedures and methodologies, and reporting on risks. </w:t>
      </w:r>
    </w:p>
    <w:p w:rsidR="00823BAB" w:rsidRPr="00823BAB" w:rsidRDefault="00823BAB" w:rsidP="00823BAB">
      <w:pPr>
        <w:jc w:val="both"/>
        <w:rPr>
          <w:noProof/>
        </w:rPr>
      </w:pPr>
    </w:p>
    <w:p w:rsidR="00823BAB" w:rsidRDefault="00823BAB" w:rsidP="00823BAB">
      <w:pPr>
        <w:jc w:val="both"/>
        <w:rPr>
          <w:noProof/>
        </w:rPr>
      </w:pPr>
    </w:p>
    <w:p w:rsidR="00C51199" w:rsidRPr="00823BAB" w:rsidRDefault="00C51199" w:rsidP="00823BAB">
      <w:pPr>
        <w:jc w:val="both"/>
        <w:rPr>
          <w:noProof/>
        </w:rPr>
      </w:pPr>
    </w:p>
    <w:p w:rsidR="00823BAB" w:rsidRPr="00823BAB" w:rsidRDefault="00823BAB" w:rsidP="00823BAB">
      <w:pPr>
        <w:rPr>
          <w:b/>
          <w:noProof/>
        </w:rPr>
      </w:pPr>
      <w:r>
        <w:rPr>
          <w:b/>
          <w:bCs/>
          <w:noProof/>
          <w:lang w:val="en-GB"/>
        </w:rPr>
        <w:t>2.4.1 Internal controls</w:t>
      </w:r>
    </w:p>
    <w:p w:rsidR="00823BAB" w:rsidRPr="00823BAB" w:rsidRDefault="00823BAB" w:rsidP="00823BAB">
      <w:pPr>
        <w:pStyle w:val="Odstavekseznama"/>
        <w:ind w:left="360"/>
        <w:rPr>
          <w:b/>
          <w:noProof/>
        </w:rPr>
      </w:pPr>
    </w:p>
    <w:p w:rsidR="00823BAB" w:rsidRPr="00520EC3" w:rsidRDefault="00823BAB" w:rsidP="00520EC3">
      <w:pPr>
        <w:rPr>
          <w:b/>
          <w:noProof/>
        </w:rPr>
      </w:pPr>
      <w:r w:rsidRPr="00520EC3">
        <w:rPr>
          <w:b/>
          <w:bCs/>
          <w:noProof/>
          <w:lang w:val="en-GB"/>
        </w:rPr>
        <w:t>Article 32</w:t>
      </w:r>
    </w:p>
    <w:p w:rsidR="00823BAB" w:rsidRPr="00823BAB" w:rsidRDefault="00823BAB" w:rsidP="00823BAB">
      <w:pPr>
        <w:rPr>
          <w:b/>
          <w:noProof/>
        </w:rPr>
      </w:pPr>
      <w:r>
        <w:rPr>
          <w:b/>
          <w:bCs/>
          <w:noProof/>
          <w:lang w:val="en-GB"/>
        </w:rPr>
        <w:t>(general)</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Internal controls shall be put in place at all levels of the bank’s organisational structure, including the levels of commercial, control and support functions, and at the level of each of the bank’s financial services. The bank shall ensure the implementation of internal controls within the framework of the bank’s </w:t>
      </w:r>
      <w:r w:rsidR="00FE6A15">
        <w:rPr>
          <w:noProof/>
          <w:lang w:val="en-GB"/>
        </w:rPr>
        <w:t xml:space="preserve">day-to-day </w:t>
      </w:r>
      <w:r>
        <w:rPr>
          <w:noProof/>
          <w:lang w:val="en-GB"/>
        </w:rPr>
        <w:t xml:space="preserve">processes, procedures and activities.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Employees shall be made to understand the purpose and importance of internal controls in the bank’s operations, and the importance of their contribution to the effective implementation thereof. </w:t>
      </w:r>
    </w:p>
    <w:p w:rsidR="00823BAB" w:rsidRPr="00823BAB" w:rsidRDefault="00823BAB" w:rsidP="00823BAB">
      <w:pPr>
        <w:jc w:val="both"/>
        <w:rPr>
          <w:noProof/>
        </w:rPr>
      </w:pPr>
    </w:p>
    <w:p w:rsidR="00823BAB" w:rsidRPr="00520EC3" w:rsidRDefault="00823BAB" w:rsidP="00520EC3">
      <w:pPr>
        <w:rPr>
          <w:b/>
          <w:noProof/>
        </w:rPr>
      </w:pPr>
      <w:r w:rsidRPr="00520EC3">
        <w:rPr>
          <w:b/>
          <w:bCs/>
          <w:noProof/>
          <w:lang w:val="en-GB"/>
        </w:rPr>
        <w:t>Article 33</w:t>
      </w:r>
    </w:p>
    <w:p w:rsidR="00823BAB" w:rsidRPr="00823BAB" w:rsidRDefault="00823BAB" w:rsidP="00823BAB">
      <w:pPr>
        <w:rPr>
          <w:b/>
          <w:noProof/>
        </w:rPr>
      </w:pPr>
      <w:r>
        <w:rPr>
          <w:b/>
          <w:bCs/>
          <w:noProof/>
          <w:lang w:val="en-GB"/>
        </w:rPr>
        <w:t>(internal control rules and procedures)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ensure the implementation of internal controls primarily on the basis of documented rules and procedures for: </w:t>
      </w:r>
    </w:p>
    <w:p w:rsidR="00823BAB" w:rsidRPr="00823BAB" w:rsidRDefault="00823BAB" w:rsidP="00823BAB">
      <w:pPr>
        <w:ind w:firstLine="360"/>
        <w:jc w:val="both"/>
        <w:rPr>
          <w:noProof/>
        </w:rPr>
      </w:pPr>
      <w:r>
        <w:rPr>
          <w:noProof/>
          <w:lang w:val="en-GB"/>
        </w:rPr>
        <w:t xml:space="preserve">1. ensuring the compliance of the bank’s operations with regulations, standards and bylaws, and the requirements of the Bank of Slovenia and other competent supervisory authorities; </w:t>
      </w:r>
    </w:p>
    <w:p w:rsidR="00823BAB" w:rsidRPr="00823BAB" w:rsidRDefault="00823BAB" w:rsidP="00823BAB">
      <w:pPr>
        <w:ind w:firstLine="360"/>
        <w:jc w:val="both"/>
        <w:rPr>
          <w:noProof/>
        </w:rPr>
      </w:pPr>
      <w:r>
        <w:rPr>
          <w:noProof/>
          <w:lang w:val="en-GB"/>
        </w:rPr>
        <w:t xml:space="preserve">2. monitoring the compliance of business transactions and investments with the adopted risk limits; </w:t>
      </w:r>
    </w:p>
    <w:p w:rsidR="00823BAB" w:rsidRPr="00823BAB" w:rsidRDefault="00823BAB" w:rsidP="00823BAB">
      <w:pPr>
        <w:ind w:firstLine="360"/>
        <w:jc w:val="both"/>
        <w:rPr>
          <w:noProof/>
        </w:rPr>
      </w:pPr>
      <w:r>
        <w:rPr>
          <w:noProof/>
          <w:lang w:val="en-GB"/>
        </w:rPr>
        <w:t>3. supervising the proper implementation of the prescribed work procedures in connection with operational and organisational activities on the part of employees;</w:t>
      </w:r>
    </w:p>
    <w:p w:rsidR="00823BAB" w:rsidRPr="00823BAB" w:rsidRDefault="00823BAB" w:rsidP="00823BAB">
      <w:pPr>
        <w:ind w:firstLine="360"/>
        <w:jc w:val="both"/>
        <w:rPr>
          <w:noProof/>
        </w:rPr>
      </w:pPr>
      <w:r>
        <w:rPr>
          <w:noProof/>
          <w:lang w:val="en-GB"/>
        </w:rPr>
        <w:t>4. verifying the correctness of internal and external reports;</w:t>
      </w:r>
    </w:p>
    <w:p w:rsidR="00823BAB" w:rsidRPr="00823BAB" w:rsidRDefault="00823BAB" w:rsidP="00823BAB">
      <w:pPr>
        <w:ind w:firstLine="360"/>
        <w:jc w:val="both"/>
        <w:rPr>
          <w:noProof/>
        </w:rPr>
      </w:pPr>
      <w:r>
        <w:rPr>
          <w:noProof/>
          <w:lang w:val="en-GB"/>
        </w:rPr>
        <w:t>5. securing the bank’s assets;</w:t>
      </w:r>
    </w:p>
    <w:p w:rsidR="00823BAB" w:rsidRPr="00823BAB" w:rsidRDefault="00823BAB" w:rsidP="00823BAB">
      <w:pPr>
        <w:ind w:firstLine="360"/>
        <w:jc w:val="both"/>
        <w:rPr>
          <w:noProof/>
        </w:rPr>
      </w:pPr>
      <w:r>
        <w:rPr>
          <w:noProof/>
          <w:lang w:val="en-GB"/>
        </w:rPr>
        <w:t>6. developing and safeguarding the security of the bank’s information systems and information.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In the event of deficiencies, irregularities or breaches identified in the processes of the implementation of internal controls (e.g. breaches of risk limits or work procedures), the bank shall provide for the requisite procedures to discuss the findings, and for the corresponding measures in cases of an intentional breach of the bank’s rules.</w:t>
      </w:r>
      <w:r>
        <w:rPr>
          <w:noProof/>
          <w:highlight w:val="yellow"/>
          <w:lang w:val="en-GB"/>
        </w:rPr>
        <w:t xml:space="preserve">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process of ensuring the compliance of the bank’s operations referred to in point 1 of the first paragraph of this article shall take account of the bank’s compliance policy referred to in Article 42 of this regulation. The internal controls shall ensure the proper implementation of the bank’s approach to the management of compliance risk in all of its transactions and all the activities of the bank’s employees.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The business transactions referred to in point 2 of the first paragraph of this article shall take account of the risk </w:t>
      </w:r>
      <w:r w:rsidR="00912BE8">
        <w:rPr>
          <w:noProof/>
          <w:lang w:val="en-GB"/>
        </w:rPr>
        <w:t>appetite</w:t>
      </w:r>
      <w:r>
        <w:rPr>
          <w:noProof/>
          <w:lang w:val="en-GB"/>
        </w:rPr>
        <w:t xml:space="preserve"> and the established risk limits. The internal controls shall ensure the proper implementation of business transactions, and the approval of business transactions that exceptionally transgress the risk limits on the part of the competent employees.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(4) Work procedures in connection with the implementation of procedures in operational and organisational activities on the part of employees referred to in point 3 of the first paragraph of this article shall be set out by means of appropriate instructions, rulebooks and other bylaws of the bank that include rules with regard to powers and responsibilities, the allocation of tasks, decision-making in the implementation of procedures (hereinafter: instructions) and descriptions of operational processes. For the purpose of preventing the incorrect implementation of work procedures, the internal controls shall ensure the requisite segregation of powers and responsibilities in the implementation of work procedures, including the establishment of information firewalls, functional and organisational separation between the bank’s relevant functions, the implementation of the four eyes principle, and the mutual vetting and implementation of the rule of a left signatory and a right signatory for important documents.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(5) The internal and external reports referred to in point 4 of the first paragraph of this article shall contain the requisite information for the purpose of taking business decisions and decisions in connection with risk monitoring and management, including the corresponding measures. The internal controls shall, on the basis of physical and logical controls, ensure the identification of any deficiencies and errors in reports, and other irregularities in the compilation of reports.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(6) The securing of the bank’s assets and information referred to in point 5 of the first paragraph of this article shall be based on the requisite restriction of access on the part of unauthorised persons to the bank’s movable and immovable assets, including access to information systems and the protection of confidential information. To this end the internal controls shall provide for physical barriers, logical and physical controls, the use of a security service or the requisite security technology, and other measures.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(7) The development and safeguarding of the security of information systems and information referred to in point 6 of the first paragraph of this article shall be based on an information systems development strategy and an information systems and information security policy, which includes objectives in the safeguarding of the security of information systems and information, the principles and procedures for ensuring information remains confidential, uncorrupted and available, and the allocation of responsibilities with regard to the security of information technology (hardware and software), the information stored in the bank’s information systems, and the corresponding documentation. Information is deemed uncorrupted when it is accurate and complete. Information is deemed available when authorised users are guaranteed access to the information in the requisite time.</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The internal controls in respect of information systems shall include:</w:t>
      </w:r>
    </w:p>
    <w:p w:rsidR="00823BAB" w:rsidRPr="00823BAB" w:rsidRDefault="00823BAB" w:rsidP="00823BAB">
      <w:pPr>
        <w:ind w:firstLine="360"/>
        <w:jc w:val="both"/>
        <w:rPr>
          <w:noProof/>
        </w:rPr>
      </w:pPr>
      <w:r>
        <w:rPr>
          <w:noProof/>
          <w:lang w:val="en-GB"/>
        </w:rPr>
        <w:t>1. in the implementation of the information systems development strategy: determination of compliance with business processes, the quality of project planning, the involvement of the requisite personnel, and awareness of the pertinent issue at various management levels;</w:t>
      </w:r>
    </w:p>
    <w:p w:rsidR="00823BAB" w:rsidRPr="00823BAB" w:rsidRDefault="00823BAB" w:rsidP="00823BAB">
      <w:pPr>
        <w:ind w:firstLine="360"/>
        <w:jc w:val="both"/>
        <w:rPr>
          <w:noProof/>
        </w:rPr>
      </w:pPr>
      <w:r>
        <w:rPr>
          <w:noProof/>
          <w:lang w:val="en-GB"/>
        </w:rPr>
        <w:t>2. in the safeguarding of the security of information systems: logical and physical controls of access to information systems;</w:t>
      </w:r>
    </w:p>
    <w:p w:rsidR="00823BAB" w:rsidRPr="00823BAB" w:rsidRDefault="00823BAB" w:rsidP="00823BAB">
      <w:pPr>
        <w:ind w:firstLine="360"/>
        <w:jc w:val="both"/>
        <w:rPr>
          <w:noProof/>
        </w:rPr>
      </w:pPr>
      <w:r>
        <w:rPr>
          <w:noProof/>
          <w:lang w:val="en-GB"/>
        </w:rPr>
        <w:t>3. with regard to hardware: determination of its adequacy with regard to the requirements of the pertinent business processes, internal and technical standards, and the regularity of its maintenance. Hardware means physical computer and communications equipment;</w:t>
      </w:r>
    </w:p>
    <w:p w:rsidR="00823BAB" w:rsidRPr="00823BAB" w:rsidRDefault="00823BAB" w:rsidP="00823BAB">
      <w:pPr>
        <w:ind w:firstLine="360"/>
        <w:jc w:val="both"/>
        <w:rPr>
          <w:noProof/>
        </w:rPr>
      </w:pPr>
      <w:r>
        <w:rPr>
          <w:noProof/>
          <w:lang w:val="en-GB"/>
        </w:rPr>
        <w:t>4. with regard to software: determination of its compliance and use in business processes in the sense of meeting users’ requirements and the segregation of the functions of the development, maintenance and use of software. Software means the computer programs, procedures and rules that ensure that hardware operates as planned.</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(8) The bank may also implement internal controls by means of other activities and measures that are carried out by employees at their own discretion at the level of the bank’s individual business activities, processes and procedures, for the purpose of preventing actions and activities on the part of employees that are not in accordance with their powers, including actions associated with fraud.</w:t>
      </w:r>
    </w:p>
    <w:p w:rsidR="00823BAB" w:rsidRPr="00823BAB" w:rsidRDefault="00823BAB" w:rsidP="00823BAB">
      <w:pPr>
        <w:ind w:firstLine="360"/>
        <w:jc w:val="both"/>
        <w:rPr>
          <w:noProof/>
        </w:rPr>
      </w:pPr>
    </w:p>
    <w:p w:rsidR="00823BAB" w:rsidRPr="00823BAB" w:rsidRDefault="00823BAB" w:rsidP="00823BAB">
      <w:pPr>
        <w:rPr>
          <w:b/>
          <w:noProof/>
        </w:rPr>
      </w:pPr>
      <w:r>
        <w:rPr>
          <w:b/>
          <w:bCs/>
          <w:noProof/>
          <w:lang w:val="en-GB"/>
        </w:rPr>
        <w:t>2.4.2 Internal control functions</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34</w:t>
      </w:r>
    </w:p>
    <w:p w:rsidR="00823BAB" w:rsidRPr="00823BAB" w:rsidRDefault="00823BAB" w:rsidP="00823BAB">
      <w:pPr>
        <w:rPr>
          <w:b/>
          <w:noProof/>
        </w:rPr>
      </w:pPr>
      <w:r>
        <w:rPr>
          <w:b/>
          <w:bCs/>
          <w:noProof/>
          <w:lang w:val="en-GB"/>
        </w:rPr>
        <w:t>(internal control functions)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internal control functions shall include:</w:t>
      </w:r>
    </w:p>
    <w:p w:rsidR="00823BAB" w:rsidRPr="00823BAB" w:rsidRDefault="00823BAB" w:rsidP="00823BAB">
      <w:pPr>
        <w:ind w:firstLine="360"/>
        <w:jc w:val="both"/>
        <w:rPr>
          <w:noProof/>
        </w:rPr>
      </w:pPr>
      <w:r>
        <w:rPr>
          <w:noProof/>
          <w:lang w:val="en-GB"/>
        </w:rPr>
        <w:t>1. the internal audit department referred to in the first paragraph of Article 141 of the ZBan-2;</w:t>
      </w:r>
    </w:p>
    <w:p w:rsidR="00823BAB" w:rsidRPr="00823BAB" w:rsidRDefault="00823BAB" w:rsidP="00823BAB">
      <w:pPr>
        <w:ind w:firstLine="360"/>
        <w:jc w:val="both"/>
        <w:rPr>
          <w:noProof/>
        </w:rPr>
      </w:pPr>
      <w:r>
        <w:rPr>
          <w:noProof/>
          <w:lang w:val="en-GB"/>
        </w:rPr>
        <w:t>2. the risk management function referred to in in the first paragraph of Article 138 of the ZBan-2;</w:t>
      </w:r>
    </w:p>
    <w:p w:rsidR="00823BAB" w:rsidRPr="00823BAB" w:rsidRDefault="00823BAB" w:rsidP="00823BAB">
      <w:pPr>
        <w:ind w:firstLine="360"/>
        <w:jc w:val="both"/>
        <w:rPr>
          <w:noProof/>
        </w:rPr>
      </w:pPr>
      <w:r>
        <w:rPr>
          <w:noProof/>
          <w:lang w:val="en-GB"/>
        </w:rPr>
        <w:t xml:space="preserve">3. the compliance function referred to in the first paragraph of Article 146 of the ZBan-2. </w:t>
      </w:r>
    </w:p>
    <w:p w:rsidR="00823BAB" w:rsidRPr="00823BAB" w:rsidRDefault="00823BAB" w:rsidP="00823BAB">
      <w:pPr>
        <w:jc w:val="both"/>
        <w:rPr>
          <w:noProof/>
          <w:highlight w:val="yellow"/>
        </w:rPr>
      </w:pPr>
    </w:p>
    <w:p w:rsidR="00823BAB" w:rsidRPr="00823BAB" w:rsidRDefault="00823BAB" w:rsidP="00823BAB">
      <w:pPr>
        <w:ind w:firstLine="360"/>
        <w:jc w:val="both"/>
        <w:rPr>
          <w:noProof/>
        </w:rPr>
      </w:pPr>
      <w:r>
        <w:rPr>
          <w:noProof/>
          <w:lang w:val="en-GB"/>
        </w:rPr>
        <w:t>(2) Where appropriate, within the framework of the internal control functions the bank shall also put in place an information security function. This function shall implement the procedures for safeguarding the security of information systems for the purpose of preventing unauthorised access to information in storage, during processing or transfer, and changes thereto, including the management of risks of this type.</w:t>
      </w:r>
    </w:p>
    <w:p w:rsidR="00823BAB" w:rsidRPr="00823BAB" w:rsidRDefault="00823BAB" w:rsidP="00823BAB">
      <w:pPr>
        <w:jc w:val="both"/>
        <w:rPr>
          <w:noProof/>
        </w:rPr>
      </w:pPr>
    </w:p>
    <w:p w:rsidR="00823BAB" w:rsidRPr="00823BAB" w:rsidRDefault="00823BAB" w:rsidP="00823BAB">
      <w:pPr>
        <w:rPr>
          <w:b/>
          <w:noProof/>
        </w:rPr>
      </w:pPr>
    </w:p>
    <w:p w:rsidR="00823BAB" w:rsidRPr="00823BAB" w:rsidRDefault="00823BAB" w:rsidP="00823BAB">
      <w:pPr>
        <w:rPr>
          <w:b/>
          <w:noProof/>
        </w:rPr>
      </w:pPr>
      <w:r>
        <w:rPr>
          <w:b/>
          <w:bCs/>
          <w:noProof/>
          <w:lang w:val="en-GB"/>
        </w:rPr>
        <w:t>2.4.2.1 Internal audit department</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35</w:t>
      </w:r>
    </w:p>
    <w:p w:rsidR="00823BAB" w:rsidRPr="00823BAB" w:rsidRDefault="00823BAB" w:rsidP="00823BAB">
      <w:pPr>
        <w:rPr>
          <w:b/>
          <w:noProof/>
        </w:rPr>
      </w:pPr>
      <w:r>
        <w:rPr>
          <w:b/>
          <w:bCs/>
          <w:noProof/>
          <w:lang w:val="en-GB"/>
        </w:rPr>
        <w:t>(effectiveness and independence of internal audit department)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The internal audit department shall provide the </w:t>
      </w:r>
      <w:r w:rsidR="003E2585">
        <w:rPr>
          <w:noProof/>
          <w:lang w:val="en-GB"/>
        </w:rPr>
        <w:t>Management body</w:t>
      </w:r>
      <w:r>
        <w:rPr>
          <w:noProof/>
          <w:lang w:val="en-GB"/>
        </w:rPr>
        <w:t xml:space="preserve">, the audit committee and the senior management with an independent assessment with regard to the quality and effectiveness of the internal governance arrangements, including the bank’s risk management systems and processes and internal controls (hereinafter: internal audit department’s independent assessment). The internal audit department shall support and assist the </w:t>
      </w:r>
      <w:r w:rsidR="003E2585">
        <w:rPr>
          <w:noProof/>
          <w:lang w:val="en-GB"/>
        </w:rPr>
        <w:t>Management body</w:t>
      </w:r>
      <w:r>
        <w:rPr>
          <w:noProof/>
          <w:lang w:val="en-GB"/>
        </w:rPr>
        <w:t xml:space="preserve"> in safeguarding the bank’s long-term interests and protecting its reputation.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For the purpose of realising the independence of action of the internal audit department, the management board shall ensure that the internal audit department:</w:t>
      </w:r>
    </w:p>
    <w:p w:rsidR="00823BAB" w:rsidRPr="00823BAB" w:rsidRDefault="00823BAB" w:rsidP="00823BAB">
      <w:pPr>
        <w:ind w:firstLine="360"/>
        <w:jc w:val="both"/>
        <w:rPr>
          <w:noProof/>
        </w:rPr>
      </w:pPr>
      <w:r>
        <w:rPr>
          <w:noProof/>
          <w:lang w:val="en-GB"/>
        </w:rPr>
        <w:t xml:space="preserve">1. implements and coordinates internal auditing tasks at its own initiative, in all the bank’s areas, activities, processes and functions, including the risk management function and compliance department, without the internal audit department’s employees being exposed to any attempts at undue influence or pressure on the part of a member of the </w:t>
      </w:r>
      <w:r w:rsidR="003E2585">
        <w:rPr>
          <w:noProof/>
          <w:lang w:val="en-GB"/>
        </w:rPr>
        <w:t>Management body</w:t>
      </w:r>
      <w:r>
        <w:rPr>
          <w:noProof/>
          <w:lang w:val="en-GB"/>
        </w:rPr>
        <w:t xml:space="preserve"> or a member of the senior management for the purpose of prejudicing the independence of action of the internal audit department;</w:t>
      </w:r>
    </w:p>
    <w:p w:rsidR="00823BAB" w:rsidRPr="00823BAB" w:rsidRDefault="00823BAB" w:rsidP="00823BAB">
      <w:pPr>
        <w:ind w:firstLine="360"/>
        <w:jc w:val="both"/>
        <w:rPr>
          <w:noProof/>
        </w:rPr>
      </w:pPr>
      <w:r>
        <w:rPr>
          <w:noProof/>
          <w:lang w:val="en-GB"/>
        </w:rPr>
        <w:t>2. does not participate directly in the determination, development, establishment and implementation of the internal controls referred to in Article 34 of this regulation;</w:t>
      </w:r>
    </w:p>
    <w:p w:rsidR="00823BAB" w:rsidRPr="00823BAB" w:rsidRDefault="00823BAB" w:rsidP="00823BAB">
      <w:pPr>
        <w:ind w:firstLine="360"/>
        <w:jc w:val="both"/>
        <w:rPr>
          <w:noProof/>
        </w:rPr>
      </w:pPr>
      <w:r>
        <w:rPr>
          <w:noProof/>
          <w:lang w:val="en-GB"/>
        </w:rPr>
        <w:t>3. has the right of access to all of the bank’s premises, employees, information and data.</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 (3) For the purpose of realising the effectiveness of the internal audit department, the management board shall ensure:</w:t>
      </w:r>
    </w:p>
    <w:p w:rsidR="00823BAB" w:rsidRPr="00823BAB" w:rsidRDefault="00823BAB" w:rsidP="00823BAB">
      <w:pPr>
        <w:ind w:firstLine="360"/>
        <w:jc w:val="both"/>
        <w:rPr>
          <w:noProof/>
        </w:rPr>
      </w:pPr>
      <w:r>
        <w:rPr>
          <w:noProof/>
          <w:lang w:val="en-GB"/>
        </w:rPr>
        <w:t>1. the consistent and timely treatment of all reports, findings and proposed measures submitted by the internal audit department, and shall require the senior management to arrange for the requisite rectification of the identified breaches and irregularities in accordance with the agreed deadlines. An explanation of any failure to observe the recommendations of the internal audit department and any delay in the rectification of identified irregularities relative to the agreed deadlines shall be provided in writing to the internal audit department by the recipient of the recommendations;</w:t>
      </w:r>
    </w:p>
    <w:p w:rsidR="00823BAB" w:rsidRPr="00823BAB" w:rsidRDefault="00823BAB" w:rsidP="00823BAB">
      <w:pPr>
        <w:ind w:firstLine="360"/>
        <w:jc w:val="both"/>
        <w:rPr>
          <w:noProof/>
        </w:rPr>
      </w:pPr>
      <w:r>
        <w:rPr>
          <w:noProof/>
          <w:lang w:val="en-GB"/>
        </w:rPr>
        <w:t>2. the timely briefing of the internal audit department with regard to all significant decisions (e.g. the introduction of new products, the significant use of external contractors, a change in information technology) and the bank’s significant risks. The internal audit department shall take account of this information in its risk assessment for the purposes of the annual work plan.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(4) For the purpose of realising the independence of action of the internal audit department, the supervisory board shall monitor the effectiveness and efficiency of the execution of the internal auditing tasks of the internal audit department on the basis of:</w:t>
      </w:r>
    </w:p>
    <w:p w:rsidR="00823BAB" w:rsidRPr="00823BAB" w:rsidRDefault="00823BAB" w:rsidP="00823BAB">
      <w:pPr>
        <w:ind w:firstLine="360"/>
        <w:jc w:val="both"/>
        <w:rPr>
          <w:noProof/>
        </w:rPr>
      </w:pPr>
      <w:r>
        <w:rPr>
          <w:noProof/>
          <w:lang w:val="en-GB"/>
        </w:rPr>
        <w:t>1. discussion of the internal audit reports referred to in the fourth and fifth paragraphs of Article 144 of the ZBan-2;</w:t>
      </w:r>
    </w:p>
    <w:p w:rsidR="00823BAB" w:rsidRPr="00823BAB" w:rsidRDefault="00823BAB" w:rsidP="00823BAB">
      <w:pPr>
        <w:ind w:firstLine="360"/>
        <w:jc w:val="both"/>
        <w:rPr>
          <w:noProof/>
        </w:rPr>
      </w:pPr>
      <w:r>
        <w:rPr>
          <w:noProof/>
          <w:lang w:val="en-GB"/>
        </w:rPr>
        <w:t xml:space="preserve">2. regular meetings (e.g. on a quarterly basis) between the chairperson of the supervisory board or the chairperson of the audit committee and the head of the internal audit department. These meetings shall take place without the presence of members of the management board, their nominees and other members of the senior management.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(5) The bank shall grant the head of the internal audit department access to the minutes of sessions of the supervisory board.</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36</w:t>
      </w:r>
    </w:p>
    <w:p w:rsidR="00823BAB" w:rsidRPr="00823BAB" w:rsidRDefault="00823BAB" w:rsidP="00823BAB">
      <w:pPr>
        <w:rPr>
          <w:b/>
          <w:noProof/>
        </w:rPr>
      </w:pPr>
      <w:r>
        <w:rPr>
          <w:b/>
          <w:bCs/>
          <w:noProof/>
          <w:lang w:val="en-GB"/>
        </w:rPr>
        <w:t>(employees at internal audit department)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ensure that the number and qualifications of the employees of the internal audit department are commensurate with the nature, scale and complexity of the risks inherent in the bank’s business model. The employees shall have the requisite knowledge, experience and skills to perform their tasks, including reviews of specific areas and activities of the bank.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Internal auditors that perform internal auditing tasks at the bank shall make a written declaration at least once a year of any conflicts of interest in connection with the performance of internal auditing tasks.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(3) The bank shall put in place and implement a training programme for employees of the internal audit department with regard to the areas and complexity of their tasks.</w:t>
      </w:r>
    </w:p>
    <w:p w:rsidR="00823BAB" w:rsidRPr="00823BAB" w:rsidRDefault="00823BAB" w:rsidP="00823BAB">
      <w:pPr>
        <w:ind w:firstLine="360"/>
        <w:jc w:val="both"/>
        <w:rPr>
          <w:noProof/>
        </w:rPr>
      </w:pPr>
    </w:p>
    <w:p w:rsidR="00823BAB" w:rsidRPr="00881FB6" w:rsidRDefault="00823BAB" w:rsidP="00881FB6">
      <w:pPr>
        <w:rPr>
          <w:b/>
          <w:noProof/>
        </w:rPr>
      </w:pPr>
      <w:r w:rsidRPr="00881FB6">
        <w:rPr>
          <w:b/>
          <w:bCs/>
          <w:noProof/>
          <w:lang w:val="en-GB"/>
        </w:rPr>
        <w:t>Article 37</w:t>
      </w:r>
    </w:p>
    <w:p w:rsidR="00823BAB" w:rsidRPr="00823BAB" w:rsidRDefault="00823BAB" w:rsidP="00823BAB">
      <w:pPr>
        <w:rPr>
          <w:b/>
          <w:noProof/>
        </w:rPr>
      </w:pPr>
      <w:r>
        <w:rPr>
          <w:b/>
          <w:bCs/>
          <w:noProof/>
          <w:lang w:val="en-GB"/>
        </w:rPr>
        <w:t>(notification of management board and supervisory board)</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A bank shall ensure that in the cases referred to in the first and second paragraphs of Article 145 of the ZBan-2 the internal audit department notifies the management board or the supervisory board independently and without hindrance. Without hindrance means that the internal audit department reports to the management board or the supervisory board without any requirements or pressures from a member of the </w:t>
      </w:r>
      <w:r w:rsidR="003E2585">
        <w:rPr>
          <w:noProof/>
          <w:lang w:val="en-GB"/>
        </w:rPr>
        <w:t>Management body</w:t>
      </w:r>
      <w:r>
        <w:rPr>
          <w:noProof/>
          <w:lang w:val="en-GB"/>
        </w:rPr>
        <w:t xml:space="preserve"> or the senior management for the inappropriate adjustment or omission of information. To this end the bank shall ensure that the manner of notification of the management board and the supervisory board is determined by the internal audit department, and not by the management board or the supervisory board. Independent notification means that in the cited cases the internal audit department is able to notify the supervisory board without the prior mandatory submission of information to the management board for signing or approval.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2.4.2.2 Risk management function</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38</w:t>
      </w:r>
    </w:p>
    <w:p w:rsidR="00823BAB" w:rsidRPr="00823BAB" w:rsidRDefault="00823BAB" w:rsidP="00823BAB">
      <w:pPr>
        <w:rPr>
          <w:b/>
          <w:noProof/>
        </w:rPr>
      </w:pPr>
      <w:r>
        <w:rPr>
          <w:b/>
          <w:bCs/>
          <w:noProof/>
          <w:lang w:val="en-GB"/>
        </w:rPr>
        <w:t>(risk management function)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purpose, importance and tasks of the risk management function shall be defined in a bylaw adopted by the management board, on which the supervisory board is briefed.</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Persons who perform tasks of the risk management function referred to in the fourth paragraph of Article 138 of the ZBan-2 may not perform any other tasks in which a conflict of interest could arise.</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39</w:t>
      </w:r>
    </w:p>
    <w:p w:rsidR="00823BAB" w:rsidRPr="00823BAB" w:rsidRDefault="00823BAB" w:rsidP="00823BAB">
      <w:pPr>
        <w:rPr>
          <w:b/>
          <w:noProof/>
        </w:rPr>
      </w:pPr>
      <w:r>
        <w:rPr>
          <w:b/>
          <w:bCs/>
          <w:noProof/>
          <w:lang w:val="en-GB"/>
        </w:rPr>
        <w:t>(appointment of head of risk management function)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A bank shall notify the supervisory board of the appointment of the head of the risk management function.</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40</w:t>
      </w:r>
    </w:p>
    <w:p w:rsidR="00823BAB" w:rsidRPr="00823BAB" w:rsidRDefault="00823BAB" w:rsidP="00823BAB">
      <w:pPr>
        <w:rPr>
          <w:b/>
          <w:noProof/>
        </w:rPr>
      </w:pPr>
      <w:r>
        <w:rPr>
          <w:b/>
          <w:bCs/>
          <w:noProof/>
          <w:lang w:val="en-GB"/>
        </w:rPr>
        <w:t>(participation in drafting of strategy)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The risk management function shall participate in the drafting of the bank’s risk management strategy and in all important decisions with regard to risk management referred to in point 2 of the fourth paragraph of Article 138 of the ZBan-2 on the basis of the production of:</w:t>
      </w:r>
    </w:p>
    <w:p w:rsidR="00823BAB" w:rsidRPr="00823BAB" w:rsidRDefault="00823BAB" w:rsidP="00823BAB">
      <w:pPr>
        <w:ind w:firstLine="360"/>
        <w:jc w:val="both"/>
        <w:rPr>
          <w:noProof/>
        </w:rPr>
      </w:pPr>
      <w:r>
        <w:rPr>
          <w:noProof/>
          <w:lang w:val="en-GB"/>
        </w:rPr>
        <w:t xml:space="preserve">1. analysis of the bank’s risks, which the </w:t>
      </w:r>
      <w:r w:rsidR="003E2585">
        <w:rPr>
          <w:noProof/>
          <w:lang w:val="en-GB"/>
        </w:rPr>
        <w:t>Management body</w:t>
      </w:r>
      <w:r>
        <w:rPr>
          <w:noProof/>
          <w:lang w:val="en-GB"/>
        </w:rPr>
        <w:t xml:space="preserve"> takes into account in the determination of the risk </w:t>
      </w:r>
      <w:r w:rsidR="00912BE8">
        <w:rPr>
          <w:noProof/>
          <w:lang w:val="en-GB"/>
        </w:rPr>
        <w:t>appetite</w:t>
      </w:r>
      <w:r>
        <w:rPr>
          <w:noProof/>
          <w:lang w:val="en-GB"/>
        </w:rPr>
        <w:t>;</w:t>
      </w:r>
    </w:p>
    <w:p w:rsidR="00823BAB" w:rsidRPr="00823BAB" w:rsidRDefault="00823BAB" w:rsidP="00823BAB">
      <w:pPr>
        <w:ind w:firstLine="360"/>
        <w:jc w:val="both"/>
        <w:rPr>
          <w:noProof/>
        </w:rPr>
      </w:pPr>
      <w:r>
        <w:rPr>
          <w:noProof/>
          <w:lang w:val="en-GB"/>
        </w:rPr>
        <w:t xml:space="preserve">2. an assessment of the adequacy of the proposed risk management strategy with regard to the realism and consistency of the business objectives of organisational units, including the requisite opinion for the </w:t>
      </w:r>
      <w:r w:rsidR="003E2585">
        <w:rPr>
          <w:noProof/>
          <w:lang w:val="en-GB"/>
        </w:rPr>
        <w:t>Management body</w:t>
      </w:r>
      <w:r>
        <w:rPr>
          <w:noProof/>
          <w:lang w:val="en-GB"/>
        </w:rPr>
        <w:t>, before the adoption of its decision with regard to the risk management strategy;</w:t>
      </w:r>
    </w:p>
    <w:p w:rsidR="00823BAB" w:rsidRPr="00823BAB" w:rsidRDefault="00823BAB" w:rsidP="00823BAB">
      <w:pPr>
        <w:ind w:firstLine="360"/>
        <w:jc w:val="both"/>
        <w:rPr>
          <w:noProof/>
        </w:rPr>
      </w:pPr>
      <w:r>
        <w:rPr>
          <w:noProof/>
          <w:lang w:val="en-GB"/>
        </w:rPr>
        <w:t>3. proposals of risk limits for the bank’s organisational units.</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41</w:t>
      </w:r>
    </w:p>
    <w:p w:rsidR="00823BAB" w:rsidRPr="00823BAB" w:rsidRDefault="00823BAB" w:rsidP="00823BAB">
      <w:pPr>
        <w:rPr>
          <w:b/>
          <w:noProof/>
        </w:rPr>
      </w:pPr>
      <w:r>
        <w:rPr>
          <w:b/>
          <w:bCs/>
          <w:noProof/>
          <w:lang w:val="en-GB"/>
        </w:rPr>
        <w:t>(direct access to supervisory board)</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(1) A bank shall provide for the regular participation of the head of the risk management function at sessions of the supervisory board in the parts relating to the issue of risks, and at sessions of the risk committee. At these sessions the head of the risk management function shall present impartial analysis of the bank’s risks, and shall represent the positions of the risk management function that are in accordance with the risk </w:t>
      </w:r>
      <w:r w:rsidR="00912BE8">
        <w:rPr>
          <w:noProof/>
          <w:lang w:val="en-GB"/>
        </w:rPr>
        <w:t>appetite</w:t>
      </w:r>
      <w:r>
        <w:rPr>
          <w:noProof/>
          <w:lang w:val="en-GB"/>
        </w:rPr>
        <w:t>. The bank shall grant the head of the risk management function access to the minutes of sessions of the supervisory board.</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bank shall ensure that in the cases referred to in the sixth and seventh paragraphs of Article 138 of the ZBan-2 the head of the risk management function notifies the management board or the chairperson of the supervisory board (or the chairperson of the audit committee) independently and without hindrance. Without hindrance means that the head of the risk management function notifies the management board or the chairperson of the supervisory board (or the chairperson of the risk committee) without any requirements or pressures from a member of the </w:t>
      </w:r>
      <w:r w:rsidR="003E2585">
        <w:rPr>
          <w:noProof/>
          <w:lang w:val="en-GB"/>
        </w:rPr>
        <w:t>Management body</w:t>
      </w:r>
      <w:r>
        <w:rPr>
          <w:noProof/>
          <w:lang w:val="en-GB"/>
        </w:rPr>
        <w:t xml:space="preserve"> or the senior management for the inappropriate adjustment or omission of information. To this end the bank shall ensure that the manner of notification of the management board and the supervisory board is determined by the risk management function, and not by the management board or the supervisory board. Independent notification means that in the cited cases the head of the risk management function is able to notify the chairperson of the supervisory board or the chairperson of the risk committee without the prior submission of the notification in question to the management board for signing or approval.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2.4.2.3 Compliance function</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42</w:t>
      </w:r>
    </w:p>
    <w:p w:rsidR="00823BAB" w:rsidRPr="00823BAB" w:rsidRDefault="00823BAB" w:rsidP="00823BAB">
      <w:pPr>
        <w:rPr>
          <w:b/>
          <w:noProof/>
        </w:rPr>
      </w:pPr>
      <w:r>
        <w:rPr>
          <w:b/>
          <w:bCs/>
          <w:noProof/>
          <w:lang w:val="en-GB"/>
        </w:rPr>
        <w:t>(compliance policy)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A bank shall put in place and implement a compliance policy. This policy shall in particular set out:</w:t>
      </w:r>
    </w:p>
    <w:p w:rsidR="00823BAB" w:rsidRPr="00823BAB" w:rsidRDefault="00823BAB" w:rsidP="00823BAB">
      <w:pPr>
        <w:ind w:firstLine="360"/>
        <w:jc w:val="both"/>
        <w:rPr>
          <w:noProof/>
        </w:rPr>
      </w:pPr>
      <w:r>
        <w:rPr>
          <w:noProof/>
          <w:lang w:val="en-GB"/>
        </w:rPr>
        <w:t xml:space="preserve">1. the bank’s approach to the management of compliance risk set out by the management board, and the basic principle for realising the bank’s compliance; </w:t>
      </w:r>
    </w:p>
    <w:p w:rsidR="00823BAB" w:rsidRPr="00823BAB" w:rsidRDefault="00823BAB" w:rsidP="00823BAB">
      <w:pPr>
        <w:ind w:firstLine="360"/>
        <w:jc w:val="both"/>
        <w:rPr>
          <w:noProof/>
        </w:rPr>
      </w:pPr>
      <w:r>
        <w:rPr>
          <w:noProof/>
          <w:lang w:val="en-GB"/>
        </w:rPr>
        <w:t>2. the general standards for ensuring compliance for all employees, and detailed rules for ensuring compliance for individual groups of employees;</w:t>
      </w:r>
    </w:p>
    <w:p w:rsidR="00823BAB" w:rsidRPr="00823BAB" w:rsidRDefault="00823BAB" w:rsidP="00823BAB">
      <w:pPr>
        <w:ind w:firstLine="360"/>
        <w:jc w:val="both"/>
        <w:rPr>
          <w:noProof/>
        </w:rPr>
      </w:pPr>
      <w:r>
        <w:rPr>
          <w:noProof/>
          <w:lang w:val="en-GB"/>
        </w:rPr>
        <w:t xml:space="preserve">3. an explanation of the most important procedures for identifying and managing compliance risk at various levels of the bank’s organisational structure. </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43</w:t>
      </w:r>
    </w:p>
    <w:p w:rsidR="00823BAB" w:rsidRPr="00823BAB" w:rsidRDefault="00823BAB" w:rsidP="00823BAB">
      <w:pPr>
        <w:rPr>
          <w:b/>
          <w:noProof/>
        </w:rPr>
      </w:pPr>
      <w:r>
        <w:rPr>
          <w:b/>
          <w:bCs/>
          <w:noProof/>
          <w:lang w:val="en-GB"/>
        </w:rPr>
        <w:t>(compliance function or department)</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(1) The management board shall ensure that the compliance department referred to in Article 146 of the ZBan-2 has the requisite authorisations and influence to perform that function, and sufficient human and financial resources for the effective identification of compliance risk. The compliance department shall be headed by a person in an appropriate hierarchical position at the bank (e.g. a senior manager).</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Persons who perform tasks of the compliance department referred to in the second paragraph of Article 146 of the ZBan-2, including the head of the compliance department, may not perform any other activities or tasks at the bank that fall within the scope of activities that the compliance department is monitoring and supervising, or where a conflict of interest could arise.</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(3) For the purpose of the realisation of the independent identification of compliance risk at the bank, the management board shall ensure that the compliance department implements and coordinates these tasks at its own initiative, including investigations of any breaches of the compliance policy referred to in the first paragraph of Article 42 of this regulation, without the compliance department’s employees being exposed to any attempts at undue influence or pressure on the part of a member of the </w:t>
      </w:r>
      <w:r w:rsidR="003E2585">
        <w:rPr>
          <w:noProof/>
          <w:lang w:val="en-GB"/>
        </w:rPr>
        <w:t>Management body</w:t>
      </w:r>
      <w:r>
        <w:rPr>
          <w:noProof/>
          <w:lang w:val="en-GB"/>
        </w:rPr>
        <w:t xml:space="preserve"> or a member of the senior management for the purpose of prejudicing the independence of action of the compliance department.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(4) For the purpose of realising the effectiveness of the compliance department, the management board shall ensure the consistent and timely treatment of all reports, findings and proposed measures submitted by the compliance department, and shall require the senior management to arrange for the requisite rectification of the identified irregularities in accordance with the agreed deadlines. An explanation of any failure to observe the recommendations of the compliance department and any delay in the rectification of identified irregularities relative to the agreed deadlines shall be provided in writing by the recipient of the recommendations.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(5) For the purpose of the proper performance of the compliance function, the provisions of this regulation applying to the compliance department shall apply </w:t>
      </w:r>
      <w:r>
        <w:rPr>
          <w:i/>
          <w:iCs/>
          <w:noProof/>
          <w:lang w:val="en-GB"/>
        </w:rPr>
        <w:t xml:space="preserve">mutatis mutandis </w:t>
      </w:r>
      <w:r>
        <w:rPr>
          <w:noProof/>
          <w:lang w:val="en-GB"/>
        </w:rPr>
        <w:t>to banks where a compliance department is not independently organised.</w:t>
      </w:r>
    </w:p>
    <w:p w:rsidR="00823BAB" w:rsidRPr="00823BAB" w:rsidRDefault="00823BAB" w:rsidP="00823BAB">
      <w:pPr>
        <w:pStyle w:val="Odstavekseznama"/>
        <w:ind w:left="360"/>
        <w:jc w:val="both"/>
        <w:rPr>
          <w:b/>
          <w:noProof/>
        </w:rPr>
      </w:pPr>
    </w:p>
    <w:p w:rsidR="00823BAB" w:rsidRPr="00881FB6" w:rsidRDefault="00823BAB" w:rsidP="00881FB6">
      <w:pPr>
        <w:rPr>
          <w:b/>
          <w:noProof/>
        </w:rPr>
      </w:pPr>
      <w:r w:rsidRPr="00881FB6">
        <w:rPr>
          <w:b/>
          <w:bCs/>
          <w:noProof/>
          <w:lang w:val="en-GB"/>
        </w:rPr>
        <w:t>Article 44</w:t>
      </w:r>
    </w:p>
    <w:p w:rsidR="00823BAB" w:rsidRPr="00823BAB" w:rsidRDefault="00823BAB" w:rsidP="00823BAB">
      <w:pPr>
        <w:rPr>
          <w:b/>
          <w:noProof/>
        </w:rPr>
      </w:pPr>
      <w:r>
        <w:rPr>
          <w:b/>
          <w:bCs/>
          <w:noProof/>
          <w:lang w:val="en-GB"/>
        </w:rPr>
        <w:t>(compliance department’s tasks)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The compliance department shall primarily perform the following tasks in connection with the identification and monitoring of compliance risk:</w:t>
      </w:r>
    </w:p>
    <w:p w:rsidR="00823BAB" w:rsidRPr="00823BAB" w:rsidRDefault="00823BAB" w:rsidP="00823BAB">
      <w:pPr>
        <w:ind w:firstLine="360"/>
        <w:jc w:val="both"/>
        <w:rPr>
          <w:noProof/>
        </w:rPr>
      </w:pPr>
      <w:r>
        <w:rPr>
          <w:noProof/>
          <w:lang w:val="en-GB"/>
        </w:rPr>
        <w:t>1. conducting an independent investigation of any breaches of compliance policy, including on the basis of bilateral communications with any of the bank’s employees;</w:t>
      </w:r>
    </w:p>
    <w:p w:rsidR="00823BAB" w:rsidRPr="00823BAB" w:rsidRDefault="00823BAB" w:rsidP="00823BAB">
      <w:pPr>
        <w:ind w:firstLine="360"/>
        <w:jc w:val="both"/>
        <w:rPr>
          <w:noProof/>
        </w:rPr>
      </w:pPr>
      <w:r>
        <w:rPr>
          <w:noProof/>
          <w:lang w:val="en-GB"/>
        </w:rPr>
        <w:t>2. analysing compliance risk for the purpose of active participation in the review of whether the introduction of new products complies with regulations, standards and the bank’s bylaws;</w:t>
      </w:r>
    </w:p>
    <w:p w:rsidR="00823BAB" w:rsidRPr="00823BAB" w:rsidRDefault="00823BAB" w:rsidP="00823BAB">
      <w:pPr>
        <w:ind w:firstLine="360"/>
        <w:jc w:val="both"/>
        <w:rPr>
          <w:noProof/>
        </w:rPr>
      </w:pPr>
      <w:r>
        <w:rPr>
          <w:noProof/>
          <w:lang w:val="en-GB"/>
        </w:rPr>
        <w:t xml:space="preserve">3. putting in place regular and </w:t>
      </w:r>
      <w:r>
        <w:rPr>
          <w:i/>
          <w:iCs/>
          <w:noProof/>
          <w:lang w:val="en-GB"/>
        </w:rPr>
        <w:t xml:space="preserve">ad hoc </w:t>
      </w:r>
      <w:r>
        <w:rPr>
          <w:noProof/>
          <w:lang w:val="en-GB"/>
        </w:rPr>
        <w:t xml:space="preserve">reporting on compliance risk to the </w:t>
      </w:r>
      <w:r w:rsidR="003E2585">
        <w:rPr>
          <w:noProof/>
          <w:lang w:val="en-GB"/>
        </w:rPr>
        <w:t>Management body</w:t>
      </w:r>
      <w:r>
        <w:rPr>
          <w:noProof/>
          <w:lang w:val="en-GB"/>
        </w:rPr>
        <w:t xml:space="preserve"> and, where appropriate, to the risk management function and the internal audit department;</w:t>
      </w:r>
    </w:p>
    <w:p w:rsidR="00823BAB" w:rsidRPr="00823BAB" w:rsidRDefault="00823BAB" w:rsidP="00823BAB">
      <w:pPr>
        <w:ind w:firstLine="360"/>
        <w:jc w:val="both"/>
        <w:rPr>
          <w:noProof/>
        </w:rPr>
      </w:pPr>
      <w:r>
        <w:rPr>
          <w:noProof/>
          <w:lang w:val="en-GB"/>
        </w:rPr>
        <w:t>4. advising the management board and the senior management with regard to compliance, including the development of regulations and standards in this area;</w:t>
      </w:r>
    </w:p>
    <w:p w:rsidR="00823BAB" w:rsidRPr="00823BAB" w:rsidRDefault="00823BAB" w:rsidP="00823BAB">
      <w:pPr>
        <w:ind w:firstLine="360"/>
        <w:jc w:val="both"/>
        <w:rPr>
          <w:noProof/>
        </w:rPr>
      </w:pPr>
      <w:r>
        <w:rPr>
          <w:noProof/>
          <w:lang w:val="en-GB"/>
        </w:rPr>
        <w:t>5. training employees with regard to compliance risk;</w:t>
      </w:r>
    </w:p>
    <w:p w:rsidR="00823BAB" w:rsidRPr="00823BAB" w:rsidRDefault="00823BAB" w:rsidP="00823BAB">
      <w:pPr>
        <w:ind w:firstLine="360"/>
        <w:jc w:val="both"/>
        <w:rPr>
          <w:noProof/>
        </w:rPr>
      </w:pPr>
      <w:r>
        <w:rPr>
          <w:noProof/>
          <w:lang w:val="en-GB"/>
        </w:rPr>
        <w:t xml:space="preserve">6. producing guidelines for employees with regard to the requisite compliance (e.g. codes, instructions, manuals); </w:t>
      </w:r>
    </w:p>
    <w:p w:rsidR="00823BAB" w:rsidRPr="00823BAB" w:rsidRDefault="00823BAB" w:rsidP="00823BAB">
      <w:pPr>
        <w:ind w:firstLine="360"/>
        <w:jc w:val="both"/>
        <w:rPr>
          <w:noProof/>
        </w:rPr>
      </w:pPr>
      <w:r>
        <w:rPr>
          <w:noProof/>
          <w:lang w:val="en-GB"/>
        </w:rPr>
        <w:t>7. acting as a contact address for queries from employees in connection with compliance risk.</w:t>
      </w:r>
    </w:p>
    <w:p w:rsidR="00823BAB" w:rsidRPr="00823BAB" w:rsidRDefault="00823BAB" w:rsidP="00823BAB">
      <w:pPr>
        <w:tabs>
          <w:tab w:val="left" w:pos="3367"/>
        </w:tabs>
        <w:jc w:val="right"/>
        <w:rPr>
          <w:noProof/>
        </w:rPr>
      </w:pPr>
      <w:r>
        <w:rPr>
          <w:lang w:val="en-GB"/>
        </w:rPr>
        <w:tab/>
      </w:r>
    </w:p>
    <w:p w:rsidR="00823BAB" w:rsidRPr="00881FB6" w:rsidRDefault="00823BAB" w:rsidP="00881FB6">
      <w:pPr>
        <w:rPr>
          <w:b/>
          <w:noProof/>
        </w:rPr>
      </w:pPr>
      <w:r w:rsidRPr="00881FB6">
        <w:rPr>
          <w:b/>
          <w:bCs/>
          <w:noProof/>
          <w:lang w:val="en-GB"/>
        </w:rPr>
        <w:t>Article 45</w:t>
      </w:r>
    </w:p>
    <w:p w:rsidR="00823BAB" w:rsidRPr="00823BAB" w:rsidRDefault="00823BAB" w:rsidP="00823BAB">
      <w:pPr>
        <w:rPr>
          <w:b/>
          <w:noProof/>
        </w:rPr>
      </w:pPr>
      <w:r>
        <w:rPr>
          <w:b/>
          <w:bCs/>
          <w:noProof/>
          <w:lang w:val="en-GB"/>
        </w:rPr>
        <w:t>(head of compliance department)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A bank shall notify the supervisory board of the appointment or dismissal of the head of the compliance department.</w:t>
      </w:r>
      <w:r>
        <w:rPr>
          <w:noProof/>
          <w:lang w:val="en-GB"/>
        </w:rPr>
        <w:tab/>
      </w:r>
    </w:p>
    <w:p w:rsidR="00823BAB" w:rsidRPr="00881FB6" w:rsidRDefault="00823BAB" w:rsidP="00881FB6">
      <w:pPr>
        <w:rPr>
          <w:b/>
          <w:noProof/>
        </w:rPr>
      </w:pPr>
      <w:r w:rsidRPr="00881FB6">
        <w:rPr>
          <w:b/>
          <w:bCs/>
          <w:noProof/>
          <w:lang w:val="en-GB"/>
        </w:rPr>
        <w:t>Article 46</w:t>
      </w:r>
    </w:p>
    <w:p w:rsidR="00823BAB" w:rsidRPr="00823BAB" w:rsidRDefault="00823BAB" w:rsidP="00823BAB">
      <w:pPr>
        <w:rPr>
          <w:b/>
          <w:noProof/>
        </w:rPr>
      </w:pPr>
      <w:r>
        <w:rPr>
          <w:b/>
          <w:bCs/>
          <w:noProof/>
          <w:lang w:val="en-GB"/>
        </w:rPr>
        <w:t>(direct access to supervisory board)</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(1) A bank shall provide for the regular participation of the head of the compliance department at sessions of the supervisory board in the parts relating to the compliance risk, and at sessions of the relevant supervisory board committees. At these sessions the head of the compliance department shall provide analysis, assessments and other information with regard to compliance risk, and shall represent the positions of the compliance department that are in accordance with the compliance policy. The bank shall grant the head of the compliance department access to the minutes of sessions of the supervisory board.</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bank shall ensure that the compliance function reports its findings referred to in the third paragraph of Article 146 of the ZBan-2 to the management board, to the supervisory board and, where appropriate, to the risk management function independently and without hindrance. Without hindrance means that the compliance department reports to the aforementioned bodies and functions without any requirements or pressures from a member of the </w:t>
      </w:r>
      <w:r w:rsidR="003E2585">
        <w:rPr>
          <w:noProof/>
          <w:lang w:val="en-GB"/>
        </w:rPr>
        <w:t>Management body</w:t>
      </w:r>
      <w:r>
        <w:rPr>
          <w:noProof/>
          <w:lang w:val="en-GB"/>
        </w:rPr>
        <w:t xml:space="preserve"> or the senior management for the inappropriate adjustment or omission of information. To this end the bank shall ensure that the manner of the aforementioned reporting to the management board and the supervisory board is determined by the compliance function, and not by the management board or the supervisory board. Independent notification means that the compliance department is able to report to the supervisory board without the prior submission of the notification in question to the management board for signing or approval.</w:t>
      </w:r>
    </w:p>
    <w:p w:rsidR="00823BAB" w:rsidRPr="00823BAB" w:rsidRDefault="00823BAB" w:rsidP="00823BAB">
      <w:pPr>
        <w:rPr>
          <w:b/>
          <w:noProof/>
        </w:rPr>
      </w:pPr>
    </w:p>
    <w:p w:rsidR="00823BAB" w:rsidRPr="00823BAB" w:rsidRDefault="00823BAB" w:rsidP="00823BAB">
      <w:pPr>
        <w:rPr>
          <w:b/>
          <w:noProof/>
        </w:rPr>
      </w:pPr>
    </w:p>
    <w:p w:rsidR="00823BAB" w:rsidRPr="00823BAB" w:rsidRDefault="00823BAB" w:rsidP="00823BAB">
      <w:pPr>
        <w:rPr>
          <w:b/>
          <w:noProof/>
        </w:rPr>
      </w:pPr>
      <w:r>
        <w:rPr>
          <w:b/>
          <w:bCs/>
          <w:noProof/>
          <w:lang w:val="en-GB"/>
        </w:rPr>
        <w:t>2.5 Remuneration policy and practices</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47</w:t>
      </w:r>
    </w:p>
    <w:p w:rsidR="00823BAB" w:rsidRPr="00823BAB" w:rsidRDefault="00823BAB" w:rsidP="00823BAB">
      <w:pPr>
        <w:rPr>
          <w:b/>
          <w:noProof/>
        </w:rPr>
      </w:pPr>
      <w:r>
        <w:rPr>
          <w:b/>
          <w:bCs/>
          <w:noProof/>
          <w:lang w:val="en-GB"/>
        </w:rPr>
        <w:t>(processes and procedures)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remuneration policy and practices referred to in point 4 of the first paragraph of Article 128 shall be deemed adequate if they take account of the importance of financial incentives for persons referred to in the second paragraph of Article 169 of the ZBan-2 (hereinafter: employees), including the following basic principles for defining remuneration policy and practices:</w:t>
      </w:r>
    </w:p>
    <w:p w:rsidR="00823BAB" w:rsidRPr="00823BAB" w:rsidRDefault="00823BAB" w:rsidP="00823BAB">
      <w:pPr>
        <w:ind w:firstLine="360"/>
        <w:jc w:val="both"/>
        <w:rPr>
          <w:noProof/>
        </w:rPr>
      </w:pPr>
      <w:r>
        <w:rPr>
          <w:noProof/>
          <w:lang w:val="en-GB"/>
        </w:rPr>
        <w:t>1. taking account of restrictions with regard to remuneration;</w:t>
      </w:r>
    </w:p>
    <w:p w:rsidR="00823BAB" w:rsidRPr="00823BAB" w:rsidRDefault="00823BAB" w:rsidP="00823BAB">
      <w:pPr>
        <w:ind w:firstLine="360"/>
        <w:jc w:val="both"/>
        <w:rPr>
          <w:noProof/>
        </w:rPr>
      </w:pPr>
      <w:r>
        <w:rPr>
          <w:noProof/>
          <w:lang w:val="en-GB"/>
        </w:rPr>
        <w:t>2. taking account of the impact of the variable component of remuneration on the bank’s financial position;</w:t>
      </w:r>
    </w:p>
    <w:p w:rsidR="00823BAB" w:rsidRPr="00823BAB" w:rsidRDefault="00823BAB" w:rsidP="00823BAB">
      <w:pPr>
        <w:ind w:firstLine="360"/>
        <w:jc w:val="both"/>
        <w:rPr>
          <w:noProof/>
        </w:rPr>
      </w:pPr>
      <w:r>
        <w:rPr>
          <w:noProof/>
          <w:lang w:val="en-GB"/>
        </w:rPr>
        <w:t>3. setting an appropriate ratio between the fixed and variable components of remuneration;</w:t>
      </w:r>
    </w:p>
    <w:p w:rsidR="00823BAB" w:rsidRPr="00823BAB" w:rsidRDefault="00823BAB" w:rsidP="00823BAB">
      <w:pPr>
        <w:ind w:firstLine="360"/>
        <w:jc w:val="both"/>
        <w:rPr>
          <w:noProof/>
        </w:rPr>
      </w:pPr>
      <w:r>
        <w:rPr>
          <w:noProof/>
          <w:lang w:val="en-GB"/>
        </w:rPr>
        <w:t>4. assessing employee performance for the purpose of aligning remuneration with risks;</w:t>
      </w:r>
    </w:p>
    <w:p w:rsidR="00823BAB" w:rsidRPr="00823BAB" w:rsidRDefault="00823BAB" w:rsidP="00823BAB">
      <w:pPr>
        <w:ind w:firstLine="360"/>
        <w:jc w:val="both"/>
        <w:rPr>
          <w:noProof/>
        </w:rPr>
      </w:pPr>
      <w:r>
        <w:rPr>
          <w:noProof/>
          <w:lang w:val="en-GB"/>
        </w:rPr>
        <w:t>5. determining pensions policy in the event of the bank granting employees discretionary pension benefits. Discretionary pension benefits are benefits that the bank approves on a discretionary basis for an employee within the framework of his/her variable remuneration. These benefits do not include the general benefits of the pension insurance scheme at the bank that apply equally to all employees.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The bank shall pay variable remuneration in a manner in accordance with the requirements set out in Articles 169 to 171 of the ZBan-2.</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48</w:t>
      </w:r>
    </w:p>
    <w:p w:rsidR="00823BAB" w:rsidRPr="00823BAB" w:rsidRDefault="00823BAB" w:rsidP="00823BAB">
      <w:pPr>
        <w:rPr>
          <w:b/>
          <w:noProof/>
        </w:rPr>
      </w:pPr>
      <w:r>
        <w:rPr>
          <w:b/>
          <w:bCs/>
          <w:noProof/>
          <w:lang w:val="en-GB"/>
        </w:rPr>
        <w:t>(restrictions with regard to remuneration)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ensure that its remuneration policy does not provide for fringe benefits arising from the predefined, contractually agreed variable component of remuneration, except under the following conditions:</w:t>
      </w:r>
    </w:p>
    <w:p w:rsidR="00823BAB" w:rsidRPr="00823BAB" w:rsidRDefault="00823BAB" w:rsidP="00823BAB">
      <w:pPr>
        <w:ind w:firstLine="360"/>
        <w:jc w:val="both"/>
        <w:rPr>
          <w:noProof/>
        </w:rPr>
      </w:pPr>
      <w:r>
        <w:rPr>
          <w:noProof/>
          <w:lang w:val="en-GB"/>
        </w:rPr>
        <w:t>1. approval of the fringe benefits is only possible for a new hire;</w:t>
      </w:r>
    </w:p>
    <w:p w:rsidR="00823BAB" w:rsidRPr="00823BAB" w:rsidRDefault="00823BAB" w:rsidP="00823BAB">
      <w:pPr>
        <w:ind w:firstLine="360"/>
        <w:jc w:val="both"/>
        <w:rPr>
          <w:noProof/>
        </w:rPr>
      </w:pPr>
      <w:r>
        <w:rPr>
          <w:noProof/>
          <w:lang w:val="en-GB"/>
        </w:rPr>
        <w:t>2. the use of the fringe benefits is restricted solely to the first year of employment.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bank shall ensure that remuneration from fees or compensation in connection with contracts from previous employment is in accordance with the bank’s long-term interests, including the rules with regard to employee performance and the rules with regard to the withholding, deferral or reimbursement of funds. </w:t>
      </w:r>
    </w:p>
    <w:p w:rsidR="00823BAB" w:rsidRPr="00823BAB" w:rsidRDefault="00823BAB" w:rsidP="00823BAB">
      <w:pPr>
        <w:jc w:val="both"/>
        <w:rPr>
          <w:noProof/>
        </w:rPr>
      </w:pPr>
    </w:p>
    <w:p w:rsidR="00823BAB" w:rsidRPr="00881FB6" w:rsidRDefault="00823BAB" w:rsidP="00881FB6">
      <w:pPr>
        <w:rPr>
          <w:b/>
          <w:noProof/>
        </w:rPr>
      </w:pPr>
      <w:r w:rsidRPr="00881FB6">
        <w:rPr>
          <w:b/>
          <w:bCs/>
          <w:noProof/>
          <w:lang w:val="en-GB"/>
        </w:rPr>
        <w:t>Article 49</w:t>
      </w:r>
    </w:p>
    <w:p w:rsidR="00823BAB" w:rsidRPr="00823BAB" w:rsidRDefault="00823BAB" w:rsidP="00823BAB">
      <w:pPr>
        <w:rPr>
          <w:b/>
          <w:noProof/>
        </w:rPr>
      </w:pPr>
      <w:r>
        <w:rPr>
          <w:b/>
          <w:bCs/>
          <w:noProof/>
          <w:lang w:val="en-GB"/>
        </w:rPr>
        <w:t>(consideration of impact of variable component of remuneration on bank’s financial position)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A bank shall ensure that the variable remuneration policy does not reduce its ability to recapitalise as required.</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50</w:t>
      </w:r>
    </w:p>
    <w:p w:rsidR="00823BAB" w:rsidRPr="00823BAB" w:rsidRDefault="00823BAB" w:rsidP="00823BAB">
      <w:pPr>
        <w:rPr>
          <w:b/>
          <w:noProof/>
        </w:rPr>
      </w:pPr>
      <w:r>
        <w:rPr>
          <w:b/>
          <w:bCs/>
          <w:noProof/>
          <w:lang w:val="en-GB"/>
        </w:rPr>
        <w:t>(appropriate ratio between fixed and variable components of remuneration)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A bank shall ensure that the ratio between the fixed and variable components of remuneration for various employee categories is appropriately balanced. The balance between the fixed and variable components of remuneration is deemed appropriate if the total amount of remuneration is not highly dependent on the variable component of remuneration which, at the same time, represents an effective way to encourage employees to achieve or exceed planned work results. The fixed component of remuneration shall represent a sufficiently high proportion of total remuneration to allow the bank to implement a fully flexible policy on the variable component of remuneration, including the possibility to pay no variable component.</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51</w:t>
      </w:r>
    </w:p>
    <w:p w:rsidR="00823BAB" w:rsidRPr="00823BAB" w:rsidRDefault="00823BAB" w:rsidP="00823BAB">
      <w:pPr>
        <w:rPr>
          <w:b/>
          <w:noProof/>
        </w:rPr>
      </w:pPr>
      <w:r>
        <w:rPr>
          <w:b/>
          <w:bCs/>
          <w:noProof/>
          <w:lang w:val="en-GB"/>
        </w:rPr>
        <w:t>(assessment of employee performance for purpose of variable component of remuneration)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assess the performance of employees over a multi-year period, and shall ensure that:</w:t>
      </w:r>
    </w:p>
    <w:p w:rsidR="00823BAB" w:rsidRPr="00823BAB" w:rsidRDefault="00823BAB" w:rsidP="00823BAB">
      <w:pPr>
        <w:ind w:firstLine="360"/>
        <w:jc w:val="both"/>
        <w:rPr>
          <w:noProof/>
        </w:rPr>
      </w:pPr>
      <w:r>
        <w:rPr>
          <w:noProof/>
          <w:lang w:val="en-GB"/>
        </w:rPr>
        <w:t>1. the assessment at any particular time takes account of the employee’s long-term performance;</w:t>
      </w:r>
    </w:p>
    <w:p w:rsidR="00823BAB" w:rsidRPr="00823BAB" w:rsidRDefault="00823BAB" w:rsidP="00823BAB">
      <w:pPr>
        <w:ind w:firstLine="360"/>
        <w:jc w:val="both"/>
        <w:rPr>
          <w:noProof/>
        </w:rPr>
      </w:pPr>
      <w:r>
        <w:rPr>
          <w:noProof/>
          <w:lang w:val="en-GB"/>
        </w:rPr>
        <w:t>2. the payment of the variable component of remuneration is spread over a period that takes account of the bank’s business cycle and the bank’s risks.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In assessing employee performance as the basis for calculating the variable component of remuneration or total variable remuneration, the bank shall take account of the following:</w:t>
      </w:r>
    </w:p>
    <w:p w:rsidR="00823BAB" w:rsidRPr="00823BAB" w:rsidRDefault="00823BAB" w:rsidP="00823BAB">
      <w:pPr>
        <w:ind w:firstLine="360"/>
        <w:jc w:val="both"/>
        <w:rPr>
          <w:noProof/>
        </w:rPr>
      </w:pPr>
      <w:r>
        <w:rPr>
          <w:noProof/>
          <w:lang w:val="en-GB"/>
        </w:rPr>
        <w:t>1. alignments for all types of the bank’s risks, and</w:t>
      </w:r>
    </w:p>
    <w:p w:rsidR="00823BAB" w:rsidRPr="00823BAB" w:rsidRDefault="00823BAB" w:rsidP="00823BAB">
      <w:pPr>
        <w:ind w:firstLine="360"/>
        <w:jc w:val="both"/>
        <w:rPr>
          <w:noProof/>
        </w:rPr>
      </w:pPr>
      <w:r>
        <w:rPr>
          <w:noProof/>
          <w:lang w:val="en-GB"/>
        </w:rPr>
        <w:t>2. the costs of capital and liquidity needs.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The bank shall also take account of the alignments for all types of the bank’s risks in the final allocation of the variable component of remuneration across the bank’s organisational units. </w:t>
      </w:r>
    </w:p>
    <w:p w:rsidR="00823BAB" w:rsidRPr="00823BAB" w:rsidRDefault="00823BAB" w:rsidP="00823BAB">
      <w:pPr>
        <w:rPr>
          <w:b/>
          <w:noProof/>
        </w:rPr>
      </w:pPr>
    </w:p>
    <w:p w:rsidR="00823BAB" w:rsidRPr="00823BAB" w:rsidRDefault="00823BAB" w:rsidP="00823BAB">
      <w:pPr>
        <w:pStyle w:val="Odstavekseznama"/>
        <w:numPr>
          <w:ilvl w:val="0"/>
          <w:numId w:val="12"/>
        </w:numPr>
        <w:rPr>
          <w:b/>
          <w:noProof/>
        </w:rPr>
      </w:pPr>
      <w:r>
        <w:rPr>
          <w:b/>
          <w:bCs/>
          <w:noProof/>
          <w:lang w:val="en-GB"/>
        </w:rPr>
        <w:t>Article 52</w:t>
      </w:r>
    </w:p>
    <w:p w:rsidR="00823BAB" w:rsidRPr="00823BAB" w:rsidRDefault="00823BAB" w:rsidP="00823BAB">
      <w:pPr>
        <w:rPr>
          <w:b/>
          <w:noProof/>
        </w:rPr>
      </w:pPr>
      <w:r>
        <w:rPr>
          <w:b/>
          <w:bCs/>
          <w:noProof/>
          <w:lang w:val="en-GB"/>
        </w:rPr>
        <w:t>(pensions policy)</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(1) A bank shall ensure that, in the event of it granting employees discretionary pension benefits, the pensions policy is in accordance with the bank’s business strategy, objectives, values and long-term interests.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When an employee’s employment with the bank is terminated prior to retirement, the payment of remuneration from discretionary pension benefits shall be deferred by the bank for a period of five years from the date that the employment was terminated. When an employee meets the conditions for retirement during his/her full-time employment with the bank, the bank shall pay the remuneration from discretionary pension benefits, following a retention period of five years from the date of retirement.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(3) Discretionary pension benefits may only be paid in the form of ordinary and preference shares, share-linked instruments, or equivalent non-cash instruments when the bank’s shares are not listed on a regulated market, whereby the recipient may only transfer the shares or instruments with the bank’s permission, which may not be issued for at least two years following acquisition.</w:t>
      </w:r>
    </w:p>
    <w:p w:rsidR="00823BAB" w:rsidRPr="00823BAB" w:rsidRDefault="00823BAB" w:rsidP="00823BAB">
      <w:pPr>
        <w:rPr>
          <w:b/>
          <w:noProof/>
        </w:rPr>
      </w:pPr>
    </w:p>
    <w:p w:rsidR="00823BAB" w:rsidRPr="00823BAB" w:rsidRDefault="00823BAB" w:rsidP="00823BAB">
      <w:pPr>
        <w:pStyle w:val="Odstavekseznama"/>
        <w:numPr>
          <w:ilvl w:val="0"/>
          <w:numId w:val="12"/>
        </w:numPr>
        <w:rPr>
          <w:b/>
          <w:noProof/>
        </w:rPr>
      </w:pPr>
      <w:r>
        <w:rPr>
          <w:b/>
          <w:bCs/>
          <w:noProof/>
          <w:lang w:val="en-GB"/>
        </w:rPr>
        <w:t>Article 53</w:t>
      </w:r>
    </w:p>
    <w:p w:rsidR="00823BAB" w:rsidRPr="00823BAB" w:rsidRDefault="00823BAB" w:rsidP="00823BAB">
      <w:pPr>
        <w:rPr>
          <w:b/>
          <w:noProof/>
        </w:rPr>
      </w:pPr>
      <w:r>
        <w:rPr>
          <w:b/>
          <w:bCs/>
          <w:noProof/>
          <w:lang w:val="en-GB"/>
        </w:rPr>
        <w:t>(additional rules with regard to remuneration of members of management board and supervisory board)</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The supervisory board shall decide on the remuneration of members of the management board, taking account of the bank’s remuneration policy referred to in the first paragraph of Article 169 of the ZBan-2 in so doing.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rPr>
          <w:b/>
          <w:noProof/>
        </w:rPr>
      </w:pPr>
    </w:p>
    <w:p w:rsidR="00823BAB" w:rsidRPr="00823BAB" w:rsidRDefault="00823BAB" w:rsidP="00823BAB">
      <w:pPr>
        <w:rPr>
          <w:b/>
          <w:noProof/>
        </w:rPr>
      </w:pPr>
      <w:r>
        <w:rPr>
          <w:b/>
          <w:bCs/>
          <w:noProof/>
          <w:lang w:val="en-GB"/>
        </w:rPr>
        <w:t xml:space="preserve">3. FUNCTIONING OF </w:t>
      </w:r>
      <w:r w:rsidR="003E2585">
        <w:rPr>
          <w:b/>
          <w:bCs/>
          <w:noProof/>
          <w:lang w:val="en-GB"/>
        </w:rPr>
        <w:t>MANAGEMENT BODY</w:t>
      </w:r>
      <w:r>
        <w:rPr>
          <w:b/>
          <w:bCs/>
          <w:noProof/>
          <w:lang w:val="en-GB"/>
        </w:rPr>
        <w:t xml:space="preserve"> AND ITS COMMITTEES, CONDUCT OF ITS MEMBERS IN ACCORDANCE WITH RELEVANT STANDARDS OF PROFESSIONAL DILIGENCE AND ETHICAL STANDARDS, AND PREVENTION OF CONFLICTS OF INTEREST</w:t>
      </w:r>
    </w:p>
    <w:p w:rsidR="00823BAB" w:rsidRPr="00823BAB" w:rsidRDefault="00823BAB" w:rsidP="00823BAB">
      <w:pPr>
        <w:jc w:val="right"/>
        <w:rPr>
          <w:noProof/>
        </w:rPr>
      </w:pPr>
    </w:p>
    <w:p w:rsidR="00823BAB" w:rsidRPr="00823BAB" w:rsidRDefault="00823BAB" w:rsidP="00823BAB">
      <w:pPr>
        <w:rPr>
          <w:b/>
          <w:noProof/>
        </w:rPr>
      </w:pPr>
      <w:r>
        <w:rPr>
          <w:b/>
          <w:bCs/>
          <w:noProof/>
          <w:lang w:val="en-GB"/>
        </w:rPr>
        <w:t>3.1 (standards of professional diligence and ethical standards at bank level)</w:t>
      </w:r>
    </w:p>
    <w:p w:rsidR="00823BAB" w:rsidRPr="00823BAB" w:rsidRDefault="00823BAB" w:rsidP="00823BAB">
      <w:pPr>
        <w:pStyle w:val="Odstavekseznama"/>
        <w:ind w:left="360"/>
        <w:jc w:val="both"/>
        <w:rPr>
          <w:b/>
          <w:noProof/>
        </w:rPr>
      </w:pPr>
    </w:p>
    <w:p w:rsidR="00823BAB" w:rsidRPr="00823BAB" w:rsidRDefault="00823BAB" w:rsidP="00823BAB">
      <w:pPr>
        <w:pStyle w:val="Odstavekseznama"/>
        <w:numPr>
          <w:ilvl w:val="0"/>
          <w:numId w:val="12"/>
        </w:numPr>
        <w:rPr>
          <w:b/>
          <w:noProof/>
        </w:rPr>
      </w:pPr>
      <w:r>
        <w:rPr>
          <w:b/>
          <w:bCs/>
          <w:noProof/>
          <w:lang w:val="en-GB"/>
        </w:rPr>
        <w:t>Article 54</w:t>
      </w:r>
    </w:p>
    <w:p w:rsidR="00823BAB" w:rsidRPr="00823BAB" w:rsidRDefault="00823BAB" w:rsidP="00823BAB">
      <w:pPr>
        <w:rPr>
          <w:b/>
          <w:noProof/>
        </w:rPr>
      </w:pPr>
      <w:r>
        <w:rPr>
          <w:b/>
          <w:bCs/>
          <w:noProof/>
          <w:lang w:val="en-GB"/>
        </w:rPr>
        <w:t>(realisation of corporate values)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In their conduct members of the </w:t>
      </w:r>
      <w:r w:rsidR="003E2585">
        <w:rPr>
          <w:noProof/>
          <w:lang w:val="en-GB"/>
        </w:rPr>
        <w:t>Management body</w:t>
      </w:r>
      <w:r>
        <w:rPr>
          <w:noProof/>
          <w:lang w:val="en-GB"/>
        </w:rPr>
        <w:t xml:space="preserve"> shall uphold the adopted corporate values referred to in point 1 of the first paragraph of Article 8 of this regulation, and shall meet the highest standards of professional diligence and ethical standards, including the prevention of circumstances that entail or could lead to any kind of conflict of interest.</w:t>
      </w:r>
    </w:p>
    <w:p w:rsidR="00823BAB" w:rsidRPr="00823BAB" w:rsidRDefault="00823BAB" w:rsidP="00823BAB">
      <w:pPr>
        <w:ind w:firstLine="360"/>
        <w:jc w:val="both"/>
        <w:rPr>
          <w:noProof/>
        </w:rPr>
      </w:pPr>
    </w:p>
    <w:p w:rsidR="00823BAB" w:rsidRDefault="00823BAB" w:rsidP="00823BAB">
      <w:pPr>
        <w:ind w:firstLine="360"/>
        <w:jc w:val="both"/>
        <w:rPr>
          <w:noProof/>
          <w:lang w:val="en-GB"/>
        </w:rPr>
      </w:pPr>
      <w:r>
        <w:rPr>
          <w:noProof/>
          <w:lang w:val="en-GB"/>
        </w:rPr>
        <w:t xml:space="preserve">(2) Through their everyday example members of the </w:t>
      </w:r>
      <w:r w:rsidR="003E2585">
        <w:rPr>
          <w:noProof/>
          <w:lang w:val="en-GB"/>
        </w:rPr>
        <w:t>Management body</w:t>
      </w:r>
      <w:r>
        <w:rPr>
          <w:noProof/>
          <w:lang w:val="en-GB"/>
        </w:rPr>
        <w:t xml:space="preserve"> shall promote a high culture of risk management referred to in point 2 of the first paragraph of Article 8 of this regulation that gives the highest priority to the fair, prudent and honest pursuit of the bank’s business activities.</w:t>
      </w:r>
    </w:p>
    <w:p w:rsidR="00A01632" w:rsidRDefault="00A01632" w:rsidP="00823BAB">
      <w:pPr>
        <w:ind w:firstLine="360"/>
        <w:jc w:val="both"/>
        <w:rPr>
          <w:noProof/>
          <w:lang w:val="en-GB"/>
        </w:rPr>
      </w:pPr>
    </w:p>
    <w:p w:rsidR="00572A41" w:rsidRPr="00823BAB" w:rsidRDefault="00572A41" w:rsidP="00823BAB">
      <w:pPr>
        <w:ind w:firstLine="360"/>
        <w:jc w:val="both"/>
        <w:rPr>
          <w:noProof/>
        </w:rPr>
      </w:pPr>
    </w:p>
    <w:p w:rsidR="00823BAB" w:rsidRPr="00823BAB" w:rsidRDefault="00823BAB" w:rsidP="00823BAB">
      <w:pPr>
        <w:rPr>
          <w:b/>
          <w:noProof/>
        </w:rPr>
      </w:pPr>
      <w:r>
        <w:rPr>
          <w:b/>
          <w:bCs/>
          <w:noProof/>
          <w:lang w:val="en-GB"/>
        </w:rPr>
        <w:t>3.2 Fundamental rules of professional diligence and ethics</w:t>
      </w:r>
    </w:p>
    <w:p w:rsidR="00823BAB" w:rsidRPr="00823BAB" w:rsidRDefault="00823BAB" w:rsidP="00823BAB">
      <w:pPr>
        <w:pStyle w:val="Odstavekseznama"/>
        <w:ind w:left="709"/>
        <w:jc w:val="both"/>
        <w:rPr>
          <w:noProof/>
        </w:rPr>
      </w:pPr>
    </w:p>
    <w:p w:rsidR="00823BAB" w:rsidRPr="00823BAB" w:rsidRDefault="00823BAB" w:rsidP="00823BAB">
      <w:pPr>
        <w:pStyle w:val="Odstavekseznama"/>
        <w:numPr>
          <w:ilvl w:val="0"/>
          <w:numId w:val="12"/>
        </w:numPr>
        <w:rPr>
          <w:b/>
          <w:noProof/>
        </w:rPr>
      </w:pPr>
      <w:r>
        <w:rPr>
          <w:b/>
          <w:bCs/>
          <w:noProof/>
          <w:lang w:val="en-GB"/>
        </w:rPr>
        <w:t>Article 55</w:t>
      </w:r>
    </w:p>
    <w:p w:rsidR="00823BAB" w:rsidRPr="00823BAB" w:rsidRDefault="00823BAB" w:rsidP="00823BAB">
      <w:pPr>
        <w:rPr>
          <w:b/>
          <w:noProof/>
        </w:rPr>
      </w:pPr>
      <w:r>
        <w:rPr>
          <w:b/>
          <w:bCs/>
          <w:noProof/>
          <w:lang w:val="en-GB"/>
        </w:rPr>
        <w:t xml:space="preserve">(duty of </w:t>
      </w:r>
      <w:r w:rsidR="00D5008C">
        <w:rPr>
          <w:b/>
          <w:bCs/>
          <w:noProof/>
          <w:lang w:val="en-GB"/>
        </w:rPr>
        <w:t xml:space="preserve">care </w:t>
      </w:r>
      <w:r>
        <w:rPr>
          <w:b/>
          <w:bCs/>
          <w:noProof/>
          <w:lang w:val="en-GB"/>
        </w:rPr>
        <w:t xml:space="preserve">and </w:t>
      </w:r>
      <w:r w:rsidR="00D5008C">
        <w:rPr>
          <w:b/>
          <w:bCs/>
          <w:noProof/>
          <w:lang w:val="en-GB"/>
        </w:rPr>
        <w:t xml:space="preserve">duty of </w:t>
      </w:r>
      <w:r>
        <w:rPr>
          <w:b/>
          <w:bCs/>
          <w:noProof/>
          <w:lang w:val="en-GB"/>
        </w:rPr>
        <w:t>loyal</w:t>
      </w:r>
      <w:r w:rsidR="00D5008C">
        <w:rPr>
          <w:b/>
          <w:bCs/>
          <w:noProof/>
          <w:lang w:val="en-GB"/>
        </w:rPr>
        <w:t>ty</w:t>
      </w:r>
      <w:r>
        <w:rPr>
          <w:b/>
          <w:bCs/>
          <w:noProof/>
          <w:lang w:val="en-GB"/>
        </w:rPr>
        <w:t>)</w:t>
      </w:r>
    </w:p>
    <w:p w:rsidR="00823BAB" w:rsidRPr="00823BAB" w:rsidRDefault="00823BAB" w:rsidP="00823BAB">
      <w:pPr>
        <w:jc w:val="both"/>
        <w:rPr>
          <w:noProof/>
          <w:color w:val="000000"/>
        </w:rPr>
      </w:pPr>
    </w:p>
    <w:p w:rsidR="00823BAB" w:rsidRPr="00823BAB" w:rsidRDefault="00823BAB" w:rsidP="00823BAB">
      <w:pPr>
        <w:ind w:firstLine="360"/>
        <w:jc w:val="both"/>
        <w:rPr>
          <w:noProof/>
        </w:rPr>
      </w:pPr>
      <w:r>
        <w:rPr>
          <w:noProof/>
          <w:lang w:val="en-GB"/>
        </w:rPr>
        <w:t xml:space="preserve">(1) For the purpose of upholding the standards of professional diligence and ethical standards, members of the </w:t>
      </w:r>
      <w:r w:rsidR="003E2585">
        <w:rPr>
          <w:noProof/>
          <w:lang w:val="en-GB"/>
        </w:rPr>
        <w:t>Management body</w:t>
      </w:r>
      <w:r>
        <w:rPr>
          <w:noProof/>
          <w:lang w:val="en-GB"/>
        </w:rPr>
        <w:t xml:space="preserve"> shall exercise their duty of </w:t>
      </w:r>
      <w:r w:rsidR="00D5008C">
        <w:rPr>
          <w:noProof/>
          <w:lang w:val="en-GB"/>
        </w:rPr>
        <w:t>care</w:t>
      </w:r>
      <w:r>
        <w:rPr>
          <w:noProof/>
          <w:lang w:val="en-GB"/>
        </w:rPr>
        <w:t xml:space="preserve"> and duty of loyal</w:t>
      </w:r>
      <w:r w:rsidR="00D5008C">
        <w:rPr>
          <w:noProof/>
          <w:lang w:val="en-GB"/>
        </w:rPr>
        <w:t>ty</w:t>
      </w:r>
      <w:r>
        <w:rPr>
          <w:noProof/>
          <w:lang w:val="en-GB"/>
        </w:rPr>
        <w:t xml:space="preserve"> as of the moment that they assume their functions. The duty of </w:t>
      </w:r>
      <w:r w:rsidR="00D5008C">
        <w:rPr>
          <w:noProof/>
          <w:lang w:val="en-GB"/>
        </w:rPr>
        <w:t>care</w:t>
      </w:r>
      <w:r>
        <w:rPr>
          <w:noProof/>
          <w:lang w:val="en-GB"/>
        </w:rPr>
        <w:t xml:space="preserve"> is the duty of a member of the </w:t>
      </w:r>
      <w:r w:rsidR="003E2585">
        <w:rPr>
          <w:noProof/>
          <w:lang w:val="en-GB"/>
        </w:rPr>
        <w:t>Management body</w:t>
      </w:r>
      <w:r>
        <w:rPr>
          <w:noProof/>
          <w:lang w:val="en-GB"/>
        </w:rPr>
        <w:t xml:space="preserve"> to act as prudently when taking decisions in connection with the bank as the responsible person would act when taking decisions in his/her own affairs, taking account of all available information in so doing. The duty of </w:t>
      </w:r>
      <w:r w:rsidR="00D5008C">
        <w:rPr>
          <w:noProof/>
          <w:lang w:val="en-GB"/>
        </w:rPr>
        <w:t>loyalty</w:t>
      </w:r>
      <w:r>
        <w:rPr>
          <w:noProof/>
          <w:lang w:val="en-GB"/>
        </w:rPr>
        <w:t xml:space="preserve"> is the duty of a member of the </w:t>
      </w:r>
      <w:r w:rsidR="003E2585">
        <w:rPr>
          <w:noProof/>
          <w:lang w:val="en-GB"/>
        </w:rPr>
        <w:t>Management body</w:t>
      </w:r>
      <w:r>
        <w:rPr>
          <w:noProof/>
          <w:lang w:val="en-GB"/>
        </w:rPr>
        <w:t xml:space="preserve"> to always act in good faith and in accordance with the bank’s interests when exercising his/her powers and responsibilities, and in so doing never to act in his/her private interests, the interests of a third party, or the interests of a group of other individuals to the detriment of the bank or its shareholders.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The duties referred to in the first paragraph of this article shall be exercised by members of the </w:t>
      </w:r>
      <w:r w:rsidR="003E2585">
        <w:rPr>
          <w:noProof/>
          <w:lang w:val="en-GB"/>
        </w:rPr>
        <w:t>Management body</w:t>
      </w:r>
      <w:r>
        <w:rPr>
          <w:noProof/>
          <w:lang w:val="en-GB"/>
        </w:rPr>
        <w:t xml:space="preserve"> primarily by means of participation in the form of constructive criticism in the discussion of the bank’s most important affairs for the purpose of ceaselessly pursuing the bank’s best interests. In so doing:</w:t>
      </w:r>
    </w:p>
    <w:p w:rsidR="00823BAB" w:rsidRPr="00823BAB" w:rsidRDefault="00823BAB" w:rsidP="00823BAB">
      <w:pPr>
        <w:ind w:firstLine="360"/>
        <w:jc w:val="both"/>
        <w:rPr>
          <w:noProof/>
        </w:rPr>
      </w:pPr>
      <w:r>
        <w:rPr>
          <w:noProof/>
          <w:lang w:val="en-GB"/>
        </w:rPr>
        <w:t>1. members of the supervisory board should be actively involved in the supervision of the actions of the management board and the bank’s operations, on the basis of knowledge and understanding of the bank’s operations and financial data, and the bank’s objectives, strategies and policies referred to in the first paragraph of Article 4 of this regulation, and having regard for the regulations, standards and requirements of the Bank of Slovenia;</w:t>
      </w:r>
    </w:p>
    <w:p w:rsidR="00823BAB" w:rsidRPr="00823BAB" w:rsidRDefault="00823BAB" w:rsidP="00823BAB">
      <w:pPr>
        <w:ind w:firstLine="360"/>
        <w:jc w:val="both"/>
        <w:rPr>
          <w:noProof/>
        </w:rPr>
      </w:pPr>
      <w:r>
        <w:rPr>
          <w:noProof/>
          <w:lang w:val="en-GB"/>
        </w:rPr>
        <w:t xml:space="preserve">2. members of the management board should be actively involved in the bank’s operations and the bank’s risk management, on the basis of conduct in accordance with the bank’s objectives, strategies and policies.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(3) Members of the supervisory board shall appropriately demonstrate the knowledge and understanding of the areas referred to in point 1 of the second paragraph of this article at sessions of the supervisory board, sessions of the supervisory board’s committees on which they sit, and at meetings with the Bank of Slovenia (hereinafter: meetings). The knowledge and understanding of these areas is deemed appropriate if the member of the supervisory board is actively involved in the meetings and participates in discussions by expressing his/her independent views and arguments. This conduct on the part of members of the supervisory board shall also be evident from the audio recordings referred to in point 2 of the fourth paragraph of Article 56 of this regulation.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(4) Any member of the supervisory board who on any grounds whatsoever is prevented from performing his/her function of supervising the actions of the management board or from exercising his/her powers (e.g. conflicts of interest on the part of the member in question, undue pressures on his/her independent decision-making, long-term passivity and inaction on the part of other members of the supervisory board) and who has exercised all mechanisms provided for by applicable regulations, shall inform the Bank of Slovenia of this situation.</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56</w:t>
      </w:r>
    </w:p>
    <w:p w:rsidR="00823BAB" w:rsidRPr="00823BAB" w:rsidRDefault="00823BAB" w:rsidP="00823BAB">
      <w:pPr>
        <w:rPr>
          <w:b/>
          <w:noProof/>
        </w:rPr>
      </w:pPr>
      <w:r>
        <w:rPr>
          <w:b/>
          <w:bCs/>
          <w:noProof/>
          <w:lang w:val="en-GB"/>
        </w:rPr>
        <w:t>(responsible conduct)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provide for the clear, documented definition of the responsibilities of individual members of the </w:t>
      </w:r>
      <w:r w:rsidR="003E2585">
        <w:rPr>
          <w:noProof/>
          <w:lang w:val="en-GB"/>
        </w:rPr>
        <w:t>Management body</w:t>
      </w:r>
      <w:r>
        <w:rPr>
          <w:noProof/>
          <w:lang w:val="en-GB"/>
        </w:rPr>
        <w:t xml:space="preserve"> in connection with the performance of their functions, including the corresponding powers, duties, expectations, tasks and work procedures.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Members of the </w:t>
      </w:r>
      <w:r w:rsidR="003E2585">
        <w:rPr>
          <w:noProof/>
          <w:lang w:val="en-GB"/>
        </w:rPr>
        <w:t>Management body</w:t>
      </w:r>
      <w:r>
        <w:rPr>
          <w:noProof/>
          <w:lang w:val="en-GB"/>
        </w:rPr>
        <w:t xml:space="preserve"> shall perform their functions responsibly, cooperating closely in so doing for the purpose of realising the bank’s best interest. Members of the </w:t>
      </w:r>
      <w:r w:rsidR="003E2585">
        <w:rPr>
          <w:noProof/>
          <w:lang w:val="en-GB"/>
        </w:rPr>
        <w:t>Management body</w:t>
      </w:r>
      <w:r>
        <w:rPr>
          <w:noProof/>
          <w:lang w:val="en-GB"/>
        </w:rPr>
        <w:t xml:space="preserve"> shall strive to achieve consensus when taking decisions of greatest importance to the bank that could have a material impact on its operational, financial or legal position.</w:t>
      </w:r>
    </w:p>
    <w:p w:rsidR="00823BAB" w:rsidRPr="00823BAB" w:rsidRDefault="00823BAB" w:rsidP="00823BAB">
      <w:pPr>
        <w:ind w:firstLine="360"/>
        <w:jc w:val="both"/>
        <w:rPr>
          <w:noProof/>
        </w:rPr>
      </w:pPr>
    </w:p>
    <w:p w:rsidR="00823BAB" w:rsidRPr="00823BAB" w:rsidRDefault="00823BAB" w:rsidP="00823BAB">
      <w:pPr>
        <w:ind w:firstLine="360"/>
        <w:jc w:val="both"/>
        <w:rPr>
          <w:noProof/>
          <w:highlight w:val="yellow"/>
        </w:rPr>
      </w:pPr>
      <w:r>
        <w:rPr>
          <w:noProof/>
          <w:lang w:val="en-GB"/>
        </w:rPr>
        <w:t xml:space="preserve">(3) Responsible conduct on the part of the president of the management board and the other members of the management board shall include their duty of documented decision-making and approval of important business decisions and decisions in connection with risk management that are within the scope of the powers of the management board, without formally or informally transferring this responsibility to lower hierarchical levels.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(4) For the purpose of monitoring the realisation of responsible conduct on the part of members of the </w:t>
      </w:r>
      <w:r w:rsidR="003E2585">
        <w:rPr>
          <w:noProof/>
          <w:lang w:val="en-GB"/>
        </w:rPr>
        <w:t>Management body</w:t>
      </w:r>
      <w:r>
        <w:rPr>
          <w:noProof/>
          <w:lang w:val="en-GB"/>
        </w:rPr>
        <w:t xml:space="preserve">, the bank shall provide for: </w:t>
      </w:r>
    </w:p>
    <w:p w:rsidR="00823BAB" w:rsidRPr="00823BAB" w:rsidRDefault="00823BAB" w:rsidP="00823BAB">
      <w:pPr>
        <w:ind w:firstLine="360"/>
        <w:jc w:val="both"/>
        <w:rPr>
          <w:noProof/>
        </w:rPr>
      </w:pPr>
      <w:r>
        <w:rPr>
          <w:noProof/>
          <w:lang w:val="en-GB"/>
        </w:rPr>
        <w:t>1. minutes of sessions of the management board, the supervisory board and their committees;</w:t>
      </w:r>
    </w:p>
    <w:p w:rsidR="00823BAB" w:rsidRPr="00823BAB" w:rsidRDefault="00823BAB" w:rsidP="00823BAB">
      <w:pPr>
        <w:autoSpaceDE w:val="0"/>
        <w:autoSpaceDN w:val="0"/>
        <w:adjustRightInd w:val="0"/>
        <w:ind w:left="360"/>
        <w:jc w:val="both"/>
        <w:rPr>
          <w:noProof/>
        </w:rPr>
      </w:pPr>
      <w:r>
        <w:rPr>
          <w:noProof/>
          <w:lang w:val="en-GB"/>
        </w:rPr>
        <w:t>2. an audio recording of sessions of the supervisory board and transcripts of the audio recording of sessions of the supervisory board;</w:t>
      </w:r>
    </w:p>
    <w:p w:rsidR="00823BAB" w:rsidRPr="00823BAB" w:rsidRDefault="00823BAB" w:rsidP="00823BAB">
      <w:pPr>
        <w:ind w:firstLine="360"/>
        <w:jc w:val="both"/>
        <w:rPr>
          <w:noProof/>
        </w:rPr>
      </w:pPr>
      <w:r>
        <w:rPr>
          <w:noProof/>
          <w:lang w:val="en-GB"/>
        </w:rPr>
        <w:t xml:space="preserve">3. minutes of sessions and meetings of other committees and commissions on which members of the </w:t>
      </w:r>
      <w:r w:rsidR="003E2585">
        <w:rPr>
          <w:noProof/>
          <w:lang w:val="en-GB"/>
        </w:rPr>
        <w:t>Management body</w:t>
      </w:r>
      <w:r>
        <w:rPr>
          <w:noProof/>
          <w:lang w:val="en-GB"/>
        </w:rPr>
        <w:t xml:space="preserve"> sit.</w:t>
      </w:r>
    </w:p>
    <w:p w:rsidR="00823BAB" w:rsidRPr="00823BAB" w:rsidRDefault="00823BAB" w:rsidP="00823BAB">
      <w:pPr>
        <w:jc w:val="both"/>
        <w:rPr>
          <w:noProof/>
        </w:rPr>
      </w:pPr>
    </w:p>
    <w:p w:rsidR="00823BAB" w:rsidRPr="00823BAB" w:rsidRDefault="00823BAB" w:rsidP="00823BAB">
      <w:pPr>
        <w:jc w:val="both"/>
        <w:rPr>
          <w:noProof/>
        </w:rPr>
      </w:pPr>
      <w:r>
        <w:rPr>
          <w:noProof/>
          <w:lang w:val="en-GB"/>
        </w:rPr>
        <w:t xml:space="preserve">The documents referred to in point 2 of the previous paragraph shall be stored for 15 years. </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57</w:t>
      </w:r>
    </w:p>
    <w:p w:rsidR="00823BAB" w:rsidRPr="00823BAB" w:rsidRDefault="00823BAB" w:rsidP="00823BAB">
      <w:pPr>
        <w:rPr>
          <w:b/>
          <w:noProof/>
        </w:rPr>
      </w:pPr>
      <w:r>
        <w:rPr>
          <w:b/>
          <w:bCs/>
          <w:noProof/>
          <w:lang w:val="en-GB"/>
        </w:rPr>
        <w:t>(knowledge, experience and independent judgement in decision-making)</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Members of the </w:t>
      </w:r>
      <w:r w:rsidR="003E2585">
        <w:rPr>
          <w:noProof/>
          <w:lang w:val="en-GB"/>
        </w:rPr>
        <w:t>Management body</w:t>
      </w:r>
      <w:r>
        <w:rPr>
          <w:noProof/>
          <w:lang w:val="en-GB"/>
        </w:rPr>
        <w:t xml:space="preserve"> shall have the requisite knowledge and experience, including personal integrity, to independently exercise their judgement on a basis of constructive criticism in taking decisions in the bank’s best interest. In so doing members of the </w:t>
      </w:r>
      <w:r w:rsidR="003E2585">
        <w:rPr>
          <w:noProof/>
          <w:lang w:val="en-GB"/>
        </w:rPr>
        <w:t>Management body</w:t>
      </w:r>
      <w:r>
        <w:rPr>
          <w:noProof/>
          <w:lang w:val="en-GB"/>
        </w:rPr>
        <w:t xml:space="preserve"> shall take account of all available information and other relevant factors that could have an impact on the decisions.</w:t>
      </w:r>
    </w:p>
    <w:p w:rsidR="00823BAB" w:rsidRPr="00823BAB" w:rsidRDefault="00823BAB" w:rsidP="00823BAB">
      <w:pPr>
        <w:pStyle w:val="Default"/>
        <w:jc w:val="both"/>
        <w:rPr>
          <w:noProof/>
          <w:sz w:val="22"/>
          <w:szCs w:val="22"/>
        </w:rPr>
      </w:pPr>
    </w:p>
    <w:p w:rsidR="00823BAB" w:rsidRPr="00823BAB" w:rsidRDefault="00823BAB" w:rsidP="00823BAB">
      <w:pPr>
        <w:ind w:firstLine="360"/>
        <w:jc w:val="both"/>
        <w:rPr>
          <w:noProof/>
        </w:rPr>
      </w:pPr>
      <w:r>
        <w:rPr>
          <w:noProof/>
          <w:lang w:val="en-GB"/>
        </w:rPr>
        <w:t xml:space="preserve">(2) The knowledge and experience of a member of the </w:t>
      </w:r>
      <w:r w:rsidR="003E2585">
        <w:rPr>
          <w:noProof/>
          <w:lang w:val="en-GB"/>
        </w:rPr>
        <w:t>Management body</w:t>
      </w:r>
      <w:r>
        <w:rPr>
          <w:noProof/>
          <w:lang w:val="en-GB"/>
        </w:rPr>
        <w:t xml:space="preserve"> referred to in the first paragraph of this article is deemed requisite if it includes:</w:t>
      </w:r>
    </w:p>
    <w:p w:rsidR="00823BAB" w:rsidRPr="00823BAB" w:rsidRDefault="00823BAB" w:rsidP="00823BAB">
      <w:pPr>
        <w:ind w:firstLine="360"/>
        <w:jc w:val="both"/>
        <w:rPr>
          <w:noProof/>
        </w:rPr>
      </w:pPr>
      <w:r>
        <w:rPr>
          <w:noProof/>
          <w:lang w:val="en-GB"/>
        </w:rPr>
        <w:t>1. knowledge of the area of banking and financial services, or other relevant areas (e.g. economics, law, administration and financial regulations, mathematics, statistics);</w:t>
      </w:r>
    </w:p>
    <w:p w:rsidR="00823BAB" w:rsidRPr="00823BAB" w:rsidRDefault="00823BAB" w:rsidP="00823BAB">
      <w:pPr>
        <w:ind w:firstLine="360"/>
        <w:jc w:val="both"/>
        <w:rPr>
          <w:noProof/>
        </w:rPr>
      </w:pPr>
      <w:r>
        <w:rPr>
          <w:noProof/>
          <w:lang w:val="en-GB"/>
        </w:rPr>
        <w:t>2. experience acquired in past business-related activity, particularly in the areas of:</w:t>
      </w:r>
    </w:p>
    <w:p w:rsidR="00823BAB" w:rsidRPr="00823BAB" w:rsidRDefault="00823BAB" w:rsidP="00823BAB">
      <w:pPr>
        <w:pStyle w:val="Odstavekseznama"/>
        <w:numPr>
          <w:ilvl w:val="0"/>
          <w:numId w:val="11"/>
        </w:numPr>
        <w:jc w:val="both"/>
        <w:rPr>
          <w:noProof/>
        </w:rPr>
      </w:pPr>
      <w:r>
        <w:rPr>
          <w:noProof/>
          <w:lang w:val="en-GB"/>
        </w:rPr>
        <w:t>financial markets,</w:t>
      </w:r>
    </w:p>
    <w:p w:rsidR="00823BAB" w:rsidRPr="00823BAB" w:rsidRDefault="00823BAB" w:rsidP="00823BAB">
      <w:pPr>
        <w:pStyle w:val="Odstavekseznama"/>
        <w:numPr>
          <w:ilvl w:val="0"/>
          <w:numId w:val="11"/>
        </w:numPr>
        <w:jc w:val="both"/>
        <w:rPr>
          <w:noProof/>
        </w:rPr>
      </w:pPr>
      <w:r>
        <w:rPr>
          <w:noProof/>
          <w:lang w:val="en-GB"/>
        </w:rPr>
        <w:t>banking legislation and regulations,</w:t>
      </w:r>
    </w:p>
    <w:p w:rsidR="00823BAB" w:rsidRPr="00823BAB" w:rsidRDefault="00823BAB" w:rsidP="00823BAB">
      <w:pPr>
        <w:pStyle w:val="Odstavekseznama"/>
        <w:numPr>
          <w:ilvl w:val="0"/>
          <w:numId w:val="11"/>
        </w:numPr>
        <w:jc w:val="both"/>
        <w:rPr>
          <w:noProof/>
        </w:rPr>
      </w:pPr>
      <w:r>
        <w:rPr>
          <w:noProof/>
          <w:lang w:val="en-GB"/>
        </w:rPr>
        <w:t>strategic planning, and the understanding and implementation of a bank’s business strategy or business plan,</w:t>
      </w:r>
    </w:p>
    <w:p w:rsidR="00823BAB" w:rsidRPr="00823BAB" w:rsidRDefault="00823BAB" w:rsidP="00823BAB">
      <w:pPr>
        <w:pStyle w:val="Odstavekseznama"/>
        <w:numPr>
          <w:ilvl w:val="0"/>
          <w:numId w:val="11"/>
        </w:numPr>
        <w:jc w:val="both"/>
        <w:rPr>
          <w:noProof/>
        </w:rPr>
      </w:pPr>
      <w:r>
        <w:rPr>
          <w:noProof/>
          <w:lang w:val="en-GB"/>
        </w:rPr>
        <w:t>risk management,</w:t>
      </w:r>
    </w:p>
    <w:p w:rsidR="00823BAB" w:rsidRPr="00823BAB" w:rsidRDefault="00823BAB" w:rsidP="00823BAB">
      <w:pPr>
        <w:pStyle w:val="Odstavekseznama"/>
        <w:numPr>
          <w:ilvl w:val="0"/>
          <w:numId w:val="11"/>
        </w:numPr>
        <w:jc w:val="both"/>
        <w:rPr>
          <w:noProof/>
        </w:rPr>
      </w:pPr>
      <w:r>
        <w:rPr>
          <w:noProof/>
          <w:lang w:val="en-GB"/>
        </w:rPr>
        <w:t>assessment of the effectiveness of a bank’s internal governance arrangements and establishment of effective internal control mechanisms,</w:t>
      </w:r>
    </w:p>
    <w:p w:rsidR="00823BAB" w:rsidRPr="00823BAB" w:rsidRDefault="00823BAB" w:rsidP="00823BAB">
      <w:pPr>
        <w:pStyle w:val="Odstavekseznama"/>
        <w:numPr>
          <w:ilvl w:val="0"/>
          <w:numId w:val="11"/>
        </w:numPr>
        <w:jc w:val="both"/>
        <w:rPr>
          <w:noProof/>
        </w:rPr>
      </w:pPr>
      <w:r>
        <w:rPr>
          <w:noProof/>
          <w:lang w:val="en-GB"/>
        </w:rPr>
        <w:t>interpretation of a bank’s financial data.</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second paragraph of this article notwithstanding, the level and nature of the knowledge and experience required of members of the management board may differ from the level and nature of the knowledge and experience required of members of the supervisory board. Accordingly:</w:t>
      </w:r>
    </w:p>
    <w:p w:rsidR="00823BAB" w:rsidRPr="00823BAB" w:rsidRDefault="00823BAB" w:rsidP="00823BAB">
      <w:pPr>
        <w:ind w:firstLine="360"/>
        <w:jc w:val="both"/>
        <w:rPr>
          <w:noProof/>
        </w:rPr>
      </w:pPr>
      <w:r>
        <w:rPr>
          <w:noProof/>
          <w:lang w:val="en-GB"/>
        </w:rPr>
        <w:t>1. members of the management board shall above all have sufficient working experience acquired in an executive position for an appropriate period;</w:t>
      </w:r>
    </w:p>
    <w:p w:rsidR="00823BAB" w:rsidRPr="00823BAB" w:rsidRDefault="00823BAB" w:rsidP="00823BAB">
      <w:pPr>
        <w:ind w:firstLine="360"/>
        <w:jc w:val="both"/>
        <w:rPr>
          <w:noProof/>
        </w:rPr>
      </w:pPr>
      <w:r>
        <w:rPr>
          <w:noProof/>
          <w:lang w:val="en-GB"/>
        </w:rPr>
        <w:t>2. members of the supervisory board shall above all have sufficient experience for the purpose of ensuring their judgement on a basis of constructive criticism of the management board’s decisions and the effective supervision of the management board, the effective realisation of their role in adopting policies and decisions within the scope of the powers of the supervisory board referred to in the first paragraph of Article 137 of the ZBan-2, and the effective participation in the supervisory board committees referred to in Article 49 of the ZBan-2.</w:t>
      </w:r>
    </w:p>
    <w:p w:rsidR="00823BAB" w:rsidRPr="00823BAB" w:rsidRDefault="00823BAB" w:rsidP="00823BAB">
      <w:pPr>
        <w:pStyle w:val="Default"/>
        <w:jc w:val="both"/>
        <w:rPr>
          <w:noProof/>
          <w:sz w:val="22"/>
          <w:szCs w:val="22"/>
        </w:rPr>
      </w:pPr>
    </w:p>
    <w:p w:rsidR="00823BAB" w:rsidRPr="00823BAB" w:rsidRDefault="00823BAB" w:rsidP="00823BAB">
      <w:pPr>
        <w:ind w:firstLine="360"/>
        <w:jc w:val="both"/>
        <w:rPr>
          <w:noProof/>
        </w:rPr>
      </w:pPr>
      <w:r>
        <w:rPr>
          <w:noProof/>
          <w:lang w:val="en-GB"/>
        </w:rPr>
        <w:t xml:space="preserve">(4) Members of the </w:t>
      </w:r>
      <w:r w:rsidR="003E2585">
        <w:rPr>
          <w:noProof/>
          <w:lang w:val="en-GB"/>
        </w:rPr>
        <w:t>Management body</w:t>
      </w:r>
      <w:r>
        <w:rPr>
          <w:noProof/>
          <w:lang w:val="en-GB"/>
        </w:rPr>
        <w:t xml:space="preserve"> shall strive in all circumstances for decisions to be taken independently and on the basis of expert arguments in the bank’s best interest, and in accordance with the ethical standards of management, and on this basis shall assess any opinions or instructions of those who elected, proposed or appointed them. These circumstances shall also include any opinions or instructions of the </w:t>
      </w:r>
      <w:r w:rsidR="003E2585">
        <w:rPr>
          <w:noProof/>
          <w:lang w:val="en-GB"/>
        </w:rPr>
        <w:t>Management body</w:t>
      </w:r>
      <w:r>
        <w:rPr>
          <w:noProof/>
          <w:lang w:val="en-GB"/>
        </w:rPr>
        <w:t xml:space="preserve"> of the parent undertaking for a member of the </w:t>
      </w:r>
      <w:r w:rsidR="003E2585">
        <w:rPr>
          <w:noProof/>
          <w:lang w:val="en-GB"/>
        </w:rPr>
        <w:t>Management body</w:t>
      </w:r>
      <w:r>
        <w:rPr>
          <w:noProof/>
          <w:lang w:val="en-GB"/>
        </w:rPr>
        <w:t xml:space="preserve"> of a subsidiary with regard to the implementation of the bank’s business objectives, risk profile, strategies and policies, and risk </w:t>
      </w:r>
      <w:r w:rsidR="00912BE8">
        <w:rPr>
          <w:noProof/>
          <w:lang w:val="en-GB"/>
        </w:rPr>
        <w:t>appetite</w:t>
      </w:r>
      <w:r>
        <w:rPr>
          <w:noProof/>
          <w:lang w:val="en-GB"/>
        </w:rPr>
        <w:t xml:space="preserve">. </w:t>
      </w:r>
    </w:p>
    <w:p w:rsidR="00823BAB" w:rsidRPr="00823BAB" w:rsidRDefault="00823BAB" w:rsidP="00823BAB">
      <w:pPr>
        <w:pStyle w:val="Default"/>
        <w:jc w:val="both"/>
        <w:rPr>
          <w:noProof/>
          <w:sz w:val="22"/>
          <w:szCs w:val="22"/>
        </w:rPr>
      </w:pPr>
    </w:p>
    <w:p w:rsidR="00823BAB" w:rsidRPr="00823BAB" w:rsidRDefault="00823BAB" w:rsidP="00823BAB">
      <w:pPr>
        <w:ind w:firstLine="360"/>
        <w:jc w:val="both"/>
        <w:rPr>
          <w:noProof/>
        </w:rPr>
      </w:pPr>
      <w:r>
        <w:rPr>
          <w:noProof/>
          <w:lang w:val="en-GB"/>
        </w:rPr>
        <w:t xml:space="preserve">(5) Notwithstanding the provision on independent decision-making set out in the preceding paragraph, members of the management board shall fully, exhaustively, accurately and promptly inform the president and other members of the management board of all significant developments and the progress of specific operations in the areas for which they are responsible.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(6) Should an individual member of the management board believe that a majority decision taken by the management board with regard to a specific issue contravenes the bank’s objectives, strategies and policies, and that it breaches his/her duties set out in the second paragraph of Article 45 of the ZBan-2, he/she shall express this dissent via a note and explanation in the minutes of the session of the management board or the other decision-making body of which he/she is a member.</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(7) The member of the supervisory board in question shall notify the other members of the supervisory board of the receipt of an opinion or instructions referred to in the fourth paragraph of this article. All members of the supervisory board shall have the same rights and obligations, irrespective of who elected, proposed or appointed them.</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(8) Should an individual member of the supervisory board believe that a majority decision taken by the supervisory board contravenes the bank’s business objectives or risk management objectives, he/she shall express this dissent via a note and explanation in the minutes of the session of the supervisory board.</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58</w:t>
      </w:r>
    </w:p>
    <w:p w:rsidR="00823BAB" w:rsidRPr="00823BAB" w:rsidRDefault="00823BAB" w:rsidP="00823BAB">
      <w:pPr>
        <w:rPr>
          <w:b/>
          <w:noProof/>
        </w:rPr>
      </w:pPr>
      <w:r>
        <w:rPr>
          <w:b/>
          <w:bCs/>
          <w:noProof/>
          <w:lang w:val="en-GB"/>
        </w:rPr>
        <w:t>(independent conduct)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In performing their functions members of the </w:t>
      </w:r>
      <w:r w:rsidR="003E2585">
        <w:rPr>
          <w:noProof/>
          <w:lang w:val="en-GB"/>
        </w:rPr>
        <w:t>Management body</w:t>
      </w:r>
      <w:r>
        <w:rPr>
          <w:noProof/>
          <w:lang w:val="en-GB"/>
        </w:rPr>
        <w:t xml:space="preserve"> shall act and decide independently, in the bank’s best interest. To this end members of the </w:t>
      </w:r>
      <w:r w:rsidR="003E2585">
        <w:rPr>
          <w:noProof/>
          <w:lang w:val="en-GB"/>
        </w:rPr>
        <w:t>Management body</w:t>
      </w:r>
      <w:r>
        <w:rPr>
          <w:noProof/>
          <w:lang w:val="en-GB"/>
        </w:rPr>
        <w:t xml:space="preserve"> may not act in a manner such that their economic, personal or other links with the bank or another entity in the group, including its governing bodies, unduly influence their impartial, professional, objective, fair and comprehensive personal judgement in performing the function of a member of the </w:t>
      </w:r>
      <w:r w:rsidR="003E2585">
        <w:rPr>
          <w:noProof/>
          <w:lang w:val="en-GB"/>
        </w:rPr>
        <w:t>Management body</w:t>
      </w:r>
      <w:r>
        <w:rPr>
          <w:noProof/>
          <w:lang w:val="en-GB"/>
        </w:rPr>
        <w: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Members of the </w:t>
      </w:r>
      <w:r w:rsidR="003E2585">
        <w:rPr>
          <w:noProof/>
          <w:lang w:val="en-GB"/>
        </w:rPr>
        <w:t>Management body</w:t>
      </w:r>
      <w:r>
        <w:rPr>
          <w:noProof/>
          <w:lang w:val="en-GB"/>
        </w:rPr>
        <w:t xml:space="preserve"> shall immediately inform the supervisory board of any link between a member of the </w:t>
      </w:r>
      <w:r w:rsidR="003E2585">
        <w:rPr>
          <w:noProof/>
          <w:lang w:val="en-GB"/>
        </w:rPr>
        <w:t>Management body</w:t>
      </w:r>
      <w:r>
        <w:rPr>
          <w:noProof/>
          <w:lang w:val="en-GB"/>
        </w:rPr>
        <w:t xml:space="preserve"> and the bank or another entity in the group that could prejudice their independent decision-making in the bank’s best interest.</w:t>
      </w: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rPr>
          <w:b/>
          <w:noProof/>
        </w:rPr>
      </w:pPr>
      <w:r>
        <w:rPr>
          <w:b/>
          <w:bCs/>
          <w:noProof/>
          <w:lang w:val="en-GB"/>
        </w:rPr>
        <w:t xml:space="preserve">3.2 Conflict of interest at level of members of </w:t>
      </w:r>
      <w:r w:rsidR="003E2585">
        <w:rPr>
          <w:b/>
          <w:bCs/>
          <w:noProof/>
          <w:lang w:val="en-GB"/>
        </w:rPr>
        <w:t>Management body</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59</w:t>
      </w:r>
    </w:p>
    <w:p w:rsidR="00823BAB" w:rsidRPr="00823BAB" w:rsidRDefault="00823BAB" w:rsidP="00823BAB">
      <w:pPr>
        <w:rPr>
          <w:b/>
          <w:noProof/>
        </w:rPr>
      </w:pPr>
      <w:r>
        <w:rPr>
          <w:b/>
          <w:bCs/>
          <w:noProof/>
          <w:lang w:val="en-GB"/>
        </w:rPr>
        <w:t>(general)</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The </w:t>
      </w:r>
      <w:r w:rsidR="003E2585">
        <w:rPr>
          <w:noProof/>
          <w:lang w:val="en-GB"/>
        </w:rPr>
        <w:t>Management body</w:t>
      </w:r>
      <w:r>
        <w:rPr>
          <w:noProof/>
          <w:lang w:val="en-GB"/>
        </w:rPr>
        <w:t xml:space="preserve"> shall take account of all circumstances in the assessment of conflicts of interest at the level of members of the </w:t>
      </w:r>
      <w:r w:rsidR="003E2585">
        <w:rPr>
          <w:noProof/>
          <w:lang w:val="en-GB"/>
        </w:rPr>
        <w:t>Management body</w:t>
      </w:r>
      <w:r>
        <w:rPr>
          <w:noProof/>
          <w:lang w:val="en-GB"/>
        </w:rPr>
        <w:t xml:space="preserve"> referred to in point 4 of the second paragraph of Article 3 of this regulation, in particular personal, business or other circumstances that are directly related to a member of the </w:t>
      </w:r>
      <w:r w:rsidR="003E2585">
        <w:rPr>
          <w:noProof/>
          <w:lang w:val="en-GB"/>
        </w:rPr>
        <w:t>Management body</w:t>
      </w:r>
      <w:r>
        <w:rPr>
          <w:noProof/>
          <w:lang w:val="en-GB"/>
        </w:rPr>
        <w:t xml:space="preserve"> or to other legal and natural persons with private interests in common with those of the member of the </w:t>
      </w:r>
      <w:r w:rsidR="003E2585">
        <w:rPr>
          <w:noProof/>
          <w:lang w:val="en-GB"/>
        </w:rPr>
        <w:t>Management body</w:t>
      </w:r>
      <w:r>
        <w:rPr>
          <w:noProof/>
          <w:lang w:val="en-GB"/>
        </w:rPr>
        <w:t xml:space="preserve"> in question.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In exercising their tasks and decision-making, members of the </w:t>
      </w:r>
      <w:r w:rsidR="003E2585">
        <w:rPr>
          <w:noProof/>
          <w:lang w:val="en-GB"/>
        </w:rPr>
        <w:t>Management body</w:t>
      </w:r>
      <w:r>
        <w:rPr>
          <w:noProof/>
          <w:lang w:val="en-GB"/>
        </w:rPr>
        <w:t xml:space="preserve"> shall avoid circumstances and conduct that entail or could lead to a conflict of interest referred to in points 3 and 4 of the second paragraph of Article 3 of this regulation.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In their actions and decision-making, members of the management board shall primarily consider the interests of the bank, subordinating any other personal interests to those of the bank, and may not exploit the bank’s business opportunities for their own account, for the account of members of their family, or for the account of persons with whom they have private interests in common.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In their actions and decision-making, members of the supervisory board shall primarily consider the interests of the bank, subordinating any other personal interests or the individual interests of shareholders, the management board, the public or other persons to those of the bank.</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60</w:t>
      </w:r>
    </w:p>
    <w:p w:rsidR="00823BAB" w:rsidRPr="00823BAB" w:rsidRDefault="00823BAB" w:rsidP="00823BAB">
      <w:pPr>
        <w:rPr>
          <w:b/>
          <w:noProof/>
        </w:rPr>
      </w:pPr>
      <w:r>
        <w:rPr>
          <w:b/>
          <w:bCs/>
          <w:noProof/>
          <w:lang w:val="en-GB"/>
        </w:rPr>
        <w:t>(rules and procedures in connection with conflicts of interest)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For the purpose of transparent decision-making at sessions of the </w:t>
      </w:r>
      <w:r w:rsidR="003E2585">
        <w:rPr>
          <w:noProof/>
          <w:lang w:val="en-GB"/>
        </w:rPr>
        <w:t>Management body</w:t>
      </w:r>
      <w:r>
        <w:rPr>
          <w:noProof/>
          <w:lang w:val="en-GB"/>
        </w:rPr>
        <w:t xml:space="preserve"> and at sessions of committees and commissions on which they sit, members of the </w:t>
      </w:r>
      <w:r w:rsidR="003E2585">
        <w:rPr>
          <w:noProof/>
          <w:lang w:val="en-GB"/>
        </w:rPr>
        <w:t>Management body</w:t>
      </w:r>
      <w:r>
        <w:rPr>
          <w:noProof/>
          <w:lang w:val="en-GB"/>
        </w:rPr>
        <w:t xml:space="preserve"> shall in particular take account of the following precautionary measures to avoid conflicts of interest:</w:t>
      </w:r>
    </w:p>
    <w:p w:rsidR="00823BAB" w:rsidRPr="00823BAB" w:rsidRDefault="00823BAB" w:rsidP="00823BAB">
      <w:pPr>
        <w:ind w:firstLine="360"/>
        <w:jc w:val="both"/>
        <w:rPr>
          <w:noProof/>
        </w:rPr>
      </w:pPr>
      <w:r>
        <w:rPr>
          <w:noProof/>
          <w:lang w:val="en-GB"/>
        </w:rPr>
        <w:t xml:space="preserve">1. for the purpose of avoiding a conflict of interest that could impact their judgement, members of the </w:t>
      </w:r>
      <w:r w:rsidR="003E2585">
        <w:rPr>
          <w:noProof/>
          <w:lang w:val="en-GB"/>
        </w:rPr>
        <w:t>Management body</w:t>
      </w:r>
      <w:r>
        <w:rPr>
          <w:noProof/>
          <w:lang w:val="en-GB"/>
        </w:rPr>
        <w:t xml:space="preserve"> shall, at their own initiative or when called upon by the president of the management board or the chairperson of the supervisory board, declare whether there is a suspected conflict of interest in a matter that is the subject of a vote, and shall provide a corresponding explanation;</w:t>
      </w:r>
    </w:p>
    <w:p w:rsidR="00823BAB" w:rsidRPr="00823BAB" w:rsidRDefault="00823BAB" w:rsidP="00823BAB">
      <w:pPr>
        <w:ind w:firstLine="360"/>
        <w:jc w:val="both"/>
        <w:rPr>
          <w:noProof/>
        </w:rPr>
      </w:pPr>
      <w:r>
        <w:rPr>
          <w:noProof/>
          <w:lang w:val="en-GB"/>
        </w:rPr>
        <w:t xml:space="preserve">2. when there is a suspected conflict of interest, the member of the </w:t>
      </w:r>
      <w:r w:rsidR="003E2585">
        <w:rPr>
          <w:noProof/>
          <w:lang w:val="en-GB"/>
        </w:rPr>
        <w:t>Management body</w:t>
      </w:r>
      <w:r>
        <w:rPr>
          <w:noProof/>
          <w:lang w:val="en-GB"/>
        </w:rPr>
        <w:t xml:space="preserve"> shall recuse himself/herself in the matter that is the subject of a vote, and shall leave the premises where the session is taking place for the duration of the voting;</w:t>
      </w:r>
    </w:p>
    <w:p w:rsidR="00823BAB" w:rsidRPr="00823BAB" w:rsidRDefault="00823BAB" w:rsidP="00823BAB">
      <w:pPr>
        <w:ind w:firstLine="360"/>
        <w:jc w:val="both"/>
        <w:rPr>
          <w:noProof/>
        </w:rPr>
      </w:pPr>
      <w:r>
        <w:rPr>
          <w:noProof/>
          <w:lang w:val="en-GB"/>
        </w:rPr>
        <w:t xml:space="preserve">3. the </w:t>
      </w:r>
      <w:r w:rsidR="003E2585">
        <w:rPr>
          <w:noProof/>
          <w:lang w:val="en-GB"/>
        </w:rPr>
        <w:t>Management body</w:t>
      </w:r>
      <w:r>
        <w:rPr>
          <w:noProof/>
          <w:lang w:val="en-GB"/>
        </w:rPr>
        <w:t xml:space="preserve"> shall ensure that the explanation and declaration of a member of the </w:t>
      </w:r>
      <w:r w:rsidR="003E2585">
        <w:rPr>
          <w:noProof/>
          <w:lang w:val="en-GB"/>
        </w:rPr>
        <w:t>Management body</w:t>
      </w:r>
      <w:r>
        <w:rPr>
          <w:noProof/>
          <w:lang w:val="en-GB"/>
        </w:rPr>
        <w:t xml:space="preserve"> recusing himself/herself on grounds of a conflict of interest referred to in point 2 of this paragraph is included in the minutes of the session of the </w:t>
      </w:r>
      <w:r w:rsidR="003E2585">
        <w:rPr>
          <w:noProof/>
          <w:lang w:val="en-GB"/>
        </w:rPr>
        <w:t>Management body</w:t>
      </w:r>
      <w:r>
        <w:rPr>
          <w:noProof/>
          <w:lang w:val="en-GB"/>
        </w:rPr>
        <w:t xml:space="preserve"> or the session of the bank’s committee or commission.</w:t>
      </w:r>
    </w:p>
    <w:p w:rsidR="00823BAB" w:rsidRPr="00823BAB" w:rsidRDefault="00823BAB" w:rsidP="00823BAB">
      <w:pPr>
        <w:ind w:firstLine="360"/>
        <w:jc w:val="both"/>
        <w:rPr>
          <w:noProof/>
        </w:rPr>
      </w:pPr>
      <w:r>
        <w:rPr>
          <w:noProof/>
          <w:lang w:val="en-GB"/>
        </w:rPr>
        <w:t xml:space="preserve"> </w:t>
      </w:r>
    </w:p>
    <w:p w:rsidR="00823BAB" w:rsidRPr="00823BAB" w:rsidRDefault="00823BAB" w:rsidP="00823BAB">
      <w:pPr>
        <w:ind w:firstLine="360"/>
        <w:jc w:val="both"/>
        <w:rPr>
          <w:noProof/>
        </w:rPr>
      </w:pPr>
      <w:r>
        <w:rPr>
          <w:noProof/>
          <w:lang w:val="en-GB"/>
        </w:rPr>
        <w:t xml:space="preserve">(2) For the purpose of the transparent performance of their functions, members of the management board shall immediately inform the president of the management board of all circumstances that could lead to a conflict of interest in their actions (hereinafter: circumstances of a conflict of interest). For the purpose of the transparent performance of their functions, members of the supervisory board shall immediately inform the chairperson of the supervisory board of all circumstances of a conflict of interest. In the event of circumstances of a conflict of interest in respect of the president of the management board, he/she shall inform the chairperson of the supervisory board, the provisions of this article applying </w:t>
      </w:r>
      <w:r>
        <w:rPr>
          <w:i/>
          <w:iCs/>
          <w:noProof/>
          <w:lang w:val="en-GB"/>
        </w:rPr>
        <w:t>mutatis mutandis</w:t>
      </w:r>
      <w:r>
        <w:rPr>
          <w:noProof/>
          <w:lang w:val="en-GB"/>
        </w:rPr>
        <w:t xml:space="preserve">. In the event of circumstances of a conflict of interest in respect of the chairperson of the supervisory board, he/she shall inform the supervisory board, the provisions of this article applying </w:t>
      </w:r>
      <w:r>
        <w:rPr>
          <w:i/>
          <w:iCs/>
          <w:noProof/>
          <w:lang w:val="en-GB"/>
        </w:rPr>
        <w:t>mutatis mutandis</w:t>
      </w:r>
      <w:r>
        <w:rPr>
          <w:noProof/>
          <w:lang w:val="en-GB"/>
        </w:rPr>
        <w:t>.</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(3) In the event of being informed of the circumstances of a conflict of interest by a member of the </w:t>
      </w:r>
      <w:r w:rsidR="003E2585">
        <w:rPr>
          <w:noProof/>
          <w:lang w:val="en-GB"/>
        </w:rPr>
        <w:t>Management body</w:t>
      </w:r>
      <w:r>
        <w:rPr>
          <w:noProof/>
          <w:lang w:val="en-GB"/>
        </w:rPr>
        <w:t xml:space="preserve">, the president of the management board or the chairperson of the supervisory board shall, on the basis of his/her own assessment of the existence of the circumstances of a conflict of interest, take appropriate documented measures to eliminate the circumstances or to put monitoring of the circumstances in place. In cases of complex circumstances of a conflict of interest, instead of taking the aforementioned measures the president of the </w:t>
      </w:r>
      <w:r w:rsidR="003E2585">
        <w:rPr>
          <w:noProof/>
          <w:lang w:val="en-GB"/>
        </w:rPr>
        <w:t>Management body</w:t>
      </w:r>
      <w:r>
        <w:rPr>
          <w:noProof/>
          <w:lang w:val="en-GB"/>
        </w:rPr>
        <w:t xml:space="preserve"> may inform the supervisory board, which in this case shall assess the existence of the circumstances of a conflict of interest at the earliest possible juncture, and shall take appropriate measures to eliminate the circumstances or to put monitoring of the circumstances in place. These measures shall include:</w:t>
      </w:r>
    </w:p>
    <w:p w:rsidR="00823BAB" w:rsidRPr="00823BAB" w:rsidRDefault="00823BAB" w:rsidP="00823BAB">
      <w:pPr>
        <w:ind w:firstLine="360"/>
        <w:jc w:val="both"/>
        <w:rPr>
          <w:noProof/>
        </w:rPr>
      </w:pPr>
      <w:r>
        <w:rPr>
          <w:noProof/>
          <w:lang w:val="en-GB"/>
        </w:rPr>
        <w:t xml:space="preserve">1. the application of the precautionary measures referred to in the first paragraph of this article to avoid the circumstances of a conflict of interest in voting at sessions of the </w:t>
      </w:r>
      <w:r w:rsidR="003E2585">
        <w:rPr>
          <w:noProof/>
          <w:lang w:val="en-GB"/>
        </w:rPr>
        <w:t>Management body</w:t>
      </w:r>
      <w:r>
        <w:rPr>
          <w:noProof/>
          <w:lang w:val="en-GB"/>
        </w:rPr>
        <w:t xml:space="preserve"> and at sessions of committees and commissions on which the member in question sits;</w:t>
      </w:r>
    </w:p>
    <w:p w:rsidR="00823BAB" w:rsidRPr="00823BAB" w:rsidRDefault="00823BAB" w:rsidP="00823BAB">
      <w:pPr>
        <w:ind w:firstLine="360"/>
        <w:jc w:val="both"/>
        <w:rPr>
          <w:noProof/>
        </w:rPr>
      </w:pPr>
      <w:r>
        <w:rPr>
          <w:noProof/>
          <w:lang w:val="en-GB"/>
        </w:rPr>
        <w:t xml:space="preserve">2. the immediate cessation of the disputed conduct by the member of the </w:t>
      </w:r>
      <w:r w:rsidR="003E2585">
        <w:rPr>
          <w:noProof/>
          <w:lang w:val="en-GB"/>
        </w:rPr>
        <w:t>Management body</w:t>
      </w:r>
      <w:r>
        <w:rPr>
          <w:noProof/>
          <w:lang w:val="en-GB"/>
        </w:rPr>
        <w:t>, and the transfer to the bank of any advantage gained from the specific transaction;</w:t>
      </w:r>
    </w:p>
    <w:p w:rsidR="00823BAB" w:rsidRPr="00823BAB" w:rsidRDefault="00823BAB" w:rsidP="00823BAB">
      <w:pPr>
        <w:ind w:firstLine="360"/>
        <w:jc w:val="both"/>
        <w:rPr>
          <w:noProof/>
        </w:rPr>
      </w:pPr>
      <w:r>
        <w:rPr>
          <w:noProof/>
          <w:lang w:val="en-GB"/>
        </w:rPr>
        <w:t xml:space="preserve">3. where the bank has incurred damage of any kind in the transaction, the reimbursement of the damage to the bank by the member of the </w:t>
      </w:r>
      <w:r w:rsidR="003E2585">
        <w:rPr>
          <w:noProof/>
          <w:lang w:val="en-GB"/>
        </w:rPr>
        <w:t>Management body</w:t>
      </w:r>
      <w:r>
        <w:rPr>
          <w:noProof/>
          <w:lang w:val="en-GB"/>
        </w:rPr>
        <w:t xml:space="preserve"> from his/her own funds;</w:t>
      </w:r>
    </w:p>
    <w:p w:rsidR="00823BAB" w:rsidRPr="00823BAB" w:rsidRDefault="00823BAB" w:rsidP="00823BAB">
      <w:pPr>
        <w:ind w:firstLine="360"/>
        <w:jc w:val="both"/>
        <w:rPr>
          <w:noProof/>
        </w:rPr>
      </w:pPr>
      <w:r>
        <w:rPr>
          <w:noProof/>
          <w:lang w:val="en-GB"/>
        </w:rPr>
        <w:t xml:space="preserve">4. removal from the function of a member of the </w:t>
      </w:r>
      <w:r w:rsidR="003E2585">
        <w:rPr>
          <w:noProof/>
          <w:lang w:val="en-GB"/>
        </w:rPr>
        <w:t>Management body</w:t>
      </w:r>
      <w:r>
        <w:rPr>
          <w:noProof/>
          <w:lang w:val="en-GB"/>
        </w:rPr>
        <w:t>, if he/she fails to or refuses to eliminate the circumstances of a conflict of interest on any grounds.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(4) Should it be proven that the member of the </w:t>
      </w:r>
      <w:r w:rsidR="003E2585">
        <w:rPr>
          <w:noProof/>
          <w:lang w:val="en-GB"/>
        </w:rPr>
        <w:t>Management body</w:t>
      </w:r>
      <w:r>
        <w:rPr>
          <w:noProof/>
          <w:lang w:val="en-GB"/>
        </w:rPr>
        <w:t xml:space="preserve"> failed to inform the president of the management board or the chairperson of the supervisory board of the circumstances of a conflict of interest that he/she knew of, and at the same time failed to immediately rectify the consequences of such conduct, or should the member of the </w:t>
      </w:r>
      <w:r w:rsidR="003E2585">
        <w:rPr>
          <w:noProof/>
          <w:lang w:val="en-GB"/>
        </w:rPr>
        <w:t>Management body</w:t>
      </w:r>
      <w:r>
        <w:rPr>
          <w:noProof/>
          <w:lang w:val="en-GB"/>
        </w:rPr>
        <w:t xml:space="preserve"> fail to uphold the precautionary measures referred to in the first paragraph of this article, the supervisory board shall be informed accordingly. In this event the supervisory board shall dismiss the member of the management board from his/her function, or propose the dismissal of the member of the supervisory board to the general meeting immediately upon the disputed position being established.</w:t>
      </w:r>
    </w:p>
    <w:p w:rsidR="00823BAB" w:rsidRPr="00823BAB" w:rsidRDefault="00823BAB" w:rsidP="00823BAB">
      <w:pPr>
        <w:jc w:val="both"/>
        <w:rPr>
          <w:noProof/>
        </w:rPr>
      </w:pPr>
    </w:p>
    <w:p w:rsidR="00823BAB" w:rsidRPr="00823BAB" w:rsidRDefault="00823BAB" w:rsidP="00823BAB">
      <w:pPr>
        <w:rPr>
          <w:b/>
          <w:noProof/>
        </w:rPr>
      </w:pPr>
      <w:r>
        <w:rPr>
          <w:b/>
          <w:bCs/>
          <w:noProof/>
          <w:lang w:val="en-GB"/>
        </w:rPr>
        <w:t xml:space="preserve">3.3 Process of assessing suitability of members of </w:t>
      </w:r>
      <w:r w:rsidR="003E2585">
        <w:rPr>
          <w:b/>
          <w:bCs/>
          <w:noProof/>
          <w:lang w:val="en-GB"/>
        </w:rPr>
        <w:t>Management body</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61</w:t>
      </w:r>
    </w:p>
    <w:p w:rsidR="00823BAB" w:rsidRPr="00823BAB" w:rsidRDefault="00823BAB" w:rsidP="00823BAB">
      <w:pPr>
        <w:rPr>
          <w:b/>
          <w:noProof/>
        </w:rPr>
      </w:pPr>
      <w:r>
        <w:rPr>
          <w:b/>
          <w:bCs/>
          <w:noProof/>
          <w:lang w:val="en-GB"/>
        </w:rPr>
        <w:t>(general)</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The process of assessing the suitability of members of the </w:t>
      </w:r>
      <w:r w:rsidR="003E2585">
        <w:rPr>
          <w:noProof/>
          <w:lang w:val="en-GB"/>
        </w:rPr>
        <w:t>Management body</w:t>
      </w:r>
      <w:r>
        <w:rPr>
          <w:noProof/>
          <w:lang w:val="en-GB"/>
        </w:rPr>
        <w:t xml:space="preserve"> referred to in the first paragraph of Article 35 of the ZBan-2 (hereinafter: suitability assessment process) shall include the circumstances of the re-appointment of a member of the </w:t>
      </w:r>
      <w:r w:rsidR="003E2585">
        <w:rPr>
          <w:noProof/>
          <w:lang w:val="en-GB"/>
        </w:rPr>
        <w:t>Management body</w:t>
      </w:r>
      <w:r>
        <w:rPr>
          <w:noProof/>
          <w:lang w:val="en-GB"/>
        </w:rPr>
        <w:t xml:space="preserve"> (re-election) and the circumstances when a member of the </w:t>
      </w:r>
      <w:r w:rsidR="003E2585">
        <w:rPr>
          <w:noProof/>
          <w:lang w:val="en-GB"/>
        </w:rPr>
        <w:t>Management body</w:t>
      </w:r>
      <w:r>
        <w:rPr>
          <w:noProof/>
          <w:lang w:val="en-GB"/>
        </w:rPr>
        <w:t xml:space="preserve"> takes over another area of management or supervision within the framework of an existing term of office. In these cases the bank shall solely verify whether the member in question is still suitable for performing his/her function (a partial assessment of suitability), having regard for the aforementioned circumstances.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The suitability assessment process shall take account of the difference between the complexity of performing the function of the president of the management board or the chairperson of the supervisory board, including a member of the supervisory board who performs the function of the chairperson of a supervisory board committee, and the complexity of performing the function of a member of the management board or the supervisory board.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(3) The bank shall document each assessment of the suitability of an individual member of the </w:t>
      </w:r>
      <w:r w:rsidR="003E2585">
        <w:rPr>
          <w:noProof/>
          <w:lang w:val="en-GB"/>
        </w:rPr>
        <w:t>Management body</w:t>
      </w:r>
      <w:r>
        <w:rPr>
          <w:noProof/>
          <w:lang w:val="en-GB"/>
        </w:rPr>
        <w:t xml:space="preserve">, including the initial assessment of suitability as a member of the </w:t>
      </w:r>
      <w:r w:rsidR="003E2585">
        <w:rPr>
          <w:noProof/>
          <w:lang w:val="en-GB"/>
        </w:rPr>
        <w:t>Management body</w:t>
      </w:r>
      <w:r>
        <w:rPr>
          <w:noProof/>
          <w:lang w:val="en-GB"/>
        </w:rPr>
        <w:t xml:space="preserve">. </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62</w:t>
      </w:r>
    </w:p>
    <w:p w:rsidR="00823BAB" w:rsidRPr="00823BAB" w:rsidRDefault="00823BAB" w:rsidP="00823BAB">
      <w:pPr>
        <w:rPr>
          <w:b/>
          <w:noProof/>
        </w:rPr>
      </w:pPr>
      <w:r>
        <w:rPr>
          <w:b/>
          <w:bCs/>
          <w:noProof/>
          <w:lang w:val="en-GB"/>
        </w:rPr>
        <w:t>(employee contribution to suitability assessment)</w:t>
      </w:r>
    </w:p>
    <w:p w:rsidR="00823BAB" w:rsidRPr="00823BAB" w:rsidRDefault="00823BAB" w:rsidP="00823BAB">
      <w:pPr>
        <w:jc w:val="both"/>
        <w:rPr>
          <w:noProof/>
        </w:rPr>
      </w:pPr>
    </w:p>
    <w:p w:rsidR="00823BAB" w:rsidRPr="00823BAB" w:rsidRDefault="00823BAB" w:rsidP="00823BAB">
      <w:pPr>
        <w:ind w:firstLine="360"/>
        <w:jc w:val="both"/>
        <w:rPr>
          <w:noProof/>
          <w:highlight w:val="green"/>
        </w:rPr>
      </w:pPr>
      <w:r>
        <w:rPr>
          <w:noProof/>
          <w:lang w:val="en-GB"/>
        </w:rPr>
        <w:t xml:space="preserve">(1) Having regard for the second paragraph of Article 35 of the ZBan-2, for the purpose of enforcing and demonstrating good practice in corporate governance, a bank may make it possible for other employees designated by the bank to formulate the bank’s position with regard to suitability as a member of the </w:t>
      </w:r>
      <w:r w:rsidR="003E2585">
        <w:rPr>
          <w:noProof/>
          <w:lang w:val="en-GB"/>
        </w:rPr>
        <w:t>Management body</w:t>
      </w:r>
      <w:r>
        <w:rPr>
          <w:noProof/>
          <w:lang w:val="en-GB"/>
        </w:rPr>
        <w:t xml:space="preserve">. Such employees may for example be from the banking group, the risk management function, the compliance function, the HR department or other expert departments and functions.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bank shall ensure that employees referred to in the first paragraph of this article have timely access to all the relevant information of significance to the formulation of the bank’s position with regard to suitability as a member of the </w:t>
      </w:r>
      <w:r w:rsidR="003E2585">
        <w:rPr>
          <w:noProof/>
          <w:lang w:val="en-GB"/>
        </w:rPr>
        <w:t>Management body</w:t>
      </w:r>
      <w:r>
        <w:rPr>
          <w:noProof/>
          <w:lang w:val="en-GB"/>
        </w:rPr>
        <w:t>. This information shall in particular include:</w:t>
      </w:r>
    </w:p>
    <w:p w:rsidR="00823BAB" w:rsidRPr="00823BAB" w:rsidRDefault="00823BAB" w:rsidP="00823BAB">
      <w:pPr>
        <w:ind w:firstLine="360"/>
        <w:jc w:val="both"/>
        <w:rPr>
          <w:noProof/>
        </w:rPr>
      </w:pPr>
      <w:r>
        <w:rPr>
          <w:noProof/>
          <w:lang w:val="en-GB"/>
        </w:rPr>
        <w:t>1. the person’s CV according to a relevant standard (e.g. a Europass standard CV);</w:t>
      </w:r>
    </w:p>
    <w:p w:rsidR="00823BAB" w:rsidRPr="00823BAB" w:rsidRDefault="00823BAB" w:rsidP="00823BAB">
      <w:pPr>
        <w:ind w:firstLine="360"/>
        <w:jc w:val="both"/>
        <w:rPr>
          <w:noProof/>
        </w:rPr>
      </w:pPr>
      <w:r>
        <w:rPr>
          <w:noProof/>
          <w:lang w:val="en-GB"/>
        </w:rPr>
        <w:t>2. documents and other evidence, including documentary proof of the person’s formal qualifications, for the purpose of assessing the fulfilment of criteria in connection with the knowledge, skills and experience for managing a bank’s operations referred to in point 1 of the second paragraph of Article 58 of this regulation;</w:t>
      </w:r>
    </w:p>
    <w:p w:rsidR="00823BAB" w:rsidRPr="00823BAB" w:rsidRDefault="00823BAB" w:rsidP="00823BAB">
      <w:pPr>
        <w:ind w:firstLine="360"/>
        <w:jc w:val="both"/>
        <w:rPr>
          <w:noProof/>
        </w:rPr>
      </w:pPr>
      <w:r>
        <w:rPr>
          <w:noProof/>
          <w:lang w:val="en-GB"/>
        </w:rPr>
        <w:t>3. documents and other evidence of the fulfilment of the criteria in connection with reputation;</w:t>
      </w:r>
    </w:p>
    <w:p w:rsidR="00823BAB" w:rsidRPr="00823BAB" w:rsidRDefault="00823BAB" w:rsidP="00823BAB">
      <w:pPr>
        <w:ind w:firstLine="360"/>
        <w:jc w:val="both"/>
        <w:rPr>
          <w:noProof/>
        </w:rPr>
      </w:pPr>
      <w:r>
        <w:rPr>
          <w:noProof/>
          <w:lang w:val="en-GB"/>
        </w:rPr>
        <w:t>4. other relevant documents and evidence.</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63</w:t>
      </w:r>
    </w:p>
    <w:p w:rsidR="00823BAB" w:rsidRPr="00823BAB" w:rsidRDefault="00823BAB" w:rsidP="00823BAB">
      <w:pPr>
        <w:rPr>
          <w:b/>
          <w:noProof/>
        </w:rPr>
      </w:pPr>
      <w:r>
        <w:rPr>
          <w:b/>
          <w:bCs/>
          <w:noProof/>
          <w:lang w:val="en-GB"/>
        </w:rPr>
        <w:t>(adequacy of suitability assessment)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ensure that its assessment at any particular moment of the suitability of a candidate or an already appointed member of the </w:t>
      </w:r>
      <w:r w:rsidR="003E2585">
        <w:rPr>
          <w:noProof/>
          <w:lang w:val="en-GB"/>
        </w:rPr>
        <w:t>Management body</w:t>
      </w:r>
      <w:r>
        <w:rPr>
          <w:noProof/>
          <w:lang w:val="en-GB"/>
        </w:rPr>
        <w:t xml:space="preserve"> (hereinafter: suitability assessment) contains a review of the circumstances taken into account by the bank in its assessment of the person’s suitability (the bank’s own findings and the facts submitted by the person in question) and the bank’s assessment of the fulfilment of the bank’s requirements with regard to the function that is the subject of the candidacy or appointment.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Should the suitability assessment submitted to the Bank of Slovenia by the bank for the purpose of conducting the process of assessing suitability as a member of the </w:t>
      </w:r>
      <w:r w:rsidR="003E2585">
        <w:rPr>
          <w:noProof/>
          <w:lang w:val="en-GB"/>
        </w:rPr>
        <w:t>Management body</w:t>
      </w:r>
      <w:r>
        <w:rPr>
          <w:noProof/>
          <w:lang w:val="en-GB"/>
        </w:rPr>
        <w:t xml:space="preserve"> by the Bank of Slovenia be deficient or sparse, and as such should it not allow for a proper assessment of the suitability of the person in question, the Bank of Slovenia may require its supplementation on the basis of appropriate arguments.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rPr>
          <w:b/>
          <w:noProof/>
        </w:rPr>
      </w:pPr>
      <w:r>
        <w:rPr>
          <w:b/>
          <w:bCs/>
          <w:noProof/>
          <w:lang w:val="en-GB"/>
        </w:rPr>
        <w:t xml:space="preserve">3.4 Functioning of supervisory board committees </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64</w:t>
      </w:r>
    </w:p>
    <w:p w:rsidR="00823BAB" w:rsidRPr="00823BAB" w:rsidRDefault="00823BAB" w:rsidP="00823BAB">
      <w:pPr>
        <w:rPr>
          <w:b/>
          <w:noProof/>
        </w:rPr>
      </w:pPr>
      <w:r>
        <w:rPr>
          <w:b/>
          <w:bCs/>
          <w:noProof/>
          <w:lang w:val="en-GB"/>
        </w:rPr>
        <w:t>(use of external advisors)</w:t>
      </w:r>
    </w:p>
    <w:p w:rsidR="00823BAB" w:rsidRPr="00823BAB" w:rsidRDefault="00823BAB" w:rsidP="00823BAB">
      <w:pPr>
        <w:autoSpaceDE w:val="0"/>
        <w:autoSpaceDN w:val="0"/>
        <w:adjustRightInd w:val="0"/>
        <w:jc w:val="both"/>
        <w:rPr>
          <w:noProof/>
        </w:rPr>
      </w:pPr>
    </w:p>
    <w:p w:rsidR="00823BAB" w:rsidRPr="00823BAB" w:rsidRDefault="00823BAB" w:rsidP="00823BAB">
      <w:pPr>
        <w:ind w:firstLine="360"/>
        <w:jc w:val="both"/>
        <w:rPr>
          <w:noProof/>
        </w:rPr>
      </w:pPr>
      <w:r>
        <w:rPr>
          <w:noProof/>
          <w:lang w:val="en-GB"/>
        </w:rPr>
        <w:t>Having regard for the knowledge, skills and experience that a member of the supervisory board should have, for the purposes of performing the tasks of the individual supervisory board committees referred to in Articles 50, 51 and 52 of the ZBan-2 and other regulations, the supervisory board shall ensure that the use of external advisors referred to in the sixth paragraph of Article 49 of the ZBan-2 or external experts referred to in the third paragraph of Article 137 of the ZBan-2 is justified solely for the purpose of accessing additional, particularly specific, knowledge for the purpose of the functioning of the committees. The possibility of using external advisors shall not relieve the members of the supervisory board of their duties in respect of the expert knowledge, experience and independent judgement referred to in Article 57 of this regulation, or the knowledge and independent judgement that members of the supervisory board should have for the purpose of acting on supervisory board committees.</w:t>
      </w:r>
    </w:p>
    <w:p w:rsidR="00823BAB" w:rsidRPr="00823BAB" w:rsidRDefault="00823BAB" w:rsidP="00823BAB">
      <w:pPr>
        <w:rPr>
          <w:b/>
          <w:noProof/>
        </w:rPr>
      </w:pPr>
      <w:r>
        <w:rPr>
          <w:b/>
          <w:bCs/>
          <w:noProof/>
          <w:lang w:val="en-GB"/>
        </w:rPr>
        <w:t>3.5 Functioning of supervisory board</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65</w:t>
      </w:r>
    </w:p>
    <w:p w:rsidR="00823BAB" w:rsidRPr="00823BAB" w:rsidRDefault="00823BAB" w:rsidP="00823BAB">
      <w:pPr>
        <w:rPr>
          <w:b/>
          <w:noProof/>
        </w:rPr>
      </w:pPr>
      <w:r>
        <w:rPr>
          <w:b/>
          <w:bCs/>
          <w:noProof/>
          <w:lang w:val="en-GB"/>
        </w:rPr>
        <w:t>(convening of sessions of supervisory board)</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chairperson of the supervisory board shall ensure that the supervisory board meets in session at least once a quarter. Should this not be ensured by the chairperson of the supervisory board, other members of the supervisory board shall convene the session in accordance with the law governing companies.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The chairperson of the supervisory board shall maintain regular contact with the president of the management board, shall request explanations from him/her of significant business events of which he/she has knowledge, and of the bank’s risks inherent in these events, and shall as necessary convene an extraordinary session of the supervisory board.</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66</w:t>
      </w:r>
    </w:p>
    <w:p w:rsidR="00823BAB" w:rsidRPr="00823BAB" w:rsidRDefault="00823BAB" w:rsidP="00823BAB">
      <w:pPr>
        <w:rPr>
          <w:b/>
          <w:noProof/>
        </w:rPr>
      </w:pPr>
      <w:r>
        <w:rPr>
          <w:b/>
          <w:bCs/>
          <w:noProof/>
          <w:lang w:val="en-GB"/>
        </w:rPr>
        <w:t xml:space="preserve"> (effectiveness of supervisory board’s work)</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effectiveness of the supervisory board’s work is to a great extent dependent on how well it is informed and its access to significant information. Members of the management board shall be responsible for ensuring that the supervisory board has timely and comprehensive information. The management board shall regularly, comprehensively and in a timely fashion inform the supervisory board of significant matters relating to the bank’s operations, risk profile, strategies and policies, and any deviations from the adopted objectives. The supervisory board is entitled and obliged to request from the management board additional explanations and reports with regard to any ambiguities in connection with the operations of the bank and its subsidiaries.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 (2) The chairperson of the supervisory board shall coordinate the work of the supervisory board and shall chair its sessions. The chairperson shall encourage the other members of the supervisory board to effectively and actively perform their functions. The other members of the supervisory board shall ensure that they have enough time to carry out their tasks, and are obliged to further educate and improve themselves as necessary throughout their term of office in areas of importance to the efficient, high-quality execution of their duties. The chairperson of the supervisory board shall adopt a plan in conjunction with the president of the management board for the training of members of the supervisory board and for the introduction of new members.</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67</w:t>
      </w:r>
    </w:p>
    <w:p w:rsidR="00823BAB" w:rsidRPr="00823BAB" w:rsidRDefault="00823BAB" w:rsidP="00823BAB">
      <w:pPr>
        <w:rPr>
          <w:b/>
          <w:noProof/>
        </w:rPr>
      </w:pPr>
      <w:r>
        <w:rPr>
          <w:b/>
          <w:bCs/>
          <w:noProof/>
          <w:lang w:val="en-GB"/>
        </w:rPr>
        <w:t>(appointment and dismissal of members of management board)</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When appointing and dismissing members of the management board, having regard for the policy for selecting and appointing suitable candidates for membership of the </w:t>
      </w:r>
      <w:r w:rsidR="003E2585">
        <w:rPr>
          <w:noProof/>
          <w:lang w:val="en-GB"/>
        </w:rPr>
        <w:t>Management body</w:t>
      </w:r>
      <w:r>
        <w:rPr>
          <w:noProof/>
          <w:lang w:val="en-GB"/>
        </w:rPr>
        <w:t xml:space="preserve"> referred to in the second paragraph of Article 34 of the ZBan-2, the supervisory board shall strive to carefully select candidates in a timely fashion to ensure the continuity of the management board’s work.</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The management board shall also participate in the selection of its members. The chairperson of the supervisory board shall call on the management board or its president to propose suitable candidates in timely fashion prior to the end of their term of office.</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68</w:t>
      </w:r>
    </w:p>
    <w:p w:rsidR="00823BAB" w:rsidRPr="00823BAB" w:rsidRDefault="00823BAB" w:rsidP="00823BAB">
      <w:pPr>
        <w:rPr>
          <w:b/>
          <w:noProof/>
        </w:rPr>
      </w:pPr>
      <w:r>
        <w:rPr>
          <w:b/>
          <w:bCs/>
          <w:noProof/>
          <w:lang w:val="en-GB"/>
        </w:rPr>
        <w:t>(selection of new members of supervisory board)</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Prior to a decision on the election of members of the supervisory board, the proposer shall present the candidates to the general meeting as appropriate, including:</w:t>
      </w:r>
    </w:p>
    <w:p w:rsidR="00823BAB" w:rsidRPr="00823BAB" w:rsidRDefault="00823BAB" w:rsidP="00823BAB">
      <w:pPr>
        <w:ind w:firstLine="360"/>
        <w:jc w:val="both"/>
        <w:rPr>
          <w:noProof/>
        </w:rPr>
      </w:pPr>
      <w:r>
        <w:rPr>
          <w:noProof/>
          <w:lang w:val="en-GB"/>
        </w:rPr>
        <w:t>1. argumentation that the candidate selection process took account of the bank’s policy with regard to the selection of suitable candidates referred to in the second paragraph of Article 34 of the ZBan-2;</w:t>
      </w:r>
    </w:p>
    <w:p w:rsidR="00823BAB" w:rsidRPr="00823BAB" w:rsidRDefault="00823BAB" w:rsidP="00823BAB">
      <w:pPr>
        <w:ind w:firstLine="360"/>
        <w:jc w:val="both"/>
        <w:rPr>
          <w:noProof/>
        </w:rPr>
      </w:pPr>
      <w:r>
        <w:rPr>
          <w:noProof/>
          <w:lang w:val="en-GB"/>
        </w:rPr>
        <w:t>2. an assessment of suitability as a member of the supervisory board, and any proposed measures by the bank;</w:t>
      </w:r>
    </w:p>
    <w:p w:rsidR="00823BAB" w:rsidRPr="00823BAB" w:rsidRDefault="00823BAB" w:rsidP="00823BAB">
      <w:pPr>
        <w:ind w:firstLine="360"/>
        <w:jc w:val="both"/>
        <w:rPr>
          <w:noProof/>
        </w:rPr>
      </w:pPr>
      <w:r>
        <w:rPr>
          <w:noProof/>
          <w:lang w:val="en-GB"/>
        </w:rPr>
        <w:t xml:space="preserve">3. any conflicts of interest that exist or could arise in relation to the bank as the result of their appointment.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rPr>
          <w:b/>
          <w:noProof/>
        </w:rPr>
      </w:pPr>
      <w:r>
        <w:rPr>
          <w:b/>
          <w:bCs/>
          <w:noProof/>
          <w:lang w:val="en-GB"/>
        </w:rPr>
        <w:t>3.6 Diligence of members of supervisory board in implementation of Article 48 of ZBan-2</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69</w:t>
      </w:r>
    </w:p>
    <w:p w:rsidR="00823BAB" w:rsidRPr="00823BAB" w:rsidRDefault="00823BAB" w:rsidP="00823BAB">
      <w:pPr>
        <w:rPr>
          <w:b/>
          <w:noProof/>
        </w:rPr>
      </w:pPr>
      <w:r>
        <w:rPr>
          <w:b/>
          <w:bCs/>
          <w:noProof/>
          <w:lang w:val="en-GB"/>
        </w:rPr>
        <w:t>(consent for management board with regard to definition of bank’s business policy)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supervisory board shall grant the management board its consent with regard to the definition of the bank’s business policy referred to in point 1 of Article 48 of the ZBan-2, primarily on the basis of an assessment of whether the business policy provides for the implementation of the objectives, strategies and policies referred to in the first paragraph of Article 4 of this regulation, and the bank’s best long-term financial interests, having regard for:</w:t>
      </w:r>
    </w:p>
    <w:p w:rsidR="00823BAB" w:rsidRPr="00823BAB" w:rsidRDefault="00823BAB" w:rsidP="00823BAB">
      <w:pPr>
        <w:ind w:firstLine="360"/>
        <w:jc w:val="both"/>
        <w:rPr>
          <w:noProof/>
        </w:rPr>
      </w:pPr>
      <w:r>
        <w:rPr>
          <w:noProof/>
          <w:lang w:val="en-GB"/>
        </w:rPr>
        <w:t xml:space="preserve">1. the adopted risk </w:t>
      </w:r>
      <w:r w:rsidR="00912BE8">
        <w:rPr>
          <w:noProof/>
          <w:lang w:val="en-GB"/>
        </w:rPr>
        <w:t>appetite</w:t>
      </w:r>
      <w:r>
        <w:rPr>
          <w:noProof/>
          <w:lang w:val="en-GB"/>
        </w:rPr>
        <w:t>;</w:t>
      </w:r>
    </w:p>
    <w:p w:rsidR="00823BAB" w:rsidRPr="00823BAB" w:rsidRDefault="00823BAB" w:rsidP="00823BAB">
      <w:pPr>
        <w:ind w:firstLine="360"/>
        <w:jc w:val="both"/>
        <w:rPr>
          <w:noProof/>
        </w:rPr>
      </w:pPr>
      <w:r>
        <w:rPr>
          <w:noProof/>
          <w:lang w:val="en-GB"/>
        </w:rPr>
        <w:t xml:space="preserve">2. the risk </w:t>
      </w:r>
      <w:r w:rsidR="00725B2C">
        <w:rPr>
          <w:noProof/>
          <w:lang w:val="en-GB"/>
        </w:rPr>
        <w:t>bearing</w:t>
      </w:r>
      <w:r>
        <w:rPr>
          <w:noProof/>
          <w:lang w:val="en-GB"/>
        </w:rPr>
        <w:t xml:space="preserve"> capacity;</w:t>
      </w:r>
    </w:p>
    <w:p w:rsidR="00823BAB" w:rsidRPr="00823BAB" w:rsidRDefault="00823BAB" w:rsidP="00823BAB">
      <w:pPr>
        <w:ind w:firstLine="360"/>
        <w:jc w:val="both"/>
        <w:rPr>
          <w:noProof/>
        </w:rPr>
      </w:pPr>
      <w:r>
        <w:rPr>
          <w:noProof/>
          <w:lang w:val="en-GB"/>
        </w:rPr>
        <w:t>3. the bank’s business model and the activities pursued by the bank;</w:t>
      </w:r>
    </w:p>
    <w:p w:rsidR="00823BAB" w:rsidRPr="00823BAB" w:rsidRDefault="00823BAB" w:rsidP="00823BAB">
      <w:pPr>
        <w:ind w:firstLine="360"/>
        <w:jc w:val="both"/>
        <w:rPr>
          <w:noProof/>
        </w:rPr>
      </w:pPr>
      <w:r>
        <w:rPr>
          <w:noProof/>
          <w:lang w:val="en-GB"/>
        </w:rPr>
        <w:t>4. zero tolerance on the part of the supervisory board for a business policy that encourages and realises unfair business practices, including conduct risk and reputation risk;</w:t>
      </w:r>
    </w:p>
    <w:p w:rsidR="00823BAB" w:rsidRPr="00823BAB" w:rsidRDefault="00823BAB" w:rsidP="00823BAB">
      <w:pPr>
        <w:ind w:firstLine="360"/>
        <w:jc w:val="both"/>
        <w:rPr>
          <w:noProof/>
        </w:rPr>
      </w:pPr>
      <w:r>
        <w:rPr>
          <w:noProof/>
          <w:lang w:val="en-GB"/>
        </w:rPr>
        <w:t>5. other relevant factors.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For the purpose of granting its consent to the management board with regard to the definition of the bank’s business policy, in the assessment of the adequacy of the business policy the supervisory board shall primarily take account of its own importance and role in promoting a high culture of risk management.</w:t>
      </w:r>
    </w:p>
    <w:p w:rsidR="00823BAB" w:rsidRPr="00823BAB" w:rsidRDefault="00823BAB" w:rsidP="00823BAB">
      <w:pPr>
        <w:jc w:val="both"/>
        <w:rPr>
          <w:b/>
          <w:noProof/>
        </w:rPr>
      </w:pPr>
    </w:p>
    <w:p w:rsidR="00823BAB" w:rsidRPr="00823BAB" w:rsidRDefault="00823BAB" w:rsidP="00823BAB">
      <w:pPr>
        <w:pStyle w:val="Odstavekseznama"/>
        <w:numPr>
          <w:ilvl w:val="0"/>
          <w:numId w:val="12"/>
        </w:numPr>
        <w:rPr>
          <w:b/>
          <w:noProof/>
        </w:rPr>
      </w:pPr>
      <w:r>
        <w:rPr>
          <w:b/>
          <w:bCs/>
          <w:noProof/>
          <w:lang w:val="en-GB"/>
        </w:rPr>
        <w:t>Article 70</w:t>
      </w:r>
    </w:p>
    <w:p w:rsidR="00823BAB" w:rsidRPr="00823BAB" w:rsidRDefault="00823BAB" w:rsidP="00823BAB">
      <w:pPr>
        <w:rPr>
          <w:b/>
          <w:noProof/>
        </w:rPr>
      </w:pPr>
      <w:r>
        <w:rPr>
          <w:b/>
          <w:bCs/>
          <w:noProof/>
          <w:lang w:val="en-GB"/>
        </w:rPr>
        <w:t>(consent for management board with regard to definition of bank’s financial plan)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The supervisory board shall grant the management board its consent with regard to the definition of the bank’s financial plan referred to in point 2 of Article 48 of the ZBan-2, primarily on the basis of an assessment of whether the bank’s financial plan is acceptable and feasible with regard to the bank’s business objectives, strategy and policy, the adopted risk </w:t>
      </w:r>
      <w:r w:rsidR="00912BE8">
        <w:rPr>
          <w:noProof/>
          <w:lang w:val="en-GB"/>
        </w:rPr>
        <w:t>appetite</w:t>
      </w:r>
      <w:r>
        <w:rPr>
          <w:noProof/>
          <w:lang w:val="en-GB"/>
        </w:rPr>
        <w:t xml:space="preserve">, and the bank’s risk </w:t>
      </w:r>
      <w:r w:rsidR="00725B2C">
        <w:rPr>
          <w:noProof/>
          <w:lang w:val="en-GB"/>
        </w:rPr>
        <w:t>bearing</w:t>
      </w:r>
      <w:r>
        <w:rPr>
          <w:noProof/>
          <w:lang w:val="en-GB"/>
        </w:rPr>
        <w:t xml:space="preserve"> capacity. </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71</w:t>
      </w:r>
    </w:p>
    <w:p w:rsidR="00823BAB" w:rsidRPr="00823BAB" w:rsidRDefault="00823BAB" w:rsidP="00823BAB">
      <w:pPr>
        <w:rPr>
          <w:b/>
          <w:noProof/>
        </w:rPr>
      </w:pPr>
      <w:r>
        <w:rPr>
          <w:b/>
          <w:bCs/>
          <w:noProof/>
          <w:lang w:val="en-GB"/>
        </w:rPr>
        <w:t>(consent for management board with regard to definition of organisation of internal control system)</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The supervisory board shall grant the management board its consent with regard to the definition of the organisation of the internal control system referred to in point 3 of Article 48 of the ZBan-2, primarily on the basis of an assessment of:</w:t>
      </w:r>
    </w:p>
    <w:p w:rsidR="00823BAB" w:rsidRPr="00823BAB" w:rsidRDefault="00823BAB" w:rsidP="00823BAB">
      <w:pPr>
        <w:ind w:firstLine="360"/>
        <w:jc w:val="both"/>
        <w:rPr>
          <w:noProof/>
        </w:rPr>
      </w:pPr>
      <w:r>
        <w:rPr>
          <w:noProof/>
          <w:lang w:val="en-GB"/>
        </w:rPr>
        <w:t>1. whether the internal controls referred to in point 1 of the first paragraph of Article 31 of this regulation provide for the systematic supervision of all of the bank’s significant risks on the basis of their implementation at all levels of the bank’s organisational structure, and their execution within the framework of the bank’s everyday processes, procedures and activities;</w:t>
      </w:r>
    </w:p>
    <w:p w:rsidR="00823BAB" w:rsidRPr="00823BAB" w:rsidRDefault="00823BAB" w:rsidP="00823BAB">
      <w:pPr>
        <w:ind w:firstLine="360"/>
        <w:jc w:val="both"/>
        <w:rPr>
          <w:noProof/>
        </w:rPr>
      </w:pPr>
      <w:r>
        <w:rPr>
          <w:noProof/>
          <w:lang w:val="en-GB"/>
        </w:rPr>
        <w:t xml:space="preserve">2. whether the internal control functions referred to in point 2 of the first paragraph of Article 31 of this regulation provide for an independent and objective assessment for the proper compliant implementation of the bank’s internal governance arrangements. </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72</w:t>
      </w:r>
    </w:p>
    <w:p w:rsidR="00823BAB" w:rsidRPr="00823BAB" w:rsidRDefault="00823BAB" w:rsidP="00823BAB">
      <w:pPr>
        <w:rPr>
          <w:b/>
          <w:noProof/>
        </w:rPr>
      </w:pPr>
      <w:r>
        <w:rPr>
          <w:b/>
          <w:bCs/>
          <w:noProof/>
          <w:lang w:val="en-GB"/>
        </w:rPr>
        <w:t>(consent for the management board with regard to definition of internal audit department’s framework</w:t>
      </w:r>
      <w:r>
        <w:rPr>
          <w:noProof/>
          <w:lang w:val="en-GB"/>
        </w:rPr>
        <w:t xml:space="preserve"> </w:t>
      </w:r>
      <w:r>
        <w:rPr>
          <w:b/>
          <w:bCs/>
          <w:noProof/>
          <w:lang w:val="en-GB"/>
        </w:rPr>
        <w:t>annual work programme)</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The supervisory board shall grant the management board its consent with regard to the definition of the internal audit department’s framework annual work programme referred to in point 4 of Article 48 of the ZBan-2, primarily on the basis of an assessment of whether the internal audit department’s annual work plan has been designed to take account of the bank’s risks.</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73</w:t>
      </w:r>
    </w:p>
    <w:p w:rsidR="00823BAB" w:rsidRPr="00823BAB" w:rsidRDefault="00823BAB" w:rsidP="00823BAB">
      <w:pPr>
        <w:rPr>
          <w:b/>
          <w:noProof/>
        </w:rPr>
      </w:pPr>
      <w:r>
        <w:rPr>
          <w:b/>
          <w:bCs/>
          <w:noProof/>
          <w:lang w:val="en-GB"/>
        </w:rPr>
        <w:t>(supervision of suitability of procedures and effectiveness of work of internal audit department)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supervisory board shall realise the supervision of the suitability of the procedures and the effectiveness of the work of the internal audit department referred to in point 5 of Article 48 of the ZBan-2 primarily on the basis of an assessment of whether the internal audit department is providing an independent assessment to the supervisory board with regard to the quality and effectiveness of the internal governance arrangements, including the bank’s risk management systems and processes and internal controls.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In the assessment referred to in the first paragraph of this article, the supervisory board shall in particular consider whether:</w:t>
      </w:r>
    </w:p>
    <w:p w:rsidR="00823BAB" w:rsidRPr="00823BAB" w:rsidRDefault="00823BAB" w:rsidP="00823BAB">
      <w:pPr>
        <w:ind w:firstLine="360"/>
        <w:jc w:val="both"/>
        <w:rPr>
          <w:noProof/>
        </w:rPr>
      </w:pPr>
      <w:r>
        <w:rPr>
          <w:noProof/>
          <w:lang w:val="en-GB"/>
        </w:rPr>
        <w:t>1. the internal audit department is independent in exercising its internal auditing tasks;</w:t>
      </w:r>
    </w:p>
    <w:p w:rsidR="00823BAB" w:rsidRPr="00823BAB" w:rsidRDefault="00823BAB" w:rsidP="00823BAB">
      <w:pPr>
        <w:ind w:firstLine="360"/>
        <w:jc w:val="both"/>
        <w:rPr>
          <w:noProof/>
        </w:rPr>
      </w:pPr>
      <w:r>
        <w:rPr>
          <w:noProof/>
          <w:lang w:val="en-GB"/>
        </w:rPr>
        <w:t>2. the internal audit department is exercising its internal auditing tasks at its own initiative;</w:t>
      </w:r>
    </w:p>
    <w:p w:rsidR="00823BAB" w:rsidRPr="00823BAB" w:rsidRDefault="00823BAB" w:rsidP="00823BAB">
      <w:pPr>
        <w:ind w:firstLine="360"/>
        <w:jc w:val="both"/>
        <w:rPr>
          <w:noProof/>
        </w:rPr>
      </w:pPr>
      <w:r>
        <w:rPr>
          <w:noProof/>
          <w:lang w:val="en-GB"/>
        </w:rPr>
        <w:t>3. the internal audit department has unfettered access to all of the bank’s premises, employees, information and data;</w:t>
      </w:r>
    </w:p>
    <w:p w:rsidR="00823BAB" w:rsidRPr="00823BAB" w:rsidRDefault="00823BAB" w:rsidP="00823BAB">
      <w:pPr>
        <w:ind w:firstLine="360"/>
        <w:jc w:val="both"/>
        <w:rPr>
          <w:noProof/>
        </w:rPr>
      </w:pPr>
      <w:r>
        <w:rPr>
          <w:noProof/>
          <w:lang w:val="en-GB"/>
        </w:rPr>
        <w:t>4. the internal audit department is realising its annual work programme, including the provision of the requisite analysis, reports, opinions and information with regard to audit findings;</w:t>
      </w:r>
    </w:p>
    <w:p w:rsidR="00823BAB" w:rsidRPr="00823BAB" w:rsidRDefault="00823BAB" w:rsidP="00823BAB">
      <w:pPr>
        <w:ind w:firstLine="360"/>
        <w:jc w:val="both"/>
        <w:rPr>
          <w:noProof/>
        </w:rPr>
      </w:pPr>
      <w:r>
        <w:rPr>
          <w:noProof/>
          <w:lang w:val="en-GB"/>
        </w:rPr>
        <w:t>5. the frequency of internal audits is appropriate with regard to the importance of the area in question, having regard for the corresponding risks and their impact on the bank’s profit or loss;</w:t>
      </w:r>
    </w:p>
    <w:p w:rsidR="00823BAB" w:rsidRPr="00823BAB" w:rsidRDefault="00823BAB" w:rsidP="00823BAB">
      <w:pPr>
        <w:ind w:firstLine="360"/>
        <w:jc w:val="both"/>
        <w:rPr>
          <w:noProof/>
        </w:rPr>
      </w:pPr>
      <w:r>
        <w:rPr>
          <w:noProof/>
          <w:lang w:val="en-GB"/>
        </w:rPr>
        <w:t>6. in exercising their internal auditing tasks the internal audit department’s employees do not enter into a position of a potential conflict of interest;</w:t>
      </w:r>
    </w:p>
    <w:p w:rsidR="00823BAB" w:rsidRPr="00823BAB" w:rsidRDefault="00823BAB" w:rsidP="00823BAB">
      <w:pPr>
        <w:ind w:firstLine="360"/>
        <w:jc w:val="both"/>
        <w:rPr>
          <w:noProof/>
        </w:rPr>
      </w:pPr>
      <w:r>
        <w:rPr>
          <w:noProof/>
          <w:lang w:val="en-GB"/>
        </w:rPr>
        <w:t xml:space="preserve">7. the bank is providing the internal audit department with the requisite human and financial resources for exercising its tasks and for engaging and training the internal audit department’s employees, with regard to the areas and complexity of their tasks. </w:t>
      </w:r>
    </w:p>
    <w:p w:rsidR="00823BAB" w:rsidRPr="00823BAB" w:rsidRDefault="00823BAB" w:rsidP="00823BAB">
      <w:pPr>
        <w:ind w:firstLine="360"/>
        <w:jc w:val="both"/>
        <w:rPr>
          <w:noProof/>
        </w:rPr>
      </w:pPr>
    </w:p>
    <w:p w:rsidR="00823BAB" w:rsidRPr="00823BAB" w:rsidRDefault="00823BAB" w:rsidP="00823BAB">
      <w:pPr>
        <w:pStyle w:val="Odstavekseznama"/>
        <w:numPr>
          <w:ilvl w:val="0"/>
          <w:numId w:val="12"/>
        </w:numPr>
        <w:rPr>
          <w:b/>
          <w:noProof/>
        </w:rPr>
      </w:pPr>
      <w:r>
        <w:rPr>
          <w:b/>
          <w:bCs/>
          <w:noProof/>
          <w:lang w:val="en-GB"/>
        </w:rPr>
        <w:t>Article 74</w:t>
      </w:r>
    </w:p>
    <w:p w:rsidR="00823BAB" w:rsidRPr="00823BAB" w:rsidRDefault="00823BAB" w:rsidP="00823BAB">
      <w:pPr>
        <w:rPr>
          <w:b/>
          <w:noProof/>
        </w:rPr>
      </w:pPr>
      <w:r>
        <w:rPr>
          <w:b/>
          <w:bCs/>
          <w:noProof/>
          <w:lang w:val="en-GB"/>
        </w:rPr>
        <w:t>(consent for appointment and dismissal of head of internal audit department)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supervisory board shall grant the management board its consent for the appointment, including re-appointment and dismissal, of the head of the internal audit department referred to in point 6 of Article 48 of the ZBan-2, primarily on the basis of an assessment of:</w:t>
      </w:r>
    </w:p>
    <w:p w:rsidR="00823BAB" w:rsidRPr="00823BAB" w:rsidRDefault="00823BAB" w:rsidP="00823BAB">
      <w:pPr>
        <w:ind w:firstLine="360"/>
        <w:jc w:val="both"/>
        <w:rPr>
          <w:noProof/>
        </w:rPr>
      </w:pPr>
      <w:r>
        <w:rPr>
          <w:noProof/>
          <w:lang w:val="en-GB"/>
        </w:rPr>
        <w:t>1. the adequacy of the candidate for head of the internal audit department, and</w:t>
      </w:r>
    </w:p>
    <w:p w:rsidR="00823BAB" w:rsidRPr="00823BAB" w:rsidRDefault="00823BAB" w:rsidP="00823BAB">
      <w:pPr>
        <w:ind w:firstLine="360"/>
        <w:jc w:val="both"/>
        <w:rPr>
          <w:noProof/>
        </w:rPr>
      </w:pPr>
      <w:r>
        <w:rPr>
          <w:noProof/>
          <w:lang w:val="en-GB"/>
        </w:rPr>
        <w:t>2. whether the grounds for dismissal of the head of internal audit department are justifiable.</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In the assessment of the adequacy of the candidate for head of the internal audit department referred to in point 1 of the first paragraph of this article, the supervisory board shall consider the following in particular:</w:t>
      </w:r>
    </w:p>
    <w:p w:rsidR="00823BAB" w:rsidRPr="00823BAB" w:rsidRDefault="00823BAB" w:rsidP="00823BAB">
      <w:pPr>
        <w:ind w:firstLine="360"/>
        <w:jc w:val="both"/>
        <w:rPr>
          <w:noProof/>
        </w:rPr>
      </w:pPr>
      <w:r>
        <w:rPr>
          <w:noProof/>
          <w:lang w:val="en-GB"/>
        </w:rPr>
        <w:t>1. the knowledge, skills and experience required for the effective performance of internal auditing tasks;</w:t>
      </w:r>
    </w:p>
    <w:p w:rsidR="00823BAB" w:rsidRPr="00823BAB" w:rsidRDefault="00823BAB" w:rsidP="00823BAB">
      <w:pPr>
        <w:ind w:firstLine="360"/>
        <w:jc w:val="both"/>
        <w:rPr>
          <w:noProof/>
        </w:rPr>
      </w:pPr>
      <w:r>
        <w:rPr>
          <w:noProof/>
          <w:lang w:val="en-GB"/>
        </w:rPr>
        <w:t>2. the personal attributes and integrity of the candidate for head of the internal audit department that allow him/her to uphold the mission of the internal audit department to the greatest extent;</w:t>
      </w:r>
    </w:p>
    <w:p w:rsidR="00823BAB" w:rsidRPr="00823BAB" w:rsidRDefault="00823BAB" w:rsidP="00823BAB">
      <w:pPr>
        <w:ind w:firstLine="360"/>
        <w:jc w:val="both"/>
        <w:rPr>
          <w:noProof/>
        </w:rPr>
      </w:pPr>
      <w:r>
        <w:rPr>
          <w:noProof/>
          <w:lang w:val="en-GB"/>
        </w:rPr>
        <w:t>3. an assessment of the suitability of the candidate for head of the internal audit department drawn up by the bank.</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(3) In the assessment of whether the grounds for dismissal of the candidate for head of the internal audit department referred to in point 2 of the first paragraph of this article are justifiable, the supervisory board shall consider the following in particular:</w:t>
      </w:r>
    </w:p>
    <w:p w:rsidR="00823BAB" w:rsidRPr="00823BAB" w:rsidRDefault="00823BAB" w:rsidP="00823BAB">
      <w:pPr>
        <w:ind w:firstLine="360"/>
        <w:jc w:val="both"/>
        <w:rPr>
          <w:noProof/>
        </w:rPr>
      </w:pPr>
      <w:r>
        <w:rPr>
          <w:noProof/>
          <w:lang w:val="en-GB"/>
        </w:rPr>
        <w:t>1. the written clarifications of the management board and the written clarifications of the head of the internal audit department with regard to the cited grounds for dismissal;</w:t>
      </w:r>
    </w:p>
    <w:p w:rsidR="00823BAB" w:rsidRPr="00823BAB" w:rsidRDefault="00823BAB" w:rsidP="00823BAB">
      <w:pPr>
        <w:ind w:firstLine="360"/>
        <w:jc w:val="both"/>
        <w:rPr>
          <w:noProof/>
        </w:rPr>
      </w:pPr>
      <w:r>
        <w:rPr>
          <w:noProof/>
          <w:lang w:val="en-GB"/>
        </w:rPr>
        <w:t>2. the submitted material evidence constituting the grounds for dismissal of the head of the internal audit department;</w:t>
      </w:r>
    </w:p>
    <w:p w:rsidR="00823BAB" w:rsidRPr="00823BAB" w:rsidRDefault="00823BAB" w:rsidP="00823BAB">
      <w:pPr>
        <w:ind w:firstLine="360"/>
        <w:jc w:val="both"/>
        <w:rPr>
          <w:noProof/>
        </w:rPr>
      </w:pPr>
      <w:r>
        <w:rPr>
          <w:noProof/>
          <w:lang w:val="en-GB"/>
        </w:rPr>
        <w:t>3. regulations and the bank’s HR policy governing the termination of the employment contract and the dismissal of employees;</w:t>
      </w:r>
    </w:p>
    <w:p w:rsidR="00823BAB" w:rsidRPr="00823BAB" w:rsidRDefault="00823BAB" w:rsidP="00823BAB">
      <w:pPr>
        <w:ind w:firstLine="360"/>
        <w:jc w:val="both"/>
        <w:rPr>
          <w:noProof/>
        </w:rPr>
      </w:pPr>
      <w:r>
        <w:rPr>
          <w:noProof/>
          <w:lang w:val="en-GB"/>
        </w:rPr>
        <w:t>4. other relevant evidence and clarifications.</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75</w:t>
      </w:r>
    </w:p>
    <w:p w:rsidR="00823BAB" w:rsidRPr="00823BAB" w:rsidRDefault="00823BAB" w:rsidP="00823BAB">
      <w:pPr>
        <w:rPr>
          <w:b/>
          <w:noProof/>
        </w:rPr>
      </w:pPr>
      <w:r>
        <w:rPr>
          <w:b/>
          <w:bCs/>
          <w:noProof/>
          <w:lang w:val="en-GB"/>
        </w:rPr>
        <w:t>(adoption and supervision of basic principles of remuneration policy)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The supervisory board shall adopt and monitor the implementation of the basic principles of remuneration policy referred to in point 7 of Article 48 of the ZBan-2, primarily on the basis of an assessment of whether the bank’s remuneration policy complies with:</w:t>
      </w:r>
    </w:p>
    <w:p w:rsidR="00823BAB" w:rsidRPr="00823BAB" w:rsidRDefault="00823BAB" w:rsidP="00823BAB">
      <w:pPr>
        <w:ind w:firstLine="360"/>
        <w:jc w:val="both"/>
        <w:rPr>
          <w:noProof/>
        </w:rPr>
      </w:pPr>
      <w:r>
        <w:rPr>
          <w:noProof/>
          <w:lang w:val="en-GB"/>
        </w:rPr>
        <w:t>1. regulations governing the area of remuneration at banks, in particular the requirements set out in:</w:t>
      </w:r>
    </w:p>
    <w:p w:rsidR="00823BAB" w:rsidRPr="00823BAB" w:rsidRDefault="00823BAB" w:rsidP="00823BAB">
      <w:pPr>
        <w:pStyle w:val="Odstavekseznama"/>
        <w:numPr>
          <w:ilvl w:val="0"/>
          <w:numId w:val="15"/>
        </w:numPr>
        <w:jc w:val="both"/>
        <w:rPr>
          <w:noProof/>
        </w:rPr>
      </w:pPr>
      <w:r>
        <w:rPr>
          <w:noProof/>
          <w:lang w:val="en-GB"/>
        </w:rPr>
        <w:t>Articles 169 to 171 of the ZBan-2 and the requirements set out in Section 2.5 of this regulation;</w:t>
      </w:r>
    </w:p>
    <w:p w:rsidR="00823BAB" w:rsidRPr="00823BAB" w:rsidRDefault="00823BAB" w:rsidP="00823BAB">
      <w:pPr>
        <w:pStyle w:val="Odstavekseznama"/>
        <w:numPr>
          <w:ilvl w:val="0"/>
          <w:numId w:val="15"/>
        </w:numPr>
        <w:jc w:val="both"/>
        <w:rPr>
          <w:noProof/>
        </w:rPr>
      </w:pPr>
      <w:r>
        <w:rPr>
          <w:noProof/>
          <w:lang w:val="en-GB"/>
        </w:rPr>
        <w:t>Commission Delegated Regulation (EU) No 604/2014 of 4 March 2014 supplementing Directive 2013/36/EU of the European Parliament and of the Council with regard to regulatory technical standards with respect to qualitative and appropriate quantitative criteria to identify categories of staff whose professional activities have a material impact on an institution’s risk profile;</w:t>
      </w:r>
    </w:p>
    <w:p w:rsidR="00823BAB" w:rsidRPr="00823BAB" w:rsidRDefault="00823BAB" w:rsidP="00823BAB">
      <w:pPr>
        <w:pStyle w:val="Odstavekseznama"/>
        <w:numPr>
          <w:ilvl w:val="0"/>
          <w:numId w:val="15"/>
        </w:numPr>
        <w:jc w:val="both"/>
        <w:rPr>
          <w:noProof/>
        </w:rPr>
      </w:pPr>
      <w:r>
        <w:rPr>
          <w:noProof/>
          <w:lang w:val="en-GB"/>
        </w:rPr>
        <w:t>Commission Delegated Regulation (EU) No 527/2014 of 12 March 2014 supplementing Directive (EU) No 2013/36/EU of the European Parliament and of the Council with regard to regulatory technical standards specifying the classes of instruments that adequately reflect the credit quality of an institution as a going concern and are appropriate to be used for the purposes of variable remuneration;</w:t>
      </w:r>
    </w:p>
    <w:p w:rsidR="00823BAB" w:rsidRPr="00823BAB" w:rsidRDefault="00823BAB" w:rsidP="00823BAB">
      <w:pPr>
        <w:ind w:firstLine="360"/>
        <w:jc w:val="both"/>
        <w:rPr>
          <w:noProof/>
        </w:rPr>
      </w:pPr>
      <w:r>
        <w:rPr>
          <w:noProof/>
          <w:lang w:val="en-GB"/>
        </w:rPr>
        <w:t xml:space="preserve">2. the bank’s corporate values, business strategy and risk strategy, risk </w:t>
      </w:r>
      <w:r w:rsidR="00912BE8">
        <w:rPr>
          <w:noProof/>
          <w:lang w:val="en-GB"/>
        </w:rPr>
        <w:t>appetite</w:t>
      </w:r>
      <w:r>
        <w:rPr>
          <w:noProof/>
          <w:lang w:val="en-GB"/>
        </w:rPr>
        <w:t>, and long-term interests deriving from these strategies and policies.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In the assessment of the compliance of the general principles of the bank’s remuneration policy with the bank’s values, strategies and interests referred to in point 2 of the first paragraph of this article, the supervisory board shall in particular consider whether the remuneration policy is compatible with and encourages prudent and effective risk management, whereby it does not encourage risk exposure that is not in accordance with the risk </w:t>
      </w:r>
      <w:r w:rsidR="00912BE8">
        <w:rPr>
          <w:noProof/>
          <w:lang w:val="en-GB"/>
        </w:rPr>
        <w:t>appetite</w:t>
      </w:r>
      <w:r>
        <w:rPr>
          <w:noProof/>
          <w:lang w:val="en-GB"/>
        </w:rPr>
        <w:t xml:space="preserve">. The supervisory board shall also realise such an assessment in the event of the excessively high or low remuneration of members of the </w:t>
      </w:r>
      <w:r w:rsidR="003E2585">
        <w:rPr>
          <w:noProof/>
          <w:lang w:val="en-GB"/>
        </w:rPr>
        <w:t>Management body</w:t>
      </w:r>
      <w:r>
        <w:rPr>
          <w:noProof/>
          <w:lang w:val="en-GB"/>
        </w:rPr>
        <w:t xml:space="preserve"> and other persons referred to in the second paragraph of Article 169 of the ZBan-2, including an assessment of the corresponding risks.</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3.6.1 Decisions on other matters set out by ZBan-2</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76</w:t>
      </w:r>
    </w:p>
    <w:p w:rsidR="00823BAB" w:rsidRPr="00823BAB" w:rsidRDefault="00823BAB" w:rsidP="00823BAB">
      <w:pPr>
        <w:rPr>
          <w:b/>
          <w:noProof/>
        </w:rPr>
      </w:pPr>
      <w:r>
        <w:rPr>
          <w:b/>
          <w:bCs/>
          <w:noProof/>
          <w:lang w:val="en-GB"/>
        </w:rPr>
        <w:t>(consent for dismissal of head of risk management function)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The supervisory board shall grant consent to the management board for the dismissal of the head of the risk management function referred to in the fifth paragraph of Article 138 of the ZBan-2, on the basis of an assessment of whether the grounds for his/her dismissal are justifiable.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In the assessment of whether the grounds for the dismissal of the head of the risk management function are justifiable, the supervisory board shall in particular consider:</w:t>
      </w:r>
    </w:p>
    <w:p w:rsidR="00823BAB" w:rsidRPr="00823BAB" w:rsidRDefault="00823BAB" w:rsidP="00823BAB">
      <w:pPr>
        <w:ind w:firstLine="360"/>
        <w:jc w:val="both"/>
        <w:rPr>
          <w:noProof/>
        </w:rPr>
      </w:pPr>
      <w:r>
        <w:rPr>
          <w:noProof/>
          <w:lang w:val="en-GB"/>
        </w:rPr>
        <w:t>1. the written clarifications of the management board and the written clarifications of the head of the risk management function with regard to the cited grounds for dismissal;</w:t>
      </w:r>
    </w:p>
    <w:p w:rsidR="00823BAB" w:rsidRPr="00823BAB" w:rsidRDefault="00823BAB" w:rsidP="00823BAB">
      <w:pPr>
        <w:ind w:firstLine="360"/>
        <w:jc w:val="both"/>
        <w:rPr>
          <w:noProof/>
        </w:rPr>
      </w:pPr>
      <w:r>
        <w:rPr>
          <w:noProof/>
          <w:lang w:val="en-GB"/>
        </w:rPr>
        <w:t>2. the submitted material evidence constituting the grounds for dismissal of the head of the risk management function;</w:t>
      </w:r>
    </w:p>
    <w:p w:rsidR="00823BAB" w:rsidRPr="00823BAB" w:rsidRDefault="00823BAB" w:rsidP="00823BAB">
      <w:pPr>
        <w:ind w:firstLine="360"/>
        <w:jc w:val="both"/>
        <w:rPr>
          <w:noProof/>
        </w:rPr>
      </w:pPr>
      <w:r>
        <w:rPr>
          <w:noProof/>
          <w:lang w:val="en-GB"/>
        </w:rPr>
        <w:t>3. regulations and the bank’s HR policy;</w:t>
      </w:r>
    </w:p>
    <w:p w:rsidR="00823BAB" w:rsidRPr="00823BAB" w:rsidRDefault="00823BAB" w:rsidP="00823BAB">
      <w:pPr>
        <w:ind w:firstLine="360"/>
        <w:jc w:val="both"/>
        <w:rPr>
          <w:noProof/>
        </w:rPr>
      </w:pPr>
      <w:r>
        <w:rPr>
          <w:noProof/>
          <w:lang w:val="en-GB"/>
        </w:rPr>
        <w:t>4. other relevant evidence and clarifications.</w:t>
      </w:r>
    </w:p>
    <w:p w:rsidR="00823BAB" w:rsidRPr="00823BAB" w:rsidRDefault="00823BAB" w:rsidP="00823BAB">
      <w:pPr>
        <w:ind w:firstLine="360"/>
        <w:jc w:val="both"/>
        <w:rPr>
          <w:noProof/>
        </w:rPr>
      </w:pPr>
    </w:p>
    <w:p w:rsidR="00823BAB" w:rsidRPr="00823BAB" w:rsidRDefault="00823BAB" w:rsidP="00823BAB">
      <w:pPr>
        <w:pStyle w:val="Odstavekseznama"/>
        <w:numPr>
          <w:ilvl w:val="0"/>
          <w:numId w:val="12"/>
        </w:numPr>
        <w:rPr>
          <w:b/>
          <w:noProof/>
        </w:rPr>
      </w:pPr>
      <w:r>
        <w:rPr>
          <w:b/>
          <w:bCs/>
          <w:noProof/>
          <w:lang w:val="en-GB"/>
        </w:rPr>
        <w:t>Article 77</w:t>
      </w:r>
    </w:p>
    <w:p w:rsidR="00823BAB" w:rsidRPr="00823BAB" w:rsidRDefault="00823BAB" w:rsidP="00823BAB">
      <w:pPr>
        <w:rPr>
          <w:b/>
          <w:noProof/>
        </w:rPr>
      </w:pPr>
      <w:r>
        <w:rPr>
          <w:b/>
          <w:bCs/>
          <w:noProof/>
          <w:lang w:val="en-GB"/>
        </w:rPr>
        <w:t>(consent for plan of risk management activities)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The supervisory board shall grant the management board its consent for the action plan for managing risks referred to in the third paragraph of Article 48 of the ZBan-2, primarily on the basis of an assessment of whether the plan provides for the implementation of the risk strategies and policies referred to in Articles 5 and 6 of this regulation.</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ind w:firstLine="360"/>
        <w:rPr>
          <w:b/>
          <w:noProof/>
        </w:rPr>
      </w:pPr>
      <w:r>
        <w:rPr>
          <w:b/>
          <w:bCs/>
          <w:noProof/>
          <w:lang w:val="en-GB"/>
        </w:rPr>
        <w:t>4. INTERNAL CAPITAL ADEQUACY ASSESSMENT PROCESS</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78</w:t>
      </w:r>
    </w:p>
    <w:p w:rsidR="00823BAB" w:rsidRPr="00823BAB" w:rsidRDefault="00823BAB" w:rsidP="00823BAB">
      <w:pPr>
        <w:rPr>
          <w:b/>
          <w:noProof/>
        </w:rPr>
      </w:pPr>
      <w:r>
        <w:rPr>
          <w:b/>
          <w:bCs/>
          <w:noProof/>
          <w:lang w:val="en-GB"/>
        </w:rPr>
        <w:t>(general)</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For the purpose of continually assessing and ensuring the requisite amounts, types and distribution of adequate capital that it assesses as necessary coverage with regard to the characteristics and extent of the bank’s risks referred to in Article 131 of the ZBan-2, a bank shall put in place an internal capital adequacy assessment process (hereinafter: ICAAP) to ensure the consistent application of:</w:t>
      </w:r>
    </w:p>
    <w:p w:rsidR="00823BAB" w:rsidRPr="00823BAB" w:rsidRDefault="00823BAB" w:rsidP="00823BAB">
      <w:pPr>
        <w:ind w:firstLine="360"/>
        <w:jc w:val="both"/>
        <w:rPr>
          <w:noProof/>
        </w:rPr>
      </w:pPr>
      <w:r>
        <w:rPr>
          <w:noProof/>
          <w:lang w:val="en-GB"/>
        </w:rPr>
        <w:t>1. the risk management processes referred to in the first paragraph of Article 20 of this regulation;</w:t>
      </w:r>
    </w:p>
    <w:p w:rsidR="00823BAB" w:rsidRPr="00823BAB" w:rsidRDefault="00823BAB" w:rsidP="00823BAB">
      <w:pPr>
        <w:ind w:firstLine="360"/>
        <w:jc w:val="both"/>
        <w:rPr>
          <w:noProof/>
        </w:rPr>
      </w:pPr>
      <w:r>
        <w:rPr>
          <w:noProof/>
          <w:lang w:val="en-GB"/>
        </w:rPr>
        <w:t>2. the results of the ICAAP in the determination of the risk strategies referred to in Article 5 of this regulation and in capital planning.</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pStyle w:val="Odstavekseznama"/>
        <w:numPr>
          <w:ilvl w:val="1"/>
          <w:numId w:val="4"/>
        </w:numPr>
        <w:rPr>
          <w:b/>
          <w:noProof/>
        </w:rPr>
      </w:pPr>
      <w:r>
        <w:rPr>
          <w:b/>
          <w:bCs/>
          <w:noProof/>
          <w:lang w:val="en-GB"/>
        </w:rPr>
        <w:t>ICAAP as integral part of risk management processes</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79</w:t>
      </w:r>
    </w:p>
    <w:p w:rsidR="00823BAB" w:rsidRPr="00823BAB" w:rsidRDefault="00823BAB" w:rsidP="00823BAB">
      <w:pPr>
        <w:rPr>
          <w:b/>
          <w:noProof/>
        </w:rPr>
      </w:pPr>
      <w:r>
        <w:rPr>
          <w:b/>
          <w:bCs/>
          <w:noProof/>
          <w:lang w:val="en-GB"/>
        </w:rPr>
        <w:t>(general)</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ensure that the ICAAP is an integral part of the risk management processes referred to in the first paragraph of Article 20 of this regulation. To this end, in the implementation of the ICAAP and the corresponding calculations of the internal assessment of risk-based capital requirements and the internal capital assessment, the bank shall apply the same systems, processes, methodologies, data and definitions of risks as those applied in the identification, assessment or measurement, management, monitoring and controlling of risks.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The management board shall ensure that the results of the ICAAP, including the internal assessment of risk-based capital requirements and the internal capital assessment, are taken into account in:</w:t>
      </w:r>
    </w:p>
    <w:p w:rsidR="00823BAB" w:rsidRPr="00823BAB" w:rsidRDefault="00823BAB" w:rsidP="00823BAB">
      <w:pPr>
        <w:ind w:firstLine="360"/>
        <w:jc w:val="both"/>
        <w:rPr>
          <w:noProof/>
        </w:rPr>
      </w:pPr>
      <w:r>
        <w:rPr>
          <w:noProof/>
          <w:lang w:val="en-GB"/>
        </w:rPr>
        <w:t>1. the adoption of the bank’s business decisions;</w:t>
      </w:r>
    </w:p>
    <w:p w:rsidR="00823BAB" w:rsidRPr="00823BAB" w:rsidRDefault="00823BAB" w:rsidP="00823BAB">
      <w:pPr>
        <w:ind w:firstLine="360"/>
        <w:jc w:val="both"/>
        <w:rPr>
          <w:noProof/>
        </w:rPr>
      </w:pPr>
      <w:r>
        <w:rPr>
          <w:noProof/>
          <w:lang w:val="en-GB"/>
        </w:rPr>
        <w:t xml:space="preserve">2. the definition and adoption of risk strategies, the risk </w:t>
      </w:r>
      <w:r w:rsidR="00912BE8">
        <w:rPr>
          <w:noProof/>
          <w:lang w:val="en-GB"/>
        </w:rPr>
        <w:t>appetite</w:t>
      </w:r>
      <w:r>
        <w:rPr>
          <w:noProof/>
          <w:lang w:val="en-GB"/>
        </w:rPr>
        <w:t xml:space="preserve"> and the risk </w:t>
      </w:r>
      <w:r w:rsidR="00725B2C">
        <w:rPr>
          <w:noProof/>
          <w:lang w:val="en-GB"/>
        </w:rPr>
        <w:t>bearing</w:t>
      </w:r>
      <w:r>
        <w:rPr>
          <w:noProof/>
          <w:lang w:val="en-GB"/>
        </w:rPr>
        <w:t xml:space="preserve"> capacity, and in the bank’s long-term capital planning.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pStyle w:val="Odstavekseznama"/>
        <w:numPr>
          <w:ilvl w:val="2"/>
          <w:numId w:val="4"/>
        </w:numPr>
        <w:rPr>
          <w:b/>
          <w:noProof/>
        </w:rPr>
      </w:pPr>
      <w:r>
        <w:rPr>
          <w:b/>
          <w:bCs/>
          <w:noProof/>
          <w:lang w:val="en-GB"/>
        </w:rPr>
        <w:t>Operational and organisational structure of implementation of ICAAP</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80</w:t>
      </w:r>
    </w:p>
    <w:p w:rsidR="00823BAB" w:rsidRPr="00823BAB" w:rsidRDefault="00823BAB" w:rsidP="00823BAB">
      <w:pPr>
        <w:rPr>
          <w:b/>
          <w:noProof/>
        </w:rPr>
      </w:pPr>
      <w:r>
        <w:rPr>
          <w:b/>
          <w:bCs/>
          <w:noProof/>
          <w:lang w:val="en-GB"/>
        </w:rPr>
        <w:t>(</w:t>
      </w:r>
      <w:r w:rsidR="003E2585">
        <w:rPr>
          <w:b/>
          <w:bCs/>
          <w:noProof/>
          <w:lang w:val="en-GB"/>
        </w:rPr>
        <w:t>Management body</w:t>
      </w:r>
      <w:r>
        <w:rPr>
          <w:b/>
          <w:bCs/>
          <w:noProof/>
          <w:lang w:val="en-GB"/>
        </w:rPr>
        <w:t>’s responsibility for approval of ICAAP)</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For the purpose of the proper application and results of the ICAAP in the adoption and supervision of business decisions and risk strategies, the </w:t>
      </w:r>
      <w:r w:rsidR="003E2585">
        <w:rPr>
          <w:noProof/>
          <w:lang w:val="en-GB"/>
        </w:rPr>
        <w:t>Management body</w:t>
      </w:r>
      <w:r>
        <w:rPr>
          <w:noProof/>
          <w:lang w:val="en-GB"/>
        </w:rPr>
        <w:t xml:space="preserve"> shall approve the adequacy of the ICAAP at least once a year, including the internal assessment of risk-based capital requirements and the internal capital assessment on each occasion and the corresponding measures (hereinafter: results of the ICAAP). In so doing:</w:t>
      </w:r>
    </w:p>
    <w:p w:rsidR="00823BAB" w:rsidRPr="00823BAB" w:rsidRDefault="00823BAB" w:rsidP="00823BAB">
      <w:pPr>
        <w:ind w:firstLine="360"/>
        <w:jc w:val="both"/>
        <w:rPr>
          <w:noProof/>
        </w:rPr>
      </w:pPr>
      <w:r>
        <w:rPr>
          <w:noProof/>
          <w:lang w:val="en-GB"/>
        </w:rPr>
        <w:t>1. the management board shall approve the adequacy of the ICAAP and its results on the basis of detailed knowledge of the objectives, processes, procedures and methodologies of the ICAAP;</w:t>
      </w:r>
    </w:p>
    <w:p w:rsidR="00823BAB" w:rsidRPr="00823BAB" w:rsidRDefault="00823BAB" w:rsidP="00823BAB">
      <w:pPr>
        <w:ind w:firstLine="360"/>
        <w:jc w:val="both"/>
        <w:rPr>
          <w:noProof/>
        </w:rPr>
      </w:pPr>
      <w:r>
        <w:rPr>
          <w:noProof/>
          <w:lang w:val="en-GB"/>
        </w:rPr>
        <w:t>2. the supervisory board shall approve the adequacy of the ICAAP and its results on the basis of ensuring general awareness of the concept and objectives of the ICAAP, including an understanding of the importance of its results and the corresponding measures.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With each approval of the adequacy of the ICAAP, the </w:t>
      </w:r>
      <w:r w:rsidR="003E2585">
        <w:rPr>
          <w:noProof/>
          <w:lang w:val="en-GB"/>
        </w:rPr>
        <w:t>Management body</w:t>
      </w:r>
      <w:r>
        <w:rPr>
          <w:noProof/>
          <w:lang w:val="en-GB"/>
        </w:rPr>
        <w:t xml:space="preserve"> confirms that the ICAAP is taking account of the risk strategies.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For the purpose of the effective adoption and monitoring of the implementation of business decisions and risk strategies referred to in the first paragraph of this article, the bank shall ensure that the </w:t>
      </w:r>
      <w:r w:rsidR="003E2585">
        <w:rPr>
          <w:noProof/>
          <w:lang w:val="en-GB"/>
        </w:rPr>
        <w:t>Management body</w:t>
      </w:r>
      <w:r>
        <w:rPr>
          <w:noProof/>
          <w:lang w:val="en-GB"/>
        </w:rPr>
        <w:t xml:space="preserve"> is regularly briefed on which of the bank’s risks are addressed in the ICAAP, including the corresponding internal assessments of risk-based capital requirements.</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81</w:t>
      </w:r>
    </w:p>
    <w:p w:rsidR="00823BAB" w:rsidRPr="00823BAB" w:rsidRDefault="00823BAB" w:rsidP="00823BAB">
      <w:pPr>
        <w:rPr>
          <w:b/>
          <w:noProof/>
        </w:rPr>
      </w:pPr>
      <w:r>
        <w:rPr>
          <w:b/>
          <w:bCs/>
          <w:noProof/>
          <w:lang w:val="en-GB"/>
        </w:rPr>
        <w:t>(planning and implementation of ICAAP)</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ensure the inclusion of the ICAAP in the processes of planning the bank’s operations for the upcoming planning period.</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bank shall provide for adequate powers and responsibilities of the bank’s organisational units and functions for the implementation, monitoring, review and adoption of operational decisions for the purpose of the implementation of the ICAAP, including the calculation of the bank’s internal assessment of risk-based capital requirements and internal capital assessment. The powers and responsibilities are deemed adequate if they are set out in accordance with the following requirements:</w:t>
      </w:r>
    </w:p>
    <w:p w:rsidR="00823BAB" w:rsidRPr="00823BAB" w:rsidRDefault="00823BAB" w:rsidP="00823BAB">
      <w:pPr>
        <w:ind w:firstLine="360"/>
        <w:jc w:val="both"/>
        <w:rPr>
          <w:noProof/>
        </w:rPr>
      </w:pPr>
      <w:r>
        <w:rPr>
          <w:noProof/>
          <w:lang w:val="en-GB"/>
        </w:rPr>
        <w:t>1. the bank’s functions that develop methodologies in connection with risk management and calculate the internal assessment of risk-based capital requirements should be functionally and organisationally separate from the business units and other organisational units that take up risks, including the management board;</w:t>
      </w:r>
    </w:p>
    <w:p w:rsidR="00823BAB" w:rsidRPr="00823BAB" w:rsidRDefault="00823BAB" w:rsidP="00823BAB">
      <w:pPr>
        <w:ind w:firstLine="360"/>
        <w:jc w:val="both"/>
        <w:rPr>
          <w:noProof/>
        </w:rPr>
      </w:pPr>
      <w:r>
        <w:rPr>
          <w:noProof/>
          <w:lang w:val="en-GB"/>
        </w:rPr>
        <w:t>2. the business units and other organisational units that take up risks in the ICAAP should participate in the ICAAP under the leadership of the risk management function, which ensures the proper balance of interests between the bank’s take-up of risks and its risk management.</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(3) The bank shall ensure sufficient HR and financial conditions for the purpose of the implementation of the ICAAP, including the use of appropriate information technology.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(4) The bank shall ensure that the ICAAP is regularly updated with regard to changes in the bank’s internal and external environments or changes in the objectives, strategies and policies referred to in the first paragraph of Article 4 of this regulation.</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pStyle w:val="Odstavekseznama"/>
        <w:numPr>
          <w:ilvl w:val="1"/>
          <w:numId w:val="4"/>
        </w:numPr>
        <w:rPr>
          <w:b/>
          <w:noProof/>
        </w:rPr>
      </w:pPr>
      <w:r>
        <w:rPr>
          <w:b/>
          <w:bCs/>
          <w:noProof/>
          <w:lang w:val="en-GB"/>
        </w:rPr>
        <w:t>Application of results of ICAAP to setting of risk strategies and capital planning</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82</w:t>
      </w:r>
    </w:p>
    <w:p w:rsidR="00823BAB" w:rsidRPr="00823BAB" w:rsidRDefault="00823BAB" w:rsidP="00823BAB">
      <w:pPr>
        <w:rPr>
          <w:b/>
          <w:noProof/>
        </w:rPr>
      </w:pPr>
      <w:r>
        <w:rPr>
          <w:b/>
          <w:bCs/>
          <w:noProof/>
          <w:lang w:val="en-GB"/>
        </w:rPr>
        <w:t>(inclusion of identified risks in ICAAP)</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ensure that the ICAAP covers all of the bank’s identified significant risks, including risks inherent in the introduction of new products and the use of external contractors, on a consolidated, sub-consolidated and individual basis.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first paragraph of this article notwithstanding, for the purpose of including specific risks referred to in the first paragraph of this article in the ICAAP, instead of using quantitative methodologies for the calculation of the internal assessment of risk-based capital requirements for the aforementioned risks the bank may use the corresponding risk management measures referred to in the first paragraph of Article 23 of this regulation or the internal control mechanisms referred to in the first paragraph of Article 31 of this regulation. In this case the bank shall ensure high quality in the use of the aforementioned measures, supporting them with argumentation.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The bank shall provide for a review of the adequacy and comprehensiveness of the inclusion of identified risks in the ICAAP at least once a year, and during any significant change in risk exposure. </w:t>
      </w:r>
    </w:p>
    <w:p w:rsidR="00823BAB" w:rsidRPr="00823BAB" w:rsidRDefault="00823BAB" w:rsidP="00823BAB">
      <w:pPr>
        <w:ind w:firstLine="360"/>
        <w:jc w:val="both"/>
        <w:rPr>
          <w:noProof/>
        </w:rPr>
      </w:pPr>
      <w:r>
        <w:rPr>
          <w:noProof/>
          <w:lang w:val="en-GB"/>
        </w:rPr>
        <w:t xml:space="preserve"> </w:t>
      </w:r>
    </w:p>
    <w:p w:rsidR="00823BAB" w:rsidRPr="00823BAB" w:rsidRDefault="00823BAB" w:rsidP="00823BAB">
      <w:pPr>
        <w:pStyle w:val="Odstavekseznama"/>
        <w:numPr>
          <w:ilvl w:val="0"/>
          <w:numId w:val="12"/>
        </w:numPr>
        <w:rPr>
          <w:b/>
          <w:noProof/>
        </w:rPr>
      </w:pPr>
      <w:r>
        <w:rPr>
          <w:b/>
          <w:bCs/>
          <w:noProof/>
          <w:lang w:val="en-GB"/>
        </w:rPr>
        <w:t>Article 83</w:t>
      </w:r>
    </w:p>
    <w:p w:rsidR="00823BAB" w:rsidRPr="00823BAB" w:rsidRDefault="00823BAB" w:rsidP="00823BAB">
      <w:pPr>
        <w:rPr>
          <w:b/>
          <w:noProof/>
        </w:rPr>
      </w:pPr>
      <w:r>
        <w:rPr>
          <w:b/>
          <w:bCs/>
          <w:noProof/>
          <w:lang w:val="en-GB"/>
        </w:rPr>
        <w:t>(risk measurement and use of economic capital models)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For the purpose of calculating the internal assessment of risk-based capital requirements, a bank shall ensure the use of comprehensive data in risk measurement. Data is deemed comprehensive if it covers all the risks inherent in the bank’s business model, activities and products on a consolidated, sub-consolidated and individual basis. The bank shall ensure the regular review of the comprehensiveness of the data and the coordination of the data used with information from the balance sheet and other relevant data deriving from the bank’s financial reports.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A bank that uses advanced risk measurement techniques in its risk measurement (hereinafter: economic capital model) shall to this end ensure that the economic capital model, including the data used, is tailored to the bank’s business model, activities, products, and other internal and external circumstances. The validation (confirmation of the adequacy) of the economic capital model shall be provided for by an independent organisational unit.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In its risk measurement referred to in the first paragraph of this article, the bank shall ensure that any consideration of the effects of risk management measures in the calculation of the internal assessment of risk-based capital requirements does not act to reduce the internal assessment of risk-based capital requirements such that the reduction in the internal assessment of risk-based capital requirements could be disproportionate to the actual effect of the risk management measures. </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84</w:t>
      </w:r>
    </w:p>
    <w:p w:rsidR="00823BAB" w:rsidRPr="00823BAB" w:rsidRDefault="00823BAB" w:rsidP="00823BAB">
      <w:pPr>
        <w:rPr>
          <w:b/>
          <w:noProof/>
        </w:rPr>
      </w:pPr>
      <w:r>
        <w:rPr>
          <w:b/>
          <w:bCs/>
          <w:noProof/>
          <w:lang w:val="en-GB"/>
        </w:rPr>
        <w:t>(internal assessment of risk-based capital requirements)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A bank shall calculate an internal assessment of risk-based capital requirements on the basis of its own methodology, including the combination of internal assessments of risk-based capital requirements for individual risks, or another appropriate methodology.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pStyle w:val="Odstavekseznama"/>
        <w:numPr>
          <w:ilvl w:val="1"/>
          <w:numId w:val="4"/>
        </w:numPr>
        <w:rPr>
          <w:b/>
          <w:noProof/>
        </w:rPr>
      </w:pPr>
      <w:r>
        <w:rPr>
          <w:b/>
          <w:bCs/>
          <w:noProof/>
          <w:lang w:val="en-GB"/>
        </w:rPr>
        <w:t>(internal capital assessment)</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85</w:t>
      </w:r>
    </w:p>
    <w:p w:rsidR="00823BAB" w:rsidRPr="00823BAB" w:rsidRDefault="00823BAB" w:rsidP="00823BAB">
      <w:pPr>
        <w:rPr>
          <w:b/>
          <w:noProof/>
        </w:rPr>
      </w:pPr>
      <w:r>
        <w:rPr>
          <w:b/>
          <w:bCs/>
          <w:noProof/>
          <w:lang w:val="en-GB"/>
        </w:rPr>
        <w:t xml:space="preserve">(objectives for maintenance of risk </w:t>
      </w:r>
      <w:r w:rsidR="00725B2C">
        <w:rPr>
          <w:b/>
          <w:bCs/>
          <w:noProof/>
          <w:lang w:val="en-GB"/>
        </w:rPr>
        <w:t>bearing</w:t>
      </w:r>
      <w:r>
        <w:rPr>
          <w:b/>
          <w:bCs/>
          <w:noProof/>
          <w:lang w:val="en-GB"/>
        </w:rPr>
        <w:t xml:space="preserve"> capacity)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On the basis of appropriate objectives for the maintenance of risk </w:t>
      </w:r>
      <w:r w:rsidR="00725B2C">
        <w:rPr>
          <w:noProof/>
          <w:lang w:val="en-GB"/>
        </w:rPr>
        <w:t>bearing</w:t>
      </w:r>
      <w:r>
        <w:rPr>
          <w:noProof/>
          <w:lang w:val="en-GB"/>
        </w:rPr>
        <w:t xml:space="preserve"> capacity, a bank shall provide for the definition of the relevant capital components included in the internal capital assessment for the purpose of the ICAAP. The objectives for the maintenance of risk </w:t>
      </w:r>
      <w:r w:rsidR="00725B2C">
        <w:rPr>
          <w:noProof/>
          <w:lang w:val="en-GB"/>
        </w:rPr>
        <w:t>bearing</w:t>
      </w:r>
      <w:r>
        <w:rPr>
          <w:noProof/>
          <w:lang w:val="en-GB"/>
        </w:rPr>
        <w:t xml:space="preserve"> capacity are deemed appropriate if they include the bank’s approach to ensuring capital adequacy under the following scenarios at least: </w:t>
      </w:r>
    </w:p>
    <w:p w:rsidR="00823BAB" w:rsidRPr="00823BAB" w:rsidRDefault="00823BAB" w:rsidP="00823BAB">
      <w:pPr>
        <w:ind w:firstLine="360"/>
        <w:jc w:val="both"/>
        <w:rPr>
          <w:noProof/>
        </w:rPr>
      </w:pPr>
      <w:r>
        <w:rPr>
          <w:noProof/>
          <w:lang w:val="en-GB"/>
        </w:rPr>
        <w:t>1. the bank as a going concern;</w:t>
      </w:r>
    </w:p>
    <w:p w:rsidR="00823BAB" w:rsidRPr="00823BAB" w:rsidRDefault="00823BAB" w:rsidP="00823BAB">
      <w:pPr>
        <w:ind w:firstLine="360"/>
        <w:jc w:val="both"/>
        <w:rPr>
          <w:noProof/>
        </w:rPr>
      </w:pPr>
      <w:r>
        <w:rPr>
          <w:noProof/>
          <w:lang w:val="en-GB"/>
        </w:rPr>
        <w:t xml:space="preserve">2. an emergency (but plausible) situation in the bank’s operations.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bank shall provide for the regular assessment (at least once a year) of the adequacy of capital components referred to in the first paragraph of this article, including the consideration of any planned changes with regard to these components.</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86</w:t>
      </w:r>
    </w:p>
    <w:p w:rsidR="00823BAB" w:rsidRPr="00823BAB" w:rsidRDefault="00823BAB" w:rsidP="00823BAB">
      <w:pPr>
        <w:rPr>
          <w:b/>
          <w:noProof/>
        </w:rPr>
      </w:pPr>
      <w:r>
        <w:rPr>
          <w:b/>
          <w:bCs/>
          <w:noProof/>
          <w:lang w:val="en-GB"/>
        </w:rPr>
        <w:t>(capital planning)</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For the purpose of stably ensuring capital adequacy, a bank shall provide for adequate capital planning for a period of at least three years that takes account of the bank’s approach to the distribution of any dividends and the possibility of recapitalisation. The capital planning shall be based on realistic assumptions, having regard for the business strategy and the risk strategy referred to in the first paragraph of Article 4 of this regulation, and any restrictions deriving from regulations and standards and from the requirements of the Bank of Slovenia and other competent supervisory authorities.</w:t>
      </w:r>
    </w:p>
    <w:p w:rsidR="00823BAB" w:rsidRPr="00823BAB" w:rsidRDefault="00823BAB" w:rsidP="00823BAB">
      <w:pPr>
        <w:ind w:firstLine="360"/>
        <w:jc w:val="both"/>
        <w:rPr>
          <w:noProof/>
        </w:rPr>
      </w:pPr>
    </w:p>
    <w:p w:rsidR="00823BAB" w:rsidRPr="00823BAB" w:rsidRDefault="00823BAB" w:rsidP="00823BAB">
      <w:pPr>
        <w:pStyle w:val="Odstavekseznama"/>
        <w:numPr>
          <w:ilvl w:val="0"/>
          <w:numId w:val="12"/>
        </w:numPr>
        <w:rPr>
          <w:b/>
          <w:noProof/>
        </w:rPr>
      </w:pPr>
      <w:r>
        <w:rPr>
          <w:b/>
          <w:bCs/>
          <w:noProof/>
          <w:lang w:val="en-GB"/>
        </w:rPr>
        <w:t>Article 87</w:t>
      </w:r>
    </w:p>
    <w:p w:rsidR="00823BAB" w:rsidRPr="00823BAB" w:rsidRDefault="00823BAB" w:rsidP="00823BAB">
      <w:pPr>
        <w:rPr>
          <w:b/>
          <w:noProof/>
        </w:rPr>
      </w:pPr>
      <w:r>
        <w:rPr>
          <w:b/>
          <w:bCs/>
          <w:noProof/>
          <w:lang w:val="en-GB"/>
        </w:rPr>
        <w:t xml:space="preserve">(analysis of risk </w:t>
      </w:r>
      <w:r w:rsidR="00725B2C">
        <w:rPr>
          <w:b/>
          <w:bCs/>
          <w:noProof/>
          <w:lang w:val="en-GB"/>
        </w:rPr>
        <w:t>bearing</w:t>
      </w:r>
      <w:r>
        <w:rPr>
          <w:b/>
          <w:bCs/>
          <w:noProof/>
          <w:lang w:val="en-GB"/>
        </w:rPr>
        <w:t xml:space="preserve"> capacity)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ensure that the internal capital assessment is aligned with its risk </w:t>
      </w:r>
      <w:r w:rsidR="00725B2C">
        <w:rPr>
          <w:noProof/>
          <w:lang w:val="en-GB"/>
        </w:rPr>
        <w:t>bearing</w:t>
      </w:r>
      <w:r>
        <w:rPr>
          <w:noProof/>
          <w:lang w:val="en-GB"/>
        </w:rPr>
        <w:t xml:space="preserve"> capacity at all times. To this end the bank shall provide for analysis of its risk </w:t>
      </w:r>
      <w:r w:rsidR="00725B2C">
        <w:rPr>
          <w:noProof/>
          <w:lang w:val="en-GB"/>
        </w:rPr>
        <w:t>bearing</w:t>
      </w:r>
      <w:r>
        <w:rPr>
          <w:noProof/>
          <w:lang w:val="en-GB"/>
        </w:rPr>
        <w:t xml:space="preserve"> capacity, including on the basis of the scenarios for the maintenance of risk </w:t>
      </w:r>
      <w:r w:rsidR="00725B2C">
        <w:rPr>
          <w:noProof/>
          <w:lang w:val="en-GB"/>
        </w:rPr>
        <w:t>bearing</w:t>
      </w:r>
      <w:r>
        <w:rPr>
          <w:noProof/>
          <w:lang w:val="en-GB"/>
        </w:rPr>
        <w:t xml:space="preserve"> capacity referred to in the first paragraph of Article 85 of this regulation.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scenario for the maintenance of risk </w:t>
      </w:r>
      <w:r w:rsidR="00725B2C">
        <w:rPr>
          <w:noProof/>
          <w:lang w:val="en-GB"/>
        </w:rPr>
        <w:t>bearing</w:t>
      </w:r>
      <w:r>
        <w:rPr>
          <w:noProof/>
          <w:lang w:val="en-GB"/>
        </w:rPr>
        <w:t xml:space="preserve"> capacity at the bank as a going concern referred to in point 1 of the first paragraph of Article 85 of this regulation shall take account of the appropriate protection of the interests of shareholders, the </w:t>
      </w:r>
      <w:r w:rsidR="003E2585">
        <w:rPr>
          <w:noProof/>
          <w:lang w:val="en-GB"/>
        </w:rPr>
        <w:t>Management body</w:t>
      </w:r>
      <w:r>
        <w:rPr>
          <w:noProof/>
          <w:lang w:val="en-GB"/>
        </w:rPr>
        <w:t xml:space="preserve"> and the bank’s other employees. The protection of these interests is deemed appropriate if access to the capital provides for protection against developments that could endanger the bank’s continuation as a going concern. For the purpose of this scenario the bank shall ensure at all times that the internal assessment of risk-based capital requirements is at least at the level of the own funds requirements calculated in accordance with the rules of Regulation (EU) No 575/2013.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The scenario for the maintenance of risk </w:t>
      </w:r>
      <w:r w:rsidR="00725B2C">
        <w:rPr>
          <w:noProof/>
          <w:lang w:val="en-GB"/>
        </w:rPr>
        <w:t>bearing</w:t>
      </w:r>
      <w:r>
        <w:rPr>
          <w:noProof/>
          <w:lang w:val="en-GB"/>
        </w:rPr>
        <w:t xml:space="preserve"> capacity in an emergency but plausible situation in the bank’s operations referred to in point 2 of the first paragraph of Article 85 of this regulation shall take account of the appropriate protection of the interests of the bank’s investors. The protection of these interests is deemed appropriate if the bank’s capital is sufficient to repay the bank’s creditors.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(4) The bank may also define scenarios for the maintenance of risk </w:t>
      </w:r>
      <w:r w:rsidR="00725B2C">
        <w:rPr>
          <w:noProof/>
          <w:lang w:val="en-GB"/>
        </w:rPr>
        <w:t>bearing</w:t>
      </w:r>
      <w:r>
        <w:rPr>
          <w:noProof/>
          <w:lang w:val="en-GB"/>
        </w:rPr>
        <w:t xml:space="preserve"> capacity for the purpose of covering other, less significant risks that are frequently realised.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(5) The bank shall monitor the consideration and any breaches of the risk </w:t>
      </w:r>
      <w:r w:rsidR="00725B2C">
        <w:rPr>
          <w:noProof/>
          <w:lang w:val="en-GB"/>
        </w:rPr>
        <w:t>bearing</w:t>
      </w:r>
      <w:r>
        <w:rPr>
          <w:noProof/>
          <w:lang w:val="en-GB"/>
        </w:rPr>
        <w:t xml:space="preserve"> capacity under the scenarios for the maintenance of risk </w:t>
      </w:r>
      <w:r w:rsidR="00725B2C">
        <w:rPr>
          <w:noProof/>
          <w:lang w:val="en-GB"/>
        </w:rPr>
        <w:t>bearing</w:t>
      </w:r>
      <w:r>
        <w:rPr>
          <w:noProof/>
          <w:lang w:val="en-GB"/>
        </w:rPr>
        <w:t xml:space="preserve"> capacity put in place. </w:t>
      </w:r>
    </w:p>
    <w:p w:rsidR="00823BAB" w:rsidRPr="00823BAB" w:rsidRDefault="00823BAB" w:rsidP="00823BAB">
      <w:pPr>
        <w:ind w:firstLine="360"/>
        <w:jc w:val="both"/>
        <w:rPr>
          <w:noProof/>
        </w:rPr>
      </w:pPr>
    </w:p>
    <w:p w:rsidR="00823BAB" w:rsidRPr="00823BAB" w:rsidRDefault="00823BAB" w:rsidP="00823BAB">
      <w:pPr>
        <w:pStyle w:val="Odstavekseznama"/>
        <w:numPr>
          <w:ilvl w:val="0"/>
          <w:numId w:val="12"/>
        </w:numPr>
        <w:rPr>
          <w:b/>
          <w:noProof/>
        </w:rPr>
      </w:pPr>
      <w:r>
        <w:rPr>
          <w:b/>
          <w:bCs/>
          <w:noProof/>
          <w:lang w:val="en-GB"/>
        </w:rPr>
        <w:t>Article 88</w:t>
      </w:r>
    </w:p>
    <w:p w:rsidR="00823BAB" w:rsidRPr="00823BAB" w:rsidRDefault="00823BAB" w:rsidP="00823BAB">
      <w:pPr>
        <w:rPr>
          <w:b/>
          <w:noProof/>
        </w:rPr>
      </w:pPr>
      <w:r>
        <w:rPr>
          <w:b/>
          <w:bCs/>
          <w:noProof/>
          <w:lang w:val="en-GB"/>
        </w:rPr>
        <w:t>(use of stress tests)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For the purpose of the calculation of the internal assessment of risk-based capital requirements, a bank shall conduct the stress tests referred to in Article 22 of this regulation at least once a year, according to stress scenarios that assume changes in market conditions, having regard for all the relevant entities in the group. To identify the changes in market conditions that could have an adverse impact on the bank’s future capital adequacy, the stress tests shall also take account of the state of the current business cycle in connection with a general deterioration in the economic situation as a result of a decline in economic activity (recession) and a specific deterioration in the economic sectors that the bank supports financially.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The bank shall ensure that the results of the stress tests referred to in the first paragraph of this article are taken into account in the capital planning process referred to in Article 86 of this regulation, and in the definition of measures in connection with the risk strategies and policies referred to in Articles 5 and 6 of this regulation, including with regard to the risk profile and the business continuity plans. </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89</w:t>
      </w:r>
    </w:p>
    <w:p w:rsidR="00823BAB" w:rsidRPr="00823BAB" w:rsidRDefault="00823BAB" w:rsidP="00823BAB">
      <w:pPr>
        <w:rPr>
          <w:b/>
          <w:noProof/>
        </w:rPr>
      </w:pPr>
      <w:r>
        <w:rPr>
          <w:b/>
          <w:bCs/>
          <w:noProof/>
          <w:lang w:val="en-GB"/>
        </w:rPr>
        <w:t>(capital allocation process)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provide for an appropriate process for allocating capital across business lines and entities in the group, on the basis of the internal assessment of risk-based capital requirements referred to in Article 84 of this regulation and the analysis of risk </w:t>
      </w:r>
      <w:r w:rsidR="00725B2C">
        <w:rPr>
          <w:noProof/>
          <w:lang w:val="en-GB"/>
        </w:rPr>
        <w:t>bearing</w:t>
      </w:r>
      <w:r>
        <w:rPr>
          <w:noProof/>
          <w:lang w:val="en-GB"/>
        </w:rPr>
        <w:t xml:space="preserve"> capacity referred to in Article 87 of this regulation. The capital allocation process is deemed appropriate if it links the bank’s business strategy with its risk strategy.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bank shall provide for an assessment of capital adequacy and capital allocation at least once a year and during any significant change in risk exposure.</w:t>
      </w:r>
    </w:p>
    <w:p w:rsidR="00823BAB" w:rsidRPr="00823BAB" w:rsidRDefault="00823BAB" w:rsidP="00823BAB">
      <w:pPr>
        <w:rPr>
          <w:b/>
          <w:noProof/>
        </w:rPr>
      </w:pPr>
    </w:p>
    <w:p w:rsidR="00823BAB" w:rsidRPr="00823BAB" w:rsidRDefault="00823BAB" w:rsidP="00823BAB">
      <w:pPr>
        <w:rPr>
          <w:b/>
          <w:noProof/>
        </w:rPr>
      </w:pPr>
    </w:p>
    <w:p w:rsidR="00823BAB" w:rsidRPr="00823BAB" w:rsidRDefault="00823BAB" w:rsidP="00823BAB">
      <w:pPr>
        <w:rPr>
          <w:b/>
          <w:noProof/>
        </w:rPr>
      </w:pPr>
      <w:r>
        <w:rPr>
          <w:b/>
          <w:bCs/>
          <w:noProof/>
          <w:lang w:val="en-GB"/>
        </w:rPr>
        <w:t>5. DOCUMENTATION</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90</w:t>
      </w:r>
    </w:p>
    <w:p w:rsidR="00823BAB" w:rsidRPr="00823BAB" w:rsidRDefault="00823BAB" w:rsidP="00823BAB">
      <w:pPr>
        <w:rPr>
          <w:b/>
          <w:noProof/>
        </w:rPr>
      </w:pPr>
      <w:r>
        <w:rPr>
          <w:b/>
          <w:bCs/>
          <w:noProof/>
          <w:lang w:val="en-GB"/>
        </w:rPr>
        <w:t>(general)</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provide for the systematic storage of important documentation in connection with the bank’s operations, its risk management, including the implementation of internal controls, and the internal reporting of the bank’s risks (hereinafter: documentation). The documentation shall in particular include:</w:t>
      </w:r>
    </w:p>
    <w:p w:rsidR="00823BAB" w:rsidRPr="00823BAB" w:rsidRDefault="00823BAB" w:rsidP="00823BAB">
      <w:pPr>
        <w:ind w:firstLine="360"/>
        <w:jc w:val="both"/>
        <w:rPr>
          <w:noProof/>
        </w:rPr>
      </w:pPr>
      <w:r>
        <w:rPr>
          <w:noProof/>
          <w:lang w:val="en-GB"/>
        </w:rPr>
        <w:t>1. the bank’s bylaws, with regard to the chronology of their updating (e.g. strategies, policies, codes of conduct, instructions);</w:t>
      </w:r>
    </w:p>
    <w:p w:rsidR="00823BAB" w:rsidRPr="00823BAB" w:rsidRDefault="00823BAB" w:rsidP="00823BAB">
      <w:pPr>
        <w:ind w:firstLine="360"/>
        <w:jc w:val="both"/>
        <w:rPr>
          <w:noProof/>
        </w:rPr>
      </w:pPr>
      <w:r>
        <w:rPr>
          <w:noProof/>
          <w:lang w:val="en-GB"/>
        </w:rPr>
        <w:t xml:space="preserve">2. relevant documents in connection with the activities of organisational units (e.g. adopted decisions, analysis, measures, financial results); </w:t>
      </w:r>
    </w:p>
    <w:p w:rsidR="00823BAB" w:rsidRPr="00823BAB" w:rsidRDefault="00823BAB" w:rsidP="00823BAB">
      <w:pPr>
        <w:ind w:firstLine="360"/>
        <w:jc w:val="both"/>
        <w:rPr>
          <w:noProof/>
        </w:rPr>
      </w:pPr>
      <w:r>
        <w:rPr>
          <w:noProof/>
          <w:lang w:val="en-GB"/>
        </w:rPr>
        <w:t xml:space="preserve">3. a detailed description of the ICAAP (e.g. scope of application, objectives, methodologies, assessments, procedures, calculations, measures);  </w:t>
      </w:r>
    </w:p>
    <w:p w:rsidR="00823BAB" w:rsidRPr="00823BAB" w:rsidRDefault="00823BAB" w:rsidP="00823BAB">
      <w:pPr>
        <w:ind w:firstLine="360"/>
        <w:jc w:val="both"/>
        <w:rPr>
          <w:noProof/>
        </w:rPr>
      </w:pPr>
      <w:r>
        <w:rPr>
          <w:noProof/>
          <w:lang w:val="en-GB"/>
        </w:rPr>
        <w:t xml:space="preserve">4. findings and measures from the implementation of the internal control process, including reports of internal control functions; </w:t>
      </w:r>
    </w:p>
    <w:p w:rsidR="00823BAB" w:rsidRPr="00823BAB" w:rsidRDefault="00823BAB" w:rsidP="00823BAB">
      <w:pPr>
        <w:ind w:firstLine="360"/>
        <w:jc w:val="both"/>
        <w:rPr>
          <w:noProof/>
        </w:rPr>
      </w:pPr>
      <w:r>
        <w:rPr>
          <w:noProof/>
          <w:lang w:val="en-GB"/>
        </w:rPr>
        <w:t>5. measures to eliminate or to put in place monitoring of circumstances of a conflict of interest;</w:t>
      </w:r>
    </w:p>
    <w:p w:rsidR="00823BAB" w:rsidRPr="00823BAB" w:rsidRDefault="00823BAB" w:rsidP="00823BAB">
      <w:pPr>
        <w:ind w:firstLine="360"/>
        <w:jc w:val="both"/>
        <w:rPr>
          <w:noProof/>
        </w:rPr>
      </w:pPr>
      <w:r>
        <w:rPr>
          <w:noProof/>
          <w:lang w:val="en-GB"/>
        </w:rPr>
        <w:t xml:space="preserve">6. minutes of sessions of the </w:t>
      </w:r>
      <w:r w:rsidR="003E2585">
        <w:rPr>
          <w:noProof/>
          <w:lang w:val="en-GB"/>
        </w:rPr>
        <w:t>Management body</w:t>
      </w:r>
      <w:r>
        <w:rPr>
          <w:noProof/>
          <w:lang w:val="en-GB"/>
        </w:rPr>
        <w:t xml:space="preserve"> and its committees and commissions, audio recordings of sessions of the supervisory board and transcripts of the audio recording of sessions of the supervisory board;</w:t>
      </w:r>
    </w:p>
    <w:p w:rsidR="00823BAB" w:rsidRPr="00823BAB" w:rsidRDefault="00823BAB" w:rsidP="00823BAB">
      <w:pPr>
        <w:ind w:firstLine="360"/>
        <w:jc w:val="both"/>
        <w:rPr>
          <w:noProof/>
        </w:rPr>
      </w:pPr>
      <w:r>
        <w:rPr>
          <w:noProof/>
          <w:lang w:val="en-GB"/>
        </w:rPr>
        <w:t xml:space="preserve">7. assessments of the suitability of members of the </w:t>
      </w:r>
      <w:r w:rsidR="003E2585">
        <w:rPr>
          <w:noProof/>
          <w:lang w:val="en-GB"/>
        </w:rPr>
        <w:t>Management body</w:t>
      </w:r>
      <w:r>
        <w:rPr>
          <w:noProof/>
          <w:lang w:val="en-GB"/>
        </w:rPr>
        <w:t xml:space="preserve"> and key function holders;</w:t>
      </w:r>
    </w:p>
    <w:p w:rsidR="00823BAB" w:rsidRPr="00823BAB" w:rsidRDefault="00823BAB" w:rsidP="00823BAB">
      <w:pPr>
        <w:ind w:firstLine="360"/>
        <w:jc w:val="both"/>
        <w:rPr>
          <w:noProof/>
        </w:rPr>
      </w:pPr>
      <w:r>
        <w:rPr>
          <w:noProof/>
          <w:lang w:val="en-GB"/>
        </w:rPr>
        <w:t>8. relevant documentation in connection with the group’s operations.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bank shall ensure that the documentation referred to in the first paragraph of this article is secure, comprehensive, understandable and up-to-date, having regard for applicable regulations and the bank’s bylaws with regard to the storage of documentation. </w:t>
      </w:r>
    </w:p>
    <w:p w:rsidR="00823BAB" w:rsidRPr="00823BAB" w:rsidRDefault="00823BAB" w:rsidP="00823BAB">
      <w:pPr>
        <w:pStyle w:val="esegmenth4"/>
        <w:spacing w:after="0"/>
        <w:rPr>
          <w:noProof/>
          <w:color w:val="auto"/>
          <w:sz w:val="22"/>
          <w:szCs w:val="22"/>
        </w:rPr>
      </w:pPr>
    </w:p>
    <w:p w:rsidR="00823BAB" w:rsidRPr="00823BAB" w:rsidRDefault="00823BAB" w:rsidP="00823BAB">
      <w:pPr>
        <w:pStyle w:val="esegmenth4"/>
        <w:spacing w:after="0"/>
        <w:rPr>
          <w:noProof/>
          <w:color w:val="auto"/>
          <w:sz w:val="22"/>
          <w:szCs w:val="22"/>
        </w:rPr>
      </w:pPr>
    </w:p>
    <w:p w:rsidR="00823BAB" w:rsidRPr="00823BAB" w:rsidRDefault="00823BAB" w:rsidP="00823BAB">
      <w:pPr>
        <w:pStyle w:val="esegmenth4"/>
        <w:spacing w:after="0"/>
        <w:rPr>
          <w:noProof/>
          <w:color w:val="auto"/>
          <w:sz w:val="22"/>
          <w:szCs w:val="22"/>
        </w:rPr>
      </w:pPr>
      <w:r>
        <w:rPr>
          <w:noProof/>
          <w:color w:val="auto"/>
          <w:sz w:val="22"/>
          <w:szCs w:val="22"/>
          <w:lang w:val="en-GB"/>
        </w:rPr>
        <w:t>6. DETAILED CONTENT OF REPORTS IN CONNECTION WITH INTERNAL GOVERNANCE ARRANGEMENTS, AND METHODS AND DEADLINES FOR SUBMITTING SUCH REPORTS TO BANK OF SLOVENIA.</w:t>
      </w:r>
    </w:p>
    <w:p w:rsidR="00823BAB" w:rsidRPr="00823BAB" w:rsidRDefault="00823BAB" w:rsidP="00823BAB">
      <w:pPr>
        <w:rPr>
          <w:noProof/>
        </w:rPr>
      </w:pPr>
    </w:p>
    <w:p w:rsidR="00823BAB" w:rsidRPr="00823BAB" w:rsidRDefault="00823BAB" w:rsidP="00823BAB">
      <w:pPr>
        <w:pStyle w:val="Odstavekseznama"/>
        <w:numPr>
          <w:ilvl w:val="0"/>
          <w:numId w:val="12"/>
        </w:numPr>
        <w:rPr>
          <w:b/>
          <w:noProof/>
        </w:rPr>
      </w:pPr>
      <w:r>
        <w:rPr>
          <w:b/>
          <w:bCs/>
          <w:noProof/>
          <w:lang w:val="en-GB"/>
        </w:rPr>
        <w:t>Article 91</w:t>
      </w:r>
    </w:p>
    <w:p w:rsidR="00823BAB" w:rsidRPr="00823BAB" w:rsidRDefault="00823BAB" w:rsidP="00823BAB">
      <w:pPr>
        <w:pStyle w:val="esegmenth4"/>
        <w:spacing w:after="0"/>
        <w:rPr>
          <w:noProof/>
          <w:color w:val="auto"/>
          <w:sz w:val="22"/>
          <w:szCs w:val="22"/>
        </w:rPr>
      </w:pPr>
      <w:r>
        <w:rPr>
          <w:noProof/>
          <w:color w:val="auto"/>
          <w:sz w:val="22"/>
          <w:szCs w:val="22"/>
          <w:lang w:val="en-GB"/>
        </w:rPr>
        <w:t xml:space="preserve"> (general)</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notify the Bank of Slovenia of significant information that has or could have an impact on the assessment of suitability as a member of the management board or the fulfilment of the required conditions for membership of the management board pursuant to Article 38 of the ZBan-2, and shall submit all the relevant documentation within five business days of the aforementioned circumstances arising or a justifiable suspicion arising that the prescribed conditions are not being fulfilled.</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The bank shall notify the Bank of Slovenia of an assessment of the suitability of a member of the </w:t>
      </w:r>
      <w:r w:rsidR="003E2585">
        <w:rPr>
          <w:noProof/>
          <w:lang w:val="en-GB"/>
        </w:rPr>
        <w:t>Management body</w:t>
      </w:r>
      <w:r>
        <w:rPr>
          <w:noProof/>
          <w:lang w:val="en-GB"/>
        </w:rPr>
        <w:t xml:space="preserve"> that it has compiled in circumstances owing to which it is necessary to conduct the reassessment of suitability as a member of the </w:t>
      </w:r>
      <w:r w:rsidR="003E2585">
        <w:rPr>
          <w:noProof/>
          <w:lang w:val="en-GB"/>
        </w:rPr>
        <w:t>Management body</w:t>
      </w:r>
      <w:r>
        <w:rPr>
          <w:noProof/>
          <w:lang w:val="en-GB"/>
        </w:rPr>
        <w:t xml:space="preserve"> referred to in the first paragraph of Article 35 of the ZBan-2 within five business days of the compilation of the assessment.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The management board shall notify the Bank of Slovenia of the circumstances referred to in the fourth paragraph of Article 136 of the ZBan-2 within five business days of the notification being sent to the supervisory board. </w:t>
      </w:r>
    </w:p>
    <w:p w:rsidR="00823BAB" w:rsidRPr="00823BAB" w:rsidRDefault="00823BAB" w:rsidP="00823BAB">
      <w:pPr>
        <w:pStyle w:val="Odstavekseznama"/>
        <w:tabs>
          <w:tab w:val="left" w:pos="426"/>
        </w:tabs>
        <w:ind w:left="0"/>
        <w:jc w:val="both"/>
        <w:rPr>
          <w:noProof/>
          <w:highlight w:val="red"/>
        </w:rPr>
      </w:pPr>
    </w:p>
    <w:p w:rsidR="00823BAB" w:rsidRPr="00823BAB" w:rsidRDefault="00823BAB" w:rsidP="00823BAB">
      <w:pPr>
        <w:ind w:firstLine="360"/>
        <w:jc w:val="both"/>
        <w:rPr>
          <w:noProof/>
        </w:rPr>
      </w:pPr>
      <w:r>
        <w:rPr>
          <w:noProof/>
          <w:lang w:val="en-GB"/>
        </w:rPr>
        <w:t xml:space="preserve">(4) The internal audit department shall notify the Bank of Slovenia of the findings referred to in the first and second paragraphs of Article 145 of the ZBan-2 within five business days of the notification being sent to the management board or the supervisory board.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(5) The bank shall notify the Bank of Slovenia of the appointment or dismissal of the head of the internal audit department, the head of the risk management function or the head of the compliance function, submitting all relevant documentation, within five business days of the appointment or dismissal.</w:t>
      </w:r>
    </w:p>
    <w:p w:rsidR="00823BAB" w:rsidRPr="00823BAB" w:rsidRDefault="00823BAB" w:rsidP="00823BAB">
      <w:pPr>
        <w:ind w:firstLine="360"/>
        <w:jc w:val="both"/>
        <w:rPr>
          <w:noProof/>
        </w:rPr>
      </w:pPr>
    </w:p>
    <w:p w:rsidR="00823BAB" w:rsidRPr="00823BAB" w:rsidRDefault="00823BAB" w:rsidP="00823BAB">
      <w:pPr>
        <w:jc w:val="both"/>
        <w:rPr>
          <w:noProof/>
        </w:rPr>
      </w:pPr>
    </w:p>
    <w:p w:rsidR="00823BAB" w:rsidRPr="00823BAB" w:rsidRDefault="00823BAB" w:rsidP="00823BAB">
      <w:pPr>
        <w:pStyle w:val="esegmenth4"/>
        <w:spacing w:after="0"/>
        <w:rPr>
          <w:noProof/>
          <w:color w:val="auto"/>
          <w:sz w:val="22"/>
          <w:szCs w:val="22"/>
        </w:rPr>
      </w:pPr>
      <w:r>
        <w:rPr>
          <w:noProof/>
          <w:color w:val="auto"/>
          <w:sz w:val="22"/>
          <w:szCs w:val="22"/>
          <w:lang w:val="en-GB"/>
        </w:rPr>
        <w:t>7. FINAL PROVISIONS</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 xml:space="preserve">Article 92 </w:t>
      </w:r>
    </w:p>
    <w:p w:rsidR="00823BAB" w:rsidRPr="00823BAB" w:rsidRDefault="00823BAB" w:rsidP="00823BAB">
      <w:pPr>
        <w:rPr>
          <w:b/>
          <w:noProof/>
        </w:rPr>
      </w:pPr>
      <w:r>
        <w:rPr>
          <w:b/>
          <w:bCs/>
          <w:noProof/>
          <w:lang w:val="en-GB"/>
        </w:rPr>
        <w:t>(cessation of application of regulations)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On the day that this regulation enters into force, the Regulation on risk management and the implementation of the internal capital adequacy assessment process for banks and savings banks (Official Gazette of the Republic of Slovenia, Nos. 135/06, 28/07, 104/07, 85/10, 62/11, 3/13, 38/13, 60/13, 74/13, 12/14, 25/14 and 19/15), the Regulation on the diligence of members of the management and supervisory boards of banks and savings banks (Official Gazette of the Republic of Slovenia, Nos. 62/11 and 74/13) and the provisions of Article 14b of the Regulation on the reporting of individual facts and circumstances of banks and savings banks (Official Gazette of the Republic of Slovenia, Nos. 42/09, 85/10, 62/11, 105/11, 17/12, 71/12, 38/13, 73/13, 80/13, 13/15 and 19/15) shall cease to be applied.</w:t>
      </w:r>
    </w:p>
    <w:p w:rsidR="00823BAB" w:rsidRPr="00823BAB" w:rsidRDefault="00823BAB" w:rsidP="00823BAB">
      <w:pPr>
        <w:jc w:val="both"/>
        <w:rPr>
          <w:noProof/>
        </w:rPr>
      </w:pPr>
    </w:p>
    <w:p w:rsidR="00823BAB" w:rsidRPr="00823BAB" w:rsidRDefault="00823BAB" w:rsidP="00823BAB">
      <w:pPr>
        <w:pStyle w:val="Odstavekseznama"/>
        <w:numPr>
          <w:ilvl w:val="0"/>
          <w:numId w:val="12"/>
        </w:numPr>
        <w:rPr>
          <w:b/>
          <w:noProof/>
        </w:rPr>
      </w:pPr>
      <w:r>
        <w:rPr>
          <w:b/>
          <w:bCs/>
          <w:noProof/>
          <w:lang w:val="en-GB"/>
        </w:rPr>
        <w:t>Article 93</w:t>
      </w:r>
    </w:p>
    <w:p w:rsidR="00823BAB" w:rsidRPr="00823BAB" w:rsidRDefault="00823BAB" w:rsidP="00823BAB">
      <w:pPr>
        <w:pStyle w:val="esegmenth4"/>
        <w:spacing w:after="0"/>
        <w:rPr>
          <w:noProof/>
          <w:color w:val="auto"/>
          <w:sz w:val="22"/>
          <w:szCs w:val="22"/>
        </w:rPr>
      </w:pPr>
      <w:r>
        <w:rPr>
          <w:noProof/>
          <w:color w:val="auto"/>
          <w:sz w:val="22"/>
          <w:szCs w:val="22"/>
          <w:lang w:val="en-GB"/>
        </w:rPr>
        <w:t xml:space="preserve"> (entry into force)</w:t>
      </w:r>
    </w:p>
    <w:p w:rsidR="00823BAB" w:rsidRPr="00823BAB" w:rsidRDefault="00823BAB" w:rsidP="00823BAB">
      <w:pPr>
        <w:pStyle w:val="esegmenth4"/>
        <w:spacing w:after="0"/>
        <w:rPr>
          <w:noProof/>
          <w:color w:val="auto"/>
          <w:sz w:val="22"/>
          <w:szCs w:val="22"/>
        </w:rPr>
      </w:pPr>
    </w:p>
    <w:p w:rsidR="00823BAB" w:rsidRPr="00823BAB" w:rsidRDefault="00823BAB" w:rsidP="00823BAB">
      <w:pPr>
        <w:ind w:firstLine="360"/>
        <w:jc w:val="both"/>
        <w:rPr>
          <w:noProof/>
        </w:rPr>
      </w:pPr>
      <w:r>
        <w:rPr>
          <w:noProof/>
          <w:lang w:val="en-GB"/>
        </w:rPr>
        <w:t>This regulation shall enter into force two months after its publication in the Official Gazette of the Republic of Slovenia.</w:t>
      </w:r>
    </w:p>
    <w:p w:rsidR="00823BAB" w:rsidRPr="00823BAB" w:rsidRDefault="00823BAB" w:rsidP="00823BAB">
      <w:pPr>
        <w:pStyle w:val="esegmentc1"/>
        <w:spacing w:after="0"/>
        <w:rPr>
          <w:noProof/>
          <w:color w:val="auto"/>
          <w:sz w:val="22"/>
          <w:szCs w:val="22"/>
        </w:rPr>
      </w:pPr>
    </w:p>
    <w:p w:rsidR="00823BAB" w:rsidRPr="00823BAB" w:rsidRDefault="00823BAB" w:rsidP="00823BAB">
      <w:pPr>
        <w:pStyle w:val="esegmentc1"/>
        <w:spacing w:after="0"/>
        <w:rPr>
          <w:noProof/>
          <w:color w:val="auto"/>
          <w:sz w:val="22"/>
          <w:szCs w:val="22"/>
        </w:rPr>
      </w:pPr>
    </w:p>
    <w:p w:rsidR="00823BAB" w:rsidRPr="00823BAB" w:rsidRDefault="00823BAB" w:rsidP="00823BAB">
      <w:pPr>
        <w:pStyle w:val="esegmentc1"/>
        <w:spacing w:after="0"/>
        <w:rPr>
          <w:noProof/>
          <w:color w:val="auto"/>
          <w:sz w:val="22"/>
          <w:szCs w:val="22"/>
        </w:rPr>
      </w:pPr>
      <w:r>
        <w:rPr>
          <w:noProof/>
          <w:color w:val="auto"/>
          <w:sz w:val="22"/>
          <w:szCs w:val="22"/>
          <w:lang w:val="en-GB"/>
        </w:rPr>
        <w:t>Ljubljana, 24 September 2015</w:t>
      </w:r>
    </w:p>
    <w:p w:rsidR="00823BAB" w:rsidRPr="00823BAB" w:rsidRDefault="00823BAB" w:rsidP="00823BAB">
      <w:pPr>
        <w:pStyle w:val="esegmentc1"/>
        <w:spacing w:after="0"/>
        <w:rPr>
          <w:noProof/>
          <w:color w:val="auto"/>
          <w:sz w:val="22"/>
          <w:szCs w:val="22"/>
        </w:rPr>
      </w:pPr>
    </w:p>
    <w:p w:rsidR="00823BAB" w:rsidRPr="00823BAB" w:rsidRDefault="00823BAB" w:rsidP="00823BAB">
      <w:pPr>
        <w:pStyle w:val="esegmentp1"/>
        <w:tabs>
          <w:tab w:val="center" w:pos="6804"/>
        </w:tabs>
        <w:spacing w:after="0"/>
        <w:jc w:val="left"/>
        <w:rPr>
          <w:noProof/>
          <w:color w:val="auto"/>
          <w:sz w:val="22"/>
          <w:szCs w:val="22"/>
        </w:rPr>
      </w:pPr>
      <w:r>
        <w:rPr>
          <w:noProof/>
          <w:color w:val="auto"/>
          <w:sz w:val="22"/>
          <w:szCs w:val="22"/>
          <w:lang w:val="en-GB"/>
        </w:rPr>
        <w:tab/>
        <w:t xml:space="preserve">Boštjan Jazbec </w:t>
      </w:r>
    </w:p>
    <w:p w:rsidR="00823BAB" w:rsidRPr="00823BAB" w:rsidRDefault="00823BAB" w:rsidP="00823BAB">
      <w:pPr>
        <w:pStyle w:val="esegmentp1"/>
        <w:tabs>
          <w:tab w:val="center" w:pos="6804"/>
        </w:tabs>
        <w:spacing w:after="0"/>
        <w:jc w:val="left"/>
        <w:rPr>
          <w:noProof/>
          <w:color w:val="auto"/>
          <w:sz w:val="22"/>
          <w:szCs w:val="22"/>
        </w:rPr>
      </w:pPr>
      <w:r>
        <w:rPr>
          <w:noProof/>
          <w:color w:val="auto"/>
          <w:sz w:val="22"/>
          <w:szCs w:val="22"/>
          <w:lang w:val="en-GB"/>
        </w:rPr>
        <w:tab/>
        <w:t>President,</w:t>
      </w:r>
    </w:p>
    <w:p w:rsidR="008C7F0B" w:rsidRDefault="00823BAB" w:rsidP="00823BAB">
      <w:pPr>
        <w:pStyle w:val="esegmentp1"/>
        <w:tabs>
          <w:tab w:val="center" w:pos="6804"/>
        </w:tabs>
        <w:spacing w:after="0"/>
        <w:jc w:val="left"/>
        <w:rPr>
          <w:noProof/>
          <w:color w:val="auto"/>
          <w:sz w:val="22"/>
          <w:szCs w:val="22"/>
          <w:lang w:val="en-GB"/>
        </w:rPr>
      </w:pPr>
      <w:r>
        <w:rPr>
          <w:noProof/>
          <w:color w:val="auto"/>
          <w:sz w:val="22"/>
          <w:szCs w:val="22"/>
          <w:lang w:val="en-GB"/>
        </w:rPr>
        <w:tab/>
        <w:t>Governing Board of the Bank of Slovenia</w:t>
      </w:r>
    </w:p>
    <w:p w:rsidR="008C7F0B" w:rsidRDefault="008C7F0B" w:rsidP="00823BAB">
      <w:pPr>
        <w:pStyle w:val="esegmentp1"/>
        <w:tabs>
          <w:tab w:val="center" w:pos="6804"/>
        </w:tabs>
        <w:spacing w:after="0"/>
        <w:jc w:val="left"/>
        <w:rPr>
          <w:noProof/>
          <w:color w:val="auto"/>
          <w:sz w:val="22"/>
          <w:szCs w:val="22"/>
          <w:lang w:val="en-GB"/>
        </w:rPr>
      </w:pPr>
    </w:p>
    <w:p w:rsidR="008C7F0B" w:rsidRDefault="008C7F0B">
      <w:pPr>
        <w:rPr>
          <w:rFonts w:eastAsia="Times New Roman"/>
          <w:color w:val="333333"/>
          <w:sz w:val="12"/>
          <w:szCs w:val="12"/>
          <w:lang w:val="sl-SI" w:eastAsia="sl-SI"/>
        </w:rPr>
      </w:pPr>
      <w:r>
        <w:rPr>
          <w:noProof/>
          <w:lang w:val="en-GB"/>
        </w:rPr>
        <w:t>__________________________________________________________________________________</w:t>
      </w:r>
    </w:p>
    <w:p w:rsidR="008C7F0B" w:rsidRDefault="008C7F0B" w:rsidP="00823BAB">
      <w:pPr>
        <w:pStyle w:val="esegmentp1"/>
        <w:tabs>
          <w:tab w:val="center" w:pos="6804"/>
        </w:tabs>
        <w:spacing w:after="0"/>
        <w:jc w:val="left"/>
        <w:rPr>
          <w:noProof/>
          <w:color w:val="auto"/>
          <w:sz w:val="22"/>
          <w:szCs w:val="22"/>
          <w:lang w:val="en-GB"/>
        </w:rPr>
      </w:pPr>
    </w:p>
    <w:p w:rsidR="008C7F0B" w:rsidRDefault="008C7F0B" w:rsidP="00823BAB">
      <w:pPr>
        <w:pStyle w:val="esegmentp1"/>
        <w:tabs>
          <w:tab w:val="center" w:pos="6804"/>
        </w:tabs>
        <w:spacing w:after="0"/>
        <w:jc w:val="left"/>
        <w:rPr>
          <w:noProof/>
          <w:color w:val="auto"/>
          <w:sz w:val="22"/>
          <w:szCs w:val="22"/>
          <w:lang w:val="en-GB"/>
        </w:rPr>
      </w:pPr>
    </w:p>
    <w:p w:rsidR="008C7F0B" w:rsidRPr="008C7F0B" w:rsidRDefault="008C7F0B" w:rsidP="008C7F0B">
      <w:pPr>
        <w:autoSpaceDE w:val="0"/>
        <w:autoSpaceDN w:val="0"/>
        <w:adjustRightInd w:val="0"/>
        <w:jc w:val="both"/>
        <w:rPr>
          <w:color w:val="000000"/>
          <w:lang w:val="sl-SI"/>
        </w:rPr>
      </w:pPr>
      <w:r w:rsidRPr="008C7F0B">
        <w:rPr>
          <w:b/>
          <w:bCs/>
          <w:color w:val="000000"/>
          <w:lang w:val="sl-SI"/>
        </w:rPr>
        <w:t>The Regulation amending the Regulation on Intern</w:t>
      </w:r>
      <w:r>
        <w:rPr>
          <w:b/>
          <w:bCs/>
          <w:color w:val="000000"/>
          <w:lang w:val="sl-SI"/>
        </w:rPr>
        <w:t xml:space="preserve">al Governance Arrangements, the </w:t>
      </w:r>
      <w:r w:rsidRPr="008C7F0B">
        <w:rPr>
          <w:b/>
          <w:bCs/>
          <w:color w:val="000000"/>
          <w:lang w:val="sl-SI"/>
        </w:rPr>
        <w:t xml:space="preserve">Management body and the Internal Capital Adequacy Assessment Process for Banks and Savings banks </w:t>
      </w:r>
      <w:r w:rsidRPr="008C7F0B">
        <w:rPr>
          <w:color w:val="000000"/>
          <w:lang w:val="sl-SI"/>
        </w:rPr>
        <w:t xml:space="preserve">(Official Gazette of the Republic of Slovenia, No. 49/16 of 8 July 2016) also includes transitional and final provision: </w:t>
      </w:r>
    </w:p>
    <w:p w:rsidR="008C7F0B" w:rsidRPr="008C7F0B" w:rsidRDefault="008C7F0B" w:rsidP="008C7F0B">
      <w:pPr>
        <w:autoSpaceDE w:val="0"/>
        <w:autoSpaceDN w:val="0"/>
        <w:adjustRightInd w:val="0"/>
        <w:rPr>
          <w:color w:val="000000"/>
          <w:lang w:val="sl-SI"/>
        </w:rPr>
      </w:pPr>
      <w:r w:rsidRPr="008C7F0B">
        <w:rPr>
          <w:b/>
          <w:bCs/>
          <w:color w:val="000000"/>
          <w:lang w:val="sl-SI"/>
        </w:rPr>
        <w:t>"Article 5</w:t>
      </w:r>
    </w:p>
    <w:p w:rsidR="008C7F0B" w:rsidRPr="008C7F0B" w:rsidRDefault="008C7F0B" w:rsidP="008C7F0B">
      <w:pPr>
        <w:autoSpaceDE w:val="0"/>
        <w:autoSpaceDN w:val="0"/>
        <w:adjustRightInd w:val="0"/>
        <w:jc w:val="left"/>
        <w:rPr>
          <w:color w:val="000000"/>
          <w:lang w:val="sl-SI"/>
        </w:rPr>
      </w:pPr>
      <w:r w:rsidRPr="008C7F0B">
        <w:rPr>
          <w:color w:val="000000"/>
          <w:lang w:val="sl-SI"/>
        </w:rPr>
        <w:t xml:space="preserve">The bank or the BAMC shall report in accordance with Article 3 of this regulation for the first time for the situation as at 31 December 2016. </w:t>
      </w:r>
    </w:p>
    <w:p w:rsidR="008C7F0B" w:rsidRPr="008C7F0B" w:rsidRDefault="008C7F0B" w:rsidP="008C7F0B">
      <w:pPr>
        <w:autoSpaceDE w:val="0"/>
        <w:autoSpaceDN w:val="0"/>
        <w:adjustRightInd w:val="0"/>
        <w:rPr>
          <w:color w:val="000000"/>
          <w:lang w:val="sl-SI"/>
        </w:rPr>
      </w:pPr>
      <w:r w:rsidRPr="008C7F0B">
        <w:rPr>
          <w:b/>
          <w:bCs/>
          <w:color w:val="000000"/>
          <w:lang w:val="sl-SI"/>
        </w:rPr>
        <w:t>Article 6</w:t>
      </w:r>
    </w:p>
    <w:p w:rsidR="008C7F0B" w:rsidRDefault="008C7F0B" w:rsidP="008C7F0B">
      <w:pPr>
        <w:pStyle w:val="esegmentp1"/>
        <w:tabs>
          <w:tab w:val="center" w:pos="6804"/>
        </w:tabs>
        <w:spacing w:after="0"/>
        <w:jc w:val="left"/>
        <w:rPr>
          <w:rFonts w:eastAsiaTheme="minorHAnsi"/>
          <w:color w:val="000000"/>
          <w:sz w:val="22"/>
          <w:szCs w:val="22"/>
          <w:lang w:eastAsia="en-US"/>
        </w:rPr>
      </w:pPr>
      <w:r w:rsidRPr="008C7F0B">
        <w:rPr>
          <w:rFonts w:eastAsiaTheme="minorHAnsi"/>
          <w:color w:val="000000"/>
          <w:sz w:val="22"/>
          <w:szCs w:val="22"/>
          <w:lang w:eastAsia="en-US"/>
        </w:rPr>
        <w:t xml:space="preserve">This regulation shall enter into force on the day after its publication in the Official Gazette of the Republic of Slovenia.". </w:t>
      </w:r>
    </w:p>
    <w:p w:rsidR="008C7F0B" w:rsidRDefault="008C7F0B" w:rsidP="008C7F0B">
      <w:pPr>
        <w:pStyle w:val="esegmentp1"/>
        <w:tabs>
          <w:tab w:val="center" w:pos="6804"/>
        </w:tabs>
        <w:spacing w:after="0"/>
        <w:jc w:val="left"/>
        <w:rPr>
          <w:rFonts w:eastAsiaTheme="minorHAnsi"/>
          <w:color w:val="000000"/>
          <w:sz w:val="22"/>
          <w:szCs w:val="22"/>
          <w:lang w:eastAsia="en-US"/>
        </w:rPr>
      </w:pPr>
    </w:p>
    <w:p w:rsidR="008C7F0B" w:rsidRDefault="008C7F0B">
      <w:pPr>
        <w:rPr>
          <w:rFonts w:eastAsia="Times New Roman"/>
          <w:color w:val="333333"/>
          <w:sz w:val="12"/>
          <w:szCs w:val="12"/>
          <w:lang w:val="sl-SI" w:eastAsia="sl-SI"/>
        </w:rPr>
      </w:pPr>
      <w:r>
        <w:rPr>
          <w:noProof/>
          <w:lang w:val="en-GB"/>
        </w:rPr>
        <w:t>__________________________________________________________________________________</w:t>
      </w:r>
    </w:p>
    <w:p w:rsidR="008C7F0B" w:rsidRDefault="008C7F0B" w:rsidP="008C7F0B">
      <w:pPr>
        <w:pStyle w:val="esegmentp1"/>
        <w:tabs>
          <w:tab w:val="center" w:pos="6804"/>
        </w:tabs>
        <w:spacing w:after="0"/>
        <w:jc w:val="left"/>
        <w:rPr>
          <w:noProof/>
          <w:color w:val="auto"/>
          <w:sz w:val="22"/>
          <w:szCs w:val="22"/>
          <w:lang w:val="en-GB"/>
        </w:rPr>
      </w:pPr>
    </w:p>
    <w:p w:rsidR="008C7F0B" w:rsidRDefault="008C7F0B" w:rsidP="008C7F0B">
      <w:pPr>
        <w:autoSpaceDE w:val="0"/>
        <w:autoSpaceDN w:val="0"/>
        <w:adjustRightInd w:val="0"/>
        <w:jc w:val="both"/>
        <w:rPr>
          <w:color w:val="000000"/>
          <w:lang w:val="sl-SI"/>
        </w:rPr>
      </w:pPr>
      <w:r w:rsidRPr="008C7F0B">
        <w:rPr>
          <w:b/>
          <w:bCs/>
          <w:color w:val="000000"/>
          <w:highlight w:val="yellow"/>
          <w:lang w:val="sl-SI"/>
        </w:rPr>
        <w:t xml:space="preserve">The Regulation amending the Regulation on Internal Governance Arrangements, the Management body and the Internal Capital Adequacy Assessment Process for Banks and Savings banks </w:t>
      </w:r>
      <w:r w:rsidRPr="008C7F0B">
        <w:rPr>
          <w:color w:val="000000"/>
          <w:highlight w:val="yellow"/>
          <w:lang w:val="sl-SI"/>
        </w:rPr>
        <w:t xml:space="preserve">(Official Gazette of </w:t>
      </w:r>
      <w:r>
        <w:rPr>
          <w:color w:val="000000"/>
          <w:highlight w:val="yellow"/>
          <w:lang w:val="sl-SI"/>
        </w:rPr>
        <w:t xml:space="preserve">the Republic of Slovenia, No. 68/17) includes </w:t>
      </w:r>
      <w:r w:rsidRPr="008C7F0B">
        <w:rPr>
          <w:color w:val="000000"/>
          <w:highlight w:val="yellow"/>
          <w:lang w:val="sl-SI"/>
        </w:rPr>
        <w:t>final provision:</w:t>
      </w:r>
    </w:p>
    <w:p w:rsidR="008C7F0B" w:rsidRDefault="008C7F0B" w:rsidP="008C7F0B">
      <w:pPr>
        <w:autoSpaceDE w:val="0"/>
        <w:autoSpaceDN w:val="0"/>
        <w:adjustRightInd w:val="0"/>
        <w:jc w:val="both"/>
        <w:rPr>
          <w:color w:val="000000"/>
          <w:lang w:val="sl-SI"/>
        </w:rPr>
      </w:pPr>
    </w:p>
    <w:p w:rsidR="008C7F0B" w:rsidRPr="00BF303C" w:rsidRDefault="008C7F0B" w:rsidP="008C7F0B">
      <w:pPr>
        <w:rPr>
          <w:highlight w:val="yellow"/>
        </w:rPr>
      </w:pPr>
      <w:r>
        <w:rPr>
          <w:highlight w:val="yellow"/>
        </w:rPr>
        <w:t>''Article 2</w:t>
      </w:r>
    </w:p>
    <w:p w:rsidR="008C7F0B" w:rsidRPr="00BF303C" w:rsidRDefault="008C7F0B" w:rsidP="008C7F0B">
      <w:pPr>
        <w:pStyle w:val="Odstavekseznama"/>
        <w:tabs>
          <w:tab w:val="left" w:pos="426"/>
        </w:tabs>
        <w:ind w:left="0"/>
        <w:jc w:val="both"/>
        <w:rPr>
          <w:highlight w:val="yellow"/>
        </w:rPr>
      </w:pPr>
    </w:p>
    <w:p w:rsidR="008C7F0B" w:rsidRPr="00BF303C" w:rsidRDefault="008C7F0B" w:rsidP="008C7F0B">
      <w:pPr>
        <w:pStyle w:val="Odstavekseznama"/>
        <w:tabs>
          <w:tab w:val="left" w:pos="426"/>
        </w:tabs>
        <w:ind w:left="0"/>
        <w:jc w:val="both"/>
        <w:rPr>
          <w:highlight w:val="yellow"/>
        </w:rPr>
      </w:pPr>
      <w:r w:rsidRPr="008602E6">
        <w:rPr>
          <w:color w:val="000000"/>
          <w:highlight w:val="yellow"/>
        </w:rPr>
        <w:t>This regulation shall enter into force 1</w:t>
      </w:r>
      <w:r w:rsidRPr="008602E6">
        <w:rPr>
          <w:color w:val="000000"/>
          <w:highlight w:val="yellow"/>
          <w:vertAlign w:val="superscript"/>
        </w:rPr>
        <w:t>st</w:t>
      </w:r>
      <w:r w:rsidRPr="008602E6">
        <w:rPr>
          <w:color w:val="000000"/>
          <w:highlight w:val="yellow"/>
        </w:rPr>
        <w:t xml:space="preserve"> of January 2018</w:t>
      </w:r>
      <w:r w:rsidRPr="008602E6">
        <w:rPr>
          <w:highlight w:val="yellow"/>
        </w:rPr>
        <w:t>.''.</w:t>
      </w:r>
    </w:p>
    <w:p w:rsidR="008C7F0B" w:rsidRPr="008C7F0B" w:rsidRDefault="008C7F0B" w:rsidP="008C7F0B">
      <w:pPr>
        <w:autoSpaceDE w:val="0"/>
        <w:autoSpaceDN w:val="0"/>
        <w:adjustRightInd w:val="0"/>
        <w:jc w:val="both"/>
        <w:rPr>
          <w:color w:val="000000"/>
          <w:lang w:val="sl-SI"/>
        </w:rPr>
      </w:pPr>
      <w:r w:rsidRPr="008C7F0B">
        <w:rPr>
          <w:color w:val="000000"/>
          <w:lang w:val="sl-SI"/>
        </w:rPr>
        <w:t xml:space="preserve"> </w:t>
      </w:r>
    </w:p>
    <w:p w:rsidR="00823BAB" w:rsidRDefault="00823BAB" w:rsidP="008C7F0B">
      <w:pPr>
        <w:pStyle w:val="esegmentp1"/>
        <w:tabs>
          <w:tab w:val="center" w:pos="6804"/>
        </w:tabs>
        <w:spacing w:after="0"/>
        <w:jc w:val="left"/>
        <w:rPr>
          <w:noProof/>
          <w:color w:val="auto"/>
          <w:sz w:val="22"/>
          <w:szCs w:val="22"/>
        </w:rPr>
      </w:pPr>
    </w:p>
    <w:p w:rsidR="008C7F0B" w:rsidRDefault="008C7F0B">
      <w:pPr>
        <w:rPr>
          <w:rFonts w:eastAsia="Times New Roman"/>
          <w:color w:val="333333"/>
          <w:sz w:val="12"/>
          <w:szCs w:val="12"/>
          <w:lang w:val="sl-SI" w:eastAsia="sl-SI"/>
        </w:rPr>
      </w:pPr>
      <w:r>
        <w:rPr>
          <w:noProof/>
        </w:rPr>
        <w:t>__________________________________________________________________________________</w:t>
      </w:r>
    </w:p>
    <w:p w:rsidR="008C7F0B" w:rsidRDefault="008C7F0B" w:rsidP="008C7F0B">
      <w:pPr>
        <w:pStyle w:val="esegmentp1"/>
        <w:tabs>
          <w:tab w:val="center" w:pos="6804"/>
        </w:tabs>
        <w:spacing w:after="0"/>
        <w:jc w:val="left"/>
        <w:rPr>
          <w:noProof/>
          <w:color w:val="auto"/>
          <w:sz w:val="22"/>
          <w:szCs w:val="22"/>
        </w:rPr>
      </w:pPr>
    </w:p>
    <w:p w:rsidR="008C7F0B" w:rsidRDefault="008C7F0B" w:rsidP="008C7F0B">
      <w:pPr>
        <w:pStyle w:val="esegmentp1"/>
        <w:tabs>
          <w:tab w:val="center" w:pos="6804"/>
        </w:tabs>
        <w:spacing w:after="0"/>
        <w:jc w:val="left"/>
        <w:rPr>
          <w:noProof/>
          <w:color w:val="auto"/>
          <w:sz w:val="22"/>
          <w:szCs w:val="22"/>
        </w:rPr>
      </w:pPr>
    </w:p>
    <w:p w:rsidR="008C7F0B" w:rsidRDefault="008C7F0B" w:rsidP="008C7F0B">
      <w:pPr>
        <w:pStyle w:val="esegmentp1"/>
        <w:tabs>
          <w:tab w:val="center" w:pos="6804"/>
        </w:tabs>
        <w:spacing w:after="0"/>
        <w:jc w:val="left"/>
        <w:rPr>
          <w:noProof/>
          <w:color w:val="auto"/>
          <w:sz w:val="22"/>
          <w:szCs w:val="22"/>
        </w:rPr>
      </w:pPr>
    </w:p>
    <w:p w:rsidR="00D8722B" w:rsidRDefault="00D8722B" w:rsidP="008C7F0B">
      <w:pPr>
        <w:pStyle w:val="esegmentp1"/>
        <w:tabs>
          <w:tab w:val="center" w:pos="6804"/>
        </w:tabs>
        <w:spacing w:after="0"/>
        <w:jc w:val="left"/>
        <w:rPr>
          <w:noProof/>
          <w:color w:val="auto"/>
          <w:sz w:val="22"/>
          <w:szCs w:val="22"/>
        </w:rPr>
      </w:pPr>
    </w:p>
    <w:p w:rsidR="00D8722B" w:rsidRPr="00823BAB" w:rsidRDefault="00D8722B" w:rsidP="008C7F0B">
      <w:pPr>
        <w:pStyle w:val="esegmentp1"/>
        <w:tabs>
          <w:tab w:val="center" w:pos="6804"/>
        </w:tabs>
        <w:spacing w:after="0"/>
        <w:jc w:val="left"/>
        <w:rPr>
          <w:noProof/>
          <w:color w:val="auto"/>
          <w:sz w:val="22"/>
          <w:szCs w:val="22"/>
        </w:rPr>
      </w:pPr>
    </w:p>
    <w:p w:rsidR="00823BAB" w:rsidRPr="00823BAB" w:rsidRDefault="00823BAB" w:rsidP="00823BAB">
      <w:pPr>
        <w:jc w:val="both"/>
        <w:rPr>
          <w:b/>
          <w:noProof/>
        </w:rPr>
      </w:pPr>
      <w:r>
        <w:rPr>
          <w:b/>
          <w:bCs/>
          <w:noProof/>
          <w:lang w:val="en-GB"/>
        </w:rPr>
        <w:t>APPENDICES</w:t>
      </w:r>
      <w:r>
        <w:rPr>
          <w:noProof/>
          <w:lang w:val="en-GB"/>
        </w:rPr>
        <w:t>: Additional requirements with regard to risk management</w:t>
      </w:r>
    </w:p>
    <w:p w:rsidR="00823BAB" w:rsidRPr="00823BAB" w:rsidRDefault="00823BAB" w:rsidP="00823BAB">
      <w:pPr>
        <w:jc w:val="both"/>
        <w:rPr>
          <w:b/>
          <w:noProof/>
        </w:rPr>
      </w:pPr>
    </w:p>
    <w:p w:rsidR="00823BAB" w:rsidRPr="002E6B6E" w:rsidRDefault="00823BAB" w:rsidP="00823BAB">
      <w:pPr>
        <w:jc w:val="both"/>
        <w:rPr>
          <w:strike/>
          <w:noProof/>
        </w:rPr>
      </w:pPr>
      <w:r>
        <w:rPr>
          <w:b/>
          <w:bCs/>
          <w:noProof/>
          <w:lang w:val="en-GB"/>
        </w:rPr>
        <w:t xml:space="preserve">Appendix 1: </w:t>
      </w:r>
      <w:r>
        <w:rPr>
          <w:noProof/>
          <w:lang w:val="en-GB"/>
        </w:rPr>
        <w:t xml:space="preserve">Credit risk, </w:t>
      </w:r>
      <w:r w:rsidRPr="002E6B6E">
        <w:rPr>
          <w:strike/>
          <w:noProof/>
          <w:highlight w:val="yellow"/>
          <w:lang w:val="en-GB"/>
        </w:rPr>
        <w:t>DEN TOK form, PRESTR form</w:t>
      </w:r>
    </w:p>
    <w:p w:rsidR="00823BAB" w:rsidRPr="00823BAB" w:rsidRDefault="00823BAB" w:rsidP="00823BAB">
      <w:pPr>
        <w:jc w:val="both"/>
        <w:rPr>
          <w:noProof/>
        </w:rPr>
      </w:pPr>
      <w:r>
        <w:rPr>
          <w:b/>
          <w:bCs/>
          <w:noProof/>
          <w:lang w:val="en-GB"/>
        </w:rPr>
        <w:t xml:space="preserve">Appendix 2: </w:t>
      </w:r>
      <w:r>
        <w:rPr>
          <w:noProof/>
          <w:lang w:val="en-GB"/>
        </w:rPr>
        <w:t>Liquidity risk</w:t>
      </w:r>
    </w:p>
    <w:p w:rsidR="00823BAB" w:rsidRPr="00823BAB" w:rsidRDefault="00823BAB" w:rsidP="00823BAB">
      <w:pPr>
        <w:jc w:val="both"/>
        <w:rPr>
          <w:noProof/>
        </w:rPr>
      </w:pPr>
      <w:r>
        <w:rPr>
          <w:b/>
          <w:bCs/>
          <w:noProof/>
          <w:lang w:val="en-GB"/>
        </w:rPr>
        <w:t xml:space="preserve">Appendix 3: </w:t>
      </w:r>
      <w:r>
        <w:rPr>
          <w:noProof/>
          <w:lang w:val="en-GB"/>
        </w:rPr>
        <w:t xml:space="preserve">Operational risk </w:t>
      </w:r>
    </w:p>
    <w:p w:rsidR="00823BAB" w:rsidRPr="00823BAB" w:rsidRDefault="00823BAB" w:rsidP="00823BAB">
      <w:pPr>
        <w:jc w:val="both"/>
        <w:rPr>
          <w:noProof/>
        </w:rPr>
      </w:pPr>
      <w:r>
        <w:rPr>
          <w:b/>
          <w:bCs/>
          <w:noProof/>
          <w:lang w:val="en-GB"/>
        </w:rPr>
        <w:t xml:space="preserve">Appendix 4: </w:t>
      </w:r>
      <w:r>
        <w:rPr>
          <w:noProof/>
          <w:lang w:val="en-GB"/>
        </w:rPr>
        <w:t>Market risks</w:t>
      </w:r>
    </w:p>
    <w:p w:rsidR="00823BAB" w:rsidRPr="00823BAB" w:rsidRDefault="00823BAB" w:rsidP="00823BAB">
      <w:pPr>
        <w:jc w:val="both"/>
        <w:rPr>
          <w:noProof/>
        </w:rPr>
      </w:pPr>
      <w:r>
        <w:rPr>
          <w:noProof/>
          <w:lang w:val="en-GB"/>
        </w:rPr>
        <w:br w:type="page"/>
      </w:r>
      <w:r>
        <w:rPr>
          <w:b/>
          <w:bCs/>
          <w:noProof/>
          <w:lang w:val="en-GB"/>
        </w:rPr>
        <w:t xml:space="preserve">Appendix 1: </w:t>
      </w:r>
      <w:r>
        <w:rPr>
          <w:noProof/>
          <w:lang w:val="en-GB"/>
        </w:rPr>
        <w:t xml:space="preserve">Credit risk </w:t>
      </w:r>
    </w:p>
    <w:p w:rsidR="009C0F4D" w:rsidRPr="009C0F4D" w:rsidRDefault="009C0F4D" w:rsidP="009C0F4D">
      <w:pPr>
        <w:pStyle w:val="Odstavekseznama"/>
        <w:ind w:left="0"/>
        <w:rPr>
          <w:b/>
          <w:highlight w:val="yellow"/>
        </w:rPr>
      </w:pPr>
    </w:p>
    <w:p w:rsidR="009C0F4D" w:rsidRPr="009C0F4D" w:rsidRDefault="009C0F4D" w:rsidP="009C0F4D">
      <w:pPr>
        <w:pStyle w:val="Odstavekseznama"/>
        <w:ind w:left="0"/>
        <w:jc w:val="both"/>
        <w:rPr>
          <w:highlight w:val="yellow"/>
        </w:rPr>
      </w:pPr>
      <w:r w:rsidRPr="009C0F4D">
        <w:rPr>
          <w:highlight w:val="yellow"/>
          <w:lang w:val="en-GB"/>
        </w:rPr>
        <w:t>“This appendix defines the additional requirements and the fundamental principles that banks take into account in putting in place a suitable environment for credit risk management:</w:t>
      </w:r>
    </w:p>
    <w:p w:rsidR="009C0F4D" w:rsidRPr="009C0F4D" w:rsidRDefault="009C0F4D" w:rsidP="009C0F4D">
      <w:pPr>
        <w:pStyle w:val="Odstavekseznama"/>
        <w:ind w:left="0"/>
        <w:jc w:val="both"/>
        <w:rPr>
          <w:highlight w:val="yellow"/>
        </w:rPr>
      </w:pPr>
    </w:p>
    <w:p w:rsidR="009C0F4D" w:rsidRPr="009C0F4D" w:rsidRDefault="009C0F4D" w:rsidP="009C0F4D">
      <w:pPr>
        <w:pStyle w:val="Odstavekseznama"/>
        <w:numPr>
          <w:ilvl w:val="0"/>
          <w:numId w:val="49"/>
        </w:numPr>
        <w:spacing w:after="200"/>
        <w:jc w:val="both"/>
        <w:rPr>
          <w:highlight w:val="yellow"/>
        </w:rPr>
      </w:pPr>
      <w:r w:rsidRPr="009C0F4D">
        <w:rPr>
          <w:highlight w:val="yellow"/>
          <w:lang w:val="en-GB"/>
        </w:rPr>
        <w:t xml:space="preserve">The management body is responsible for adopting and regularly reviewing (at least once a year) the strategy for taking up and managing credit risk (hereinafter: the strategy) and major policies setting out the methodologies, procedures and tools for managing credit risk, and for overseeing their implementation and updating. </w:t>
      </w:r>
    </w:p>
    <w:p w:rsidR="009C0F4D" w:rsidRPr="009C0F4D" w:rsidRDefault="009C0F4D" w:rsidP="009C0F4D">
      <w:pPr>
        <w:pStyle w:val="Odstavekseznama"/>
        <w:ind w:left="0"/>
        <w:jc w:val="both"/>
        <w:rPr>
          <w:highlight w:val="yellow"/>
        </w:rPr>
      </w:pPr>
    </w:p>
    <w:p w:rsidR="009C0F4D" w:rsidRPr="009C0F4D" w:rsidRDefault="009C0F4D" w:rsidP="009C0F4D">
      <w:pPr>
        <w:pStyle w:val="Odstavekseznama"/>
        <w:numPr>
          <w:ilvl w:val="0"/>
          <w:numId w:val="49"/>
        </w:numPr>
        <w:spacing w:after="200"/>
        <w:jc w:val="both"/>
        <w:rPr>
          <w:highlight w:val="yellow"/>
        </w:rPr>
      </w:pPr>
      <w:r w:rsidRPr="009C0F4D">
        <w:rPr>
          <w:highlight w:val="yellow"/>
          <w:lang w:val="en-GB"/>
        </w:rPr>
        <w:t xml:space="preserve">The strategy shall reflect the bank’s propensity to take up credit risk. It shall include the bank’s guidelines with regard to increasing or reducing the exposure level and taking up risk across individual types of loan, sectors, geographical regions, currencies and maturities. The strategy shall also include a selection of target markets (client segments) and other general attributes of the credit portfolio. The strategy shall take account of economic cycles and the resulting changes in the structure and quality of the credit portfolio. </w:t>
      </w:r>
    </w:p>
    <w:p w:rsidR="009C0F4D" w:rsidRPr="009C0F4D" w:rsidRDefault="009C0F4D" w:rsidP="009C0F4D">
      <w:pPr>
        <w:pStyle w:val="Odstavekseznama"/>
        <w:ind w:left="0"/>
        <w:jc w:val="both"/>
        <w:rPr>
          <w:highlight w:val="yellow"/>
        </w:rPr>
      </w:pPr>
    </w:p>
    <w:p w:rsidR="009C0F4D" w:rsidRPr="009C0F4D" w:rsidRDefault="009C0F4D" w:rsidP="009C0F4D">
      <w:pPr>
        <w:pStyle w:val="Odstavekseznama"/>
        <w:numPr>
          <w:ilvl w:val="0"/>
          <w:numId w:val="49"/>
        </w:numPr>
        <w:spacing w:after="200"/>
        <w:jc w:val="both"/>
        <w:rPr>
          <w:highlight w:val="yellow"/>
        </w:rPr>
      </w:pPr>
      <w:r w:rsidRPr="009C0F4D">
        <w:rPr>
          <w:highlight w:val="yellow"/>
          <w:lang w:val="en-GB"/>
        </w:rPr>
        <w:t>The senior management is responsible for implementing the adopted strategy, by putting in place processes to identify, measure or assess, monitor and control credit risk for all banking activities, both for individual loans and for the credit portfolio as a whole.</w:t>
      </w:r>
    </w:p>
    <w:p w:rsidR="009C0F4D" w:rsidRPr="009C0F4D" w:rsidRDefault="009C0F4D" w:rsidP="009C0F4D">
      <w:pPr>
        <w:pStyle w:val="Odstavekseznama"/>
        <w:ind w:left="0"/>
        <w:jc w:val="both"/>
        <w:rPr>
          <w:highlight w:val="yellow"/>
        </w:rPr>
      </w:pPr>
    </w:p>
    <w:p w:rsidR="009C0F4D" w:rsidRPr="009C0F4D" w:rsidRDefault="009C0F4D" w:rsidP="009C0F4D">
      <w:pPr>
        <w:pStyle w:val="Odstavekseznama"/>
        <w:numPr>
          <w:ilvl w:val="0"/>
          <w:numId w:val="49"/>
        </w:numPr>
        <w:spacing w:after="200"/>
        <w:jc w:val="both"/>
        <w:rPr>
          <w:highlight w:val="yellow"/>
        </w:rPr>
      </w:pPr>
      <w:r w:rsidRPr="009C0F4D">
        <w:rPr>
          <w:highlight w:val="yellow"/>
          <w:lang w:val="en-GB"/>
        </w:rPr>
        <w:t>A clear organisational structure shall be put in place at the bank that reflects the bank’s strategy and provides for employees in the area of credit risk to be quickly and effectively informed about the strategy and policies adopted. Employees involved in credit processes shall have a good awareness of the bank’s approach to credit approval and management, and shall act in accordance with the strategy and policies adopted.</w:t>
      </w:r>
    </w:p>
    <w:p w:rsidR="009C0F4D" w:rsidRPr="009C0F4D" w:rsidRDefault="009C0F4D" w:rsidP="009C0F4D">
      <w:pPr>
        <w:pStyle w:val="Odstavekseznama"/>
        <w:ind w:left="0"/>
        <w:jc w:val="both"/>
        <w:rPr>
          <w:highlight w:val="yellow"/>
        </w:rPr>
      </w:pPr>
    </w:p>
    <w:p w:rsidR="009C0F4D" w:rsidRPr="009C0F4D" w:rsidRDefault="009C0F4D" w:rsidP="009C0F4D">
      <w:pPr>
        <w:pStyle w:val="Odstavekseznama"/>
        <w:numPr>
          <w:ilvl w:val="0"/>
          <w:numId w:val="49"/>
        </w:numPr>
        <w:spacing w:after="200"/>
        <w:jc w:val="both"/>
        <w:rPr>
          <w:highlight w:val="yellow"/>
        </w:rPr>
      </w:pPr>
      <w:r w:rsidRPr="009C0F4D">
        <w:rPr>
          <w:highlight w:val="yellow"/>
          <w:lang w:val="en-GB"/>
        </w:rPr>
        <w:t>Credit policies shall provide a detailed definition of the principal terms of lending, and other lending criteria (e.g. acceptable purposes of lending, limits on the client’s credit assessment, maximum lending maturity, minimum collateral value and quality). They shall include clearly defined credit processes (approval of credit exposures, assignment of exposures to rating grades, management of credit protection, creation of value adjustments and provisions, early warning process, treatment of problem exposures, monitoring of credit risk and reporting on credit risk) that also set out the way in which decisions are made, and the powers and responsibilities of persons involved in these processes.</w:t>
      </w:r>
    </w:p>
    <w:p w:rsidR="009C0F4D" w:rsidRPr="009C0F4D" w:rsidRDefault="009C0F4D" w:rsidP="009C0F4D">
      <w:pPr>
        <w:pStyle w:val="Odstavekseznama"/>
        <w:jc w:val="both"/>
        <w:rPr>
          <w:highlight w:val="yellow"/>
        </w:rPr>
      </w:pPr>
    </w:p>
    <w:p w:rsidR="009C0F4D" w:rsidRPr="009C0F4D" w:rsidRDefault="009C0F4D" w:rsidP="009C0F4D">
      <w:pPr>
        <w:pStyle w:val="Odstavekseznama"/>
        <w:numPr>
          <w:ilvl w:val="0"/>
          <w:numId w:val="49"/>
        </w:numPr>
        <w:spacing w:after="200"/>
        <w:jc w:val="both"/>
        <w:rPr>
          <w:highlight w:val="yellow"/>
        </w:rPr>
      </w:pPr>
      <w:r w:rsidRPr="009C0F4D">
        <w:rPr>
          <w:highlight w:val="yellow"/>
          <w:lang w:val="en-GB"/>
        </w:rPr>
        <w:t>The credit policy, which represents the framework for lending and guidance for the bank’s lending activity, shall provide a detailed definition of the target markets, the portfolio structure, price and non-price terms, the structure for setting limits, the method of credit approval and loan management (power of approval), permissible deviations and exceptions in processes, and reporting of exceptions. The credit policy shall be set out clearly, shall be based on banking principles of prudence, and shall comply with applicable legislation.</w:t>
      </w:r>
    </w:p>
    <w:p w:rsidR="009C0F4D" w:rsidRPr="009C0F4D" w:rsidRDefault="009C0F4D" w:rsidP="009C0F4D">
      <w:pPr>
        <w:pStyle w:val="Odstavekseznama"/>
        <w:ind w:left="0"/>
        <w:jc w:val="both"/>
        <w:rPr>
          <w:highlight w:val="yellow"/>
        </w:rPr>
      </w:pPr>
    </w:p>
    <w:p w:rsidR="009C0F4D" w:rsidRPr="009C0F4D" w:rsidRDefault="009C0F4D" w:rsidP="009C0F4D">
      <w:pPr>
        <w:pStyle w:val="Odstavekseznama"/>
        <w:numPr>
          <w:ilvl w:val="0"/>
          <w:numId w:val="49"/>
        </w:numPr>
        <w:spacing w:after="200"/>
        <w:jc w:val="both"/>
        <w:rPr>
          <w:highlight w:val="yellow"/>
        </w:rPr>
      </w:pPr>
      <w:r w:rsidRPr="009C0F4D">
        <w:rPr>
          <w:highlight w:val="yellow"/>
          <w:lang w:val="en-GB"/>
        </w:rPr>
        <w:t>A bank that offers clients non-standard or special credit arrangements (e.g. project financing, real estate financing) shall adopt special credit policies for financing of this type that requires modified procedures and controls. Specialists in individual forms of financing shall be included in the credit process.</w:t>
      </w:r>
    </w:p>
    <w:p w:rsidR="009C0F4D" w:rsidRPr="009C0F4D" w:rsidRDefault="009C0F4D" w:rsidP="009C0F4D">
      <w:pPr>
        <w:pStyle w:val="Odstavekseznama"/>
        <w:rPr>
          <w:highlight w:val="yellow"/>
        </w:rPr>
      </w:pPr>
    </w:p>
    <w:p w:rsidR="009C0F4D" w:rsidRPr="009C0F4D" w:rsidRDefault="009C0F4D" w:rsidP="009C0F4D">
      <w:pPr>
        <w:pStyle w:val="Odstavekseznama"/>
        <w:numPr>
          <w:ilvl w:val="0"/>
          <w:numId w:val="49"/>
        </w:numPr>
        <w:spacing w:after="200"/>
        <w:jc w:val="both"/>
        <w:rPr>
          <w:highlight w:val="yellow"/>
        </w:rPr>
      </w:pPr>
      <w:r w:rsidRPr="009C0F4D">
        <w:rPr>
          <w:highlight w:val="yellow"/>
          <w:lang w:val="en-GB"/>
        </w:rPr>
        <w:t>The bank shall ensure clear functional and organisational separation between the commercial operations unit and the risk management unit and between the commercial operations unit and the back-office department, including managerial levels.”</w:t>
      </w:r>
    </w:p>
    <w:p w:rsidR="00823BAB" w:rsidRPr="00823BAB" w:rsidRDefault="00823BAB" w:rsidP="00823BAB">
      <w:pPr>
        <w:jc w:val="both"/>
        <w:rPr>
          <w:noProof/>
        </w:rPr>
      </w:pPr>
    </w:p>
    <w:p w:rsidR="00823BAB" w:rsidRPr="009C0F4D" w:rsidRDefault="00823BAB" w:rsidP="00823BAB">
      <w:pPr>
        <w:rPr>
          <w:b/>
          <w:strike/>
          <w:noProof/>
          <w:highlight w:val="yellow"/>
        </w:rPr>
      </w:pPr>
      <w:r w:rsidRPr="009C0F4D">
        <w:rPr>
          <w:b/>
          <w:bCs/>
          <w:strike/>
          <w:noProof/>
          <w:highlight w:val="yellow"/>
          <w:lang w:val="en-GB"/>
        </w:rPr>
        <w:t>1. Subject of regulation</w:t>
      </w:r>
    </w:p>
    <w:p w:rsidR="00823BAB" w:rsidRPr="009C0F4D" w:rsidRDefault="00823BAB" w:rsidP="00823BAB">
      <w:pPr>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This appendix defines the additional requirements with regard to credit risk management, including the processes of:</w:t>
      </w:r>
    </w:p>
    <w:p w:rsidR="00823BAB" w:rsidRPr="009C0F4D" w:rsidRDefault="00823BAB" w:rsidP="00823BAB">
      <w:pPr>
        <w:jc w:val="both"/>
        <w:rPr>
          <w:strike/>
          <w:noProof/>
          <w:highlight w:val="yellow"/>
        </w:rPr>
      </w:pPr>
      <w:r w:rsidRPr="009C0F4D">
        <w:rPr>
          <w:strike/>
          <w:noProof/>
          <w:highlight w:val="yellow"/>
          <w:lang w:val="en-GB"/>
        </w:rPr>
        <w:t>1. credit approval;</w:t>
      </w:r>
    </w:p>
    <w:p w:rsidR="00823BAB" w:rsidRPr="009C0F4D" w:rsidRDefault="00823BAB" w:rsidP="00823BAB">
      <w:pPr>
        <w:jc w:val="both"/>
        <w:rPr>
          <w:strike/>
          <w:noProof/>
          <w:highlight w:val="yellow"/>
        </w:rPr>
      </w:pPr>
      <w:r w:rsidRPr="009C0F4D">
        <w:rPr>
          <w:strike/>
          <w:noProof/>
          <w:highlight w:val="yellow"/>
          <w:lang w:val="en-GB"/>
        </w:rPr>
        <w:t>2. monitoring;</w:t>
      </w:r>
    </w:p>
    <w:p w:rsidR="00823BAB" w:rsidRPr="009C0F4D" w:rsidRDefault="00823BAB" w:rsidP="00823BAB">
      <w:pPr>
        <w:jc w:val="both"/>
        <w:rPr>
          <w:strike/>
          <w:noProof/>
          <w:highlight w:val="yellow"/>
        </w:rPr>
      </w:pPr>
      <w:r w:rsidRPr="009C0F4D">
        <w:rPr>
          <w:strike/>
          <w:noProof/>
          <w:highlight w:val="yellow"/>
          <w:lang w:val="en-GB"/>
        </w:rPr>
        <w:t>3. data management, collection and storage;</w:t>
      </w:r>
    </w:p>
    <w:p w:rsidR="00823BAB" w:rsidRPr="009C0F4D" w:rsidRDefault="00823BAB" w:rsidP="00823BAB">
      <w:pPr>
        <w:jc w:val="both"/>
        <w:rPr>
          <w:strike/>
          <w:noProof/>
          <w:highlight w:val="yellow"/>
        </w:rPr>
      </w:pPr>
      <w:r w:rsidRPr="009C0F4D">
        <w:rPr>
          <w:strike/>
          <w:noProof/>
          <w:highlight w:val="yellow"/>
          <w:lang w:val="en-GB"/>
        </w:rPr>
        <w:t>4. credit risk assessment;</w:t>
      </w:r>
    </w:p>
    <w:p w:rsidR="00823BAB" w:rsidRPr="009C0F4D" w:rsidRDefault="00823BAB" w:rsidP="00823BAB">
      <w:pPr>
        <w:jc w:val="both"/>
        <w:rPr>
          <w:strike/>
          <w:noProof/>
          <w:highlight w:val="yellow"/>
        </w:rPr>
      </w:pPr>
      <w:r w:rsidRPr="009C0F4D">
        <w:rPr>
          <w:strike/>
          <w:noProof/>
          <w:highlight w:val="yellow"/>
          <w:lang w:val="en-GB"/>
        </w:rPr>
        <w:t>5. reporting on credit risk.</w:t>
      </w:r>
    </w:p>
    <w:p w:rsidR="00823BAB" w:rsidRPr="009C0F4D" w:rsidRDefault="00823BAB" w:rsidP="00823BAB">
      <w:pPr>
        <w:rPr>
          <w:strike/>
          <w:noProof/>
          <w:highlight w:val="yellow"/>
        </w:rPr>
      </w:pPr>
    </w:p>
    <w:p w:rsidR="00823BAB" w:rsidRPr="009C0F4D" w:rsidRDefault="00823BAB" w:rsidP="00823BAB">
      <w:pPr>
        <w:rPr>
          <w:strike/>
          <w:noProof/>
          <w:highlight w:val="yellow"/>
        </w:rPr>
      </w:pPr>
    </w:p>
    <w:p w:rsidR="00823BAB" w:rsidRPr="009C0F4D" w:rsidRDefault="00823BAB" w:rsidP="00823BAB">
      <w:pPr>
        <w:rPr>
          <w:b/>
          <w:strike/>
          <w:noProof/>
          <w:highlight w:val="yellow"/>
        </w:rPr>
      </w:pPr>
      <w:bookmarkStart w:id="0" w:name="_Toc418517918"/>
      <w:r w:rsidRPr="009C0F4D">
        <w:rPr>
          <w:b/>
          <w:bCs/>
          <w:strike/>
          <w:noProof/>
          <w:highlight w:val="yellow"/>
          <w:lang w:val="en-GB"/>
        </w:rPr>
        <w:t>2. Credit approval process</w:t>
      </w:r>
      <w:bookmarkEnd w:id="0"/>
    </w:p>
    <w:p w:rsidR="00823BAB" w:rsidRPr="009C0F4D" w:rsidRDefault="00823BAB" w:rsidP="00823BAB">
      <w:pPr>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(1) A bank shall ensure that the risk policies referred to in Article 6 of this regulation include a credit approval policy and a clear segregation of duties with regard to credit approval within the bank and among entities within the banking group.</w:t>
      </w:r>
    </w:p>
    <w:p w:rsidR="00823BAB" w:rsidRPr="009C0F4D" w:rsidRDefault="00823BAB" w:rsidP="00823BAB">
      <w:pPr>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(2) The bank shall ensure clear functional and organisational separation between the commercial operations unit and the risk management unit and between the commercial operations unit and the back-office department, including managerial levels.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(3) Each credit approval decision shall be subject to the approval of the commercial operations unit and the risk management unit, whereby the bank shall take account of the </w:t>
      </w:r>
      <w:r w:rsidR="00BA42E0" w:rsidRPr="009C0F4D">
        <w:rPr>
          <w:strike/>
          <w:noProof/>
          <w:highlight w:val="yellow"/>
          <w:lang w:val="en-GB"/>
        </w:rPr>
        <w:t>characteristics</w:t>
      </w:r>
      <w:r w:rsidRPr="009C0F4D">
        <w:rPr>
          <w:strike/>
          <w:noProof/>
          <w:highlight w:val="yellow"/>
          <w:lang w:val="en-GB"/>
        </w:rPr>
        <w:t>, complexity and risk of the loan in question. When the credit approval decision is not significant from the perspective of risk, the commercial operations unit may decide on the matter alone.</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(4) In the event of the commercial operations unit and the risk management unit disagreeing with regard to credit approval, the bank shall ensure that the established decision-making rules are upheld.</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(5) The bank shall put in place clear rules and procedures with regard to powers in the treatment and approval of exceptions (e.g. override of credit assessment, credit approval under terms </w:t>
      </w:r>
      <w:r w:rsidR="00BA42E0" w:rsidRPr="009C0F4D">
        <w:rPr>
          <w:strike/>
          <w:noProof/>
          <w:highlight w:val="yellow"/>
          <w:lang w:val="en-GB"/>
        </w:rPr>
        <w:t xml:space="preserve">that </w:t>
      </w:r>
      <w:r w:rsidRPr="009C0F4D">
        <w:rPr>
          <w:strike/>
          <w:noProof/>
          <w:highlight w:val="yellow"/>
          <w:lang w:val="en-GB"/>
        </w:rPr>
        <w:t xml:space="preserve">deviate from the accepted standards of lending).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(6) The bank shall put in place clear rules and procedures for the treatment of changes to, renewals of and the refinancing of exposures, whereby there should be a distinction between changes as a result of commercial factors, and changes as a result of the debtor’s financial difficulties.</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(7) The bank shall adopt appropriate risk limits referred to in point 9 of the second paragraph of Article 3 of this regulation with regard to clients that operate in the same economic sector, geographical region or branch, with regard to credit protection, with regard to products and with regard to classification criteria.</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(8) The bank shall ensure that the credit approval process includes appropriate mechanisms for determining the prices of products that are in accordance with the adopted credit risk management policies and take account of the type of product, the exposure amount, the type and value of credit protection, and the debtor’s credit assessment.</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(9) The bank shall put in place a credit approval process that distinguishes in terms of the following at least:</w:t>
      </w:r>
    </w:p>
    <w:p w:rsidR="00823BAB" w:rsidRPr="009C0F4D" w:rsidRDefault="00823BAB" w:rsidP="00823BAB">
      <w:pPr>
        <w:jc w:val="both"/>
        <w:rPr>
          <w:strike/>
          <w:noProof/>
          <w:highlight w:val="yellow"/>
        </w:rPr>
      </w:pPr>
      <w:r w:rsidRPr="009C0F4D">
        <w:rPr>
          <w:strike/>
          <w:noProof/>
          <w:highlight w:val="yellow"/>
          <w:lang w:val="en-GB"/>
        </w:rPr>
        <w:t>1. the type of client;</w:t>
      </w:r>
    </w:p>
    <w:p w:rsidR="00823BAB" w:rsidRPr="009C0F4D" w:rsidRDefault="00823BAB" w:rsidP="00823BAB">
      <w:pPr>
        <w:jc w:val="both"/>
        <w:rPr>
          <w:strike/>
          <w:noProof/>
          <w:highlight w:val="yellow"/>
        </w:rPr>
      </w:pPr>
      <w:r w:rsidRPr="009C0F4D">
        <w:rPr>
          <w:strike/>
          <w:noProof/>
          <w:highlight w:val="yellow"/>
          <w:lang w:val="en-GB"/>
        </w:rPr>
        <w:t>2. the source of the cash flows for the repayment of the loan;</w:t>
      </w:r>
    </w:p>
    <w:p w:rsidR="00823BAB" w:rsidRPr="009C0F4D" w:rsidRDefault="00823BAB" w:rsidP="00823BAB">
      <w:pPr>
        <w:jc w:val="both"/>
        <w:rPr>
          <w:strike/>
          <w:noProof/>
          <w:highlight w:val="yellow"/>
        </w:rPr>
      </w:pPr>
      <w:r w:rsidRPr="009C0F4D">
        <w:rPr>
          <w:strike/>
          <w:noProof/>
          <w:highlight w:val="yellow"/>
          <w:lang w:val="en-GB"/>
        </w:rPr>
        <w:t>3. the size of the exposure;</w:t>
      </w:r>
    </w:p>
    <w:p w:rsidR="00823BAB" w:rsidRPr="009C0F4D" w:rsidRDefault="00823BAB" w:rsidP="00823BAB">
      <w:pPr>
        <w:jc w:val="both"/>
        <w:rPr>
          <w:strike/>
          <w:noProof/>
          <w:highlight w:val="yellow"/>
        </w:rPr>
      </w:pPr>
      <w:r w:rsidRPr="009C0F4D">
        <w:rPr>
          <w:strike/>
          <w:noProof/>
          <w:highlight w:val="yellow"/>
          <w:lang w:val="en-GB"/>
        </w:rPr>
        <w:t>4. the complexity of the products.</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(10) Within the framework of the credit approval process with regard to the source of the cash flows for the repayment of the loan, the bank shall take account of the special treatment of those loans where the primary source of repayment is </w:t>
      </w:r>
      <w:r w:rsidR="00BA42E0" w:rsidRPr="009C0F4D">
        <w:rPr>
          <w:strike/>
          <w:noProof/>
          <w:highlight w:val="yellow"/>
          <w:lang w:val="en-GB"/>
        </w:rPr>
        <w:t>an asset being financed</w:t>
      </w:r>
      <w:r w:rsidRPr="009C0F4D">
        <w:rPr>
          <w:strike/>
          <w:noProof/>
          <w:highlight w:val="yellow"/>
          <w:lang w:val="en-GB"/>
        </w:rPr>
        <w:t>. Exposures of this type are classed as specialised lending exposures with the following characteristics:</w:t>
      </w:r>
    </w:p>
    <w:p w:rsidR="00823BAB" w:rsidRPr="009C0F4D" w:rsidRDefault="00823BAB" w:rsidP="00823BAB">
      <w:pPr>
        <w:jc w:val="both"/>
        <w:rPr>
          <w:strike/>
          <w:noProof/>
          <w:highlight w:val="yellow"/>
        </w:rPr>
      </w:pPr>
      <w:r w:rsidRPr="009C0F4D">
        <w:rPr>
          <w:strike/>
          <w:noProof/>
          <w:highlight w:val="yellow"/>
          <w:lang w:val="en-GB"/>
        </w:rPr>
        <w:t>1. the exposures are to an entity that was created specifically to finance or operate physical assets, or are economically comparable exposures;</w:t>
      </w:r>
    </w:p>
    <w:p w:rsidR="00823BAB" w:rsidRPr="009C0F4D" w:rsidRDefault="00823BAB" w:rsidP="00823BAB">
      <w:pPr>
        <w:jc w:val="both"/>
        <w:rPr>
          <w:strike/>
          <w:noProof/>
          <w:highlight w:val="yellow"/>
        </w:rPr>
      </w:pPr>
      <w:r w:rsidRPr="009C0F4D">
        <w:rPr>
          <w:strike/>
          <w:noProof/>
          <w:highlight w:val="yellow"/>
          <w:lang w:val="en-GB"/>
        </w:rPr>
        <w:t>2. the contractual arrangements give the bank a substantial degree of control over the assets and the income that they generate;</w:t>
      </w:r>
    </w:p>
    <w:p w:rsidR="00823BAB" w:rsidRPr="009C0F4D" w:rsidRDefault="00823BAB" w:rsidP="00823BAB">
      <w:pPr>
        <w:jc w:val="both"/>
        <w:rPr>
          <w:strike/>
          <w:noProof/>
          <w:highlight w:val="yellow"/>
        </w:rPr>
      </w:pPr>
      <w:r w:rsidRPr="009C0F4D">
        <w:rPr>
          <w:strike/>
          <w:noProof/>
          <w:highlight w:val="yellow"/>
          <w:lang w:val="en-GB"/>
        </w:rPr>
        <w:t>3. the primary source of repayment of the obligation is the income generated by the assets being financed, rather than the independent capacity of a broader commercial enterprise.</w:t>
      </w:r>
    </w:p>
    <w:p w:rsidR="00823BAB" w:rsidRPr="009C0F4D" w:rsidRDefault="00823BAB" w:rsidP="00823BAB">
      <w:pPr>
        <w:jc w:val="both"/>
        <w:rPr>
          <w:strike/>
          <w:noProof/>
          <w:highlight w:val="yellow"/>
        </w:rPr>
      </w:pPr>
    </w:p>
    <w:p w:rsidR="00823BAB" w:rsidRPr="009C0F4D" w:rsidRDefault="00823BAB" w:rsidP="00823BAB">
      <w:pPr>
        <w:jc w:val="both"/>
        <w:rPr>
          <w:strike/>
          <w:noProof/>
          <w:highlight w:val="yellow"/>
        </w:rPr>
      </w:pPr>
    </w:p>
    <w:p w:rsidR="00823BAB" w:rsidRPr="009C0F4D" w:rsidRDefault="00823BAB" w:rsidP="00823BAB">
      <w:pPr>
        <w:rPr>
          <w:b/>
          <w:strike/>
          <w:noProof/>
          <w:highlight w:val="yellow"/>
        </w:rPr>
      </w:pPr>
      <w:bookmarkStart w:id="1" w:name="_Toc418517921"/>
      <w:r w:rsidRPr="009C0F4D">
        <w:rPr>
          <w:b/>
          <w:bCs/>
          <w:strike/>
          <w:noProof/>
          <w:highlight w:val="yellow"/>
          <w:lang w:val="en-GB"/>
        </w:rPr>
        <w:t>2.1 Assessment of credit quality of debtor and/or exposure</w:t>
      </w:r>
      <w:bookmarkEnd w:id="1"/>
    </w:p>
    <w:p w:rsidR="00823BAB" w:rsidRPr="009C0F4D" w:rsidRDefault="00823BAB" w:rsidP="00823BAB">
      <w:pPr>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(1) Before the approval of any loan or the conclusion of any other contract based on which an exposure arises on the part of the bank, a bank shall assess and analyse quantitative and qualitative information and other significant factors that facilitate a comprehensive assessment of the debtor’s ability to settle the liabilities to the bank.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(2) The bank shall take account of the debtor’s solvency as the primary source of loan repayment, whereby the credit protection accepted for a particular loan represents a secondary source of loan repayment.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(3) In assessing the credit quality of a specialised lending exposure, the bank shall in particular take account of the financial strength of the project, the characteristics of the transaction, and the financial position of entities participating in the project. A special purpose entity is usually established for financing specialised lending exposures, particularly in cases when the core line of business of the corporate entity differs from the nature of the financing of the specialised lending exposure.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(4) When concluding a loan agreement the bank shall assess the adequacy of the contractual </w:t>
      </w:r>
      <w:r w:rsidR="00BA42E0" w:rsidRPr="009C0F4D">
        <w:rPr>
          <w:strike/>
          <w:noProof/>
          <w:highlight w:val="yellow"/>
          <w:lang w:val="en-GB"/>
        </w:rPr>
        <w:t xml:space="preserve">covenants </w:t>
      </w:r>
      <w:r w:rsidRPr="009C0F4D">
        <w:rPr>
          <w:strike/>
          <w:noProof/>
          <w:highlight w:val="yellow"/>
          <w:lang w:val="en-GB"/>
        </w:rPr>
        <w:t xml:space="preserve">to be contained in the agreement. The contractual </w:t>
      </w:r>
      <w:r w:rsidR="00BA42E0" w:rsidRPr="009C0F4D">
        <w:rPr>
          <w:strike/>
          <w:noProof/>
          <w:highlight w:val="yellow"/>
          <w:lang w:val="en-GB"/>
        </w:rPr>
        <w:t xml:space="preserve">covenants </w:t>
      </w:r>
      <w:r w:rsidRPr="009C0F4D">
        <w:rPr>
          <w:strike/>
          <w:noProof/>
          <w:highlight w:val="yellow"/>
          <w:lang w:val="en-GB"/>
        </w:rPr>
        <w:t xml:space="preserve">shall be clear, reasonable and feasible. In assessing the adequacy of individual contractual </w:t>
      </w:r>
      <w:r w:rsidR="00BA42E0" w:rsidRPr="009C0F4D">
        <w:rPr>
          <w:strike/>
          <w:noProof/>
          <w:highlight w:val="yellow"/>
          <w:lang w:val="en-GB"/>
        </w:rPr>
        <w:t xml:space="preserve">covenants </w:t>
      </w:r>
      <w:r w:rsidRPr="009C0F4D">
        <w:rPr>
          <w:strike/>
          <w:noProof/>
          <w:highlight w:val="yellow"/>
          <w:lang w:val="en-GB"/>
        </w:rPr>
        <w:t xml:space="preserve">the bank shall </w:t>
      </w:r>
      <w:r w:rsidRPr="009C0F4D">
        <w:rPr>
          <w:i/>
          <w:iCs/>
          <w:strike/>
          <w:noProof/>
          <w:highlight w:val="yellow"/>
          <w:lang w:val="en-GB"/>
        </w:rPr>
        <w:t xml:space="preserve">inter alia </w:t>
      </w:r>
      <w:r w:rsidRPr="009C0F4D">
        <w:rPr>
          <w:strike/>
          <w:noProof/>
          <w:highlight w:val="yellow"/>
          <w:lang w:val="en-GB"/>
        </w:rPr>
        <w:t>take account of the type and value of the transaction, the type and risk assessment of the debtor, the requisite information about the debtor and contract law. When the bank is unable to include all of the contractual commitments that it usually uses in the agreement, it shall state the reasons in the credit file.</w:t>
      </w:r>
    </w:p>
    <w:p w:rsidR="00823BAB" w:rsidRPr="009C0F4D" w:rsidRDefault="00823BAB" w:rsidP="00823BAB">
      <w:pPr>
        <w:ind w:firstLine="360"/>
        <w:jc w:val="both"/>
        <w:rPr>
          <w:strike/>
          <w:noProof/>
          <w:highlight w:val="yellow"/>
        </w:rPr>
      </w:pPr>
    </w:p>
    <w:p w:rsidR="00823BAB" w:rsidRPr="009C0F4D" w:rsidRDefault="00823BAB" w:rsidP="00823BAB">
      <w:pPr>
        <w:jc w:val="both"/>
        <w:rPr>
          <w:strike/>
          <w:noProof/>
          <w:highlight w:val="yellow"/>
        </w:rPr>
      </w:pPr>
    </w:p>
    <w:p w:rsidR="00823BAB" w:rsidRPr="009C0F4D" w:rsidRDefault="00823BAB" w:rsidP="00823BAB">
      <w:pPr>
        <w:rPr>
          <w:b/>
          <w:strike/>
          <w:noProof/>
          <w:highlight w:val="yellow"/>
        </w:rPr>
      </w:pPr>
      <w:bookmarkStart w:id="2" w:name="_Toc418517922"/>
      <w:r w:rsidRPr="009C0F4D">
        <w:rPr>
          <w:b/>
          <w:bCs/>
          <w:strike/>
          <w:noProof/>
          <w:highlight w:val="yellow"/>
          <w:lang w:val="en-GB"/>
        </w:rPr>
        <w:t xml:space="preserve">2.1.1 Classification of debtors and/or exposures </w:t>
      </w:r>
      <w:bookmarkEnd w:id="2"/>
    </w:p>
    <w:p w:rsidR="00823BAB" w:rsidRPr="009C0F4D" w:rsidRDefault="00823BAB" w:rsidP="00823BAB">
      <w:pPr>
        <w:pStyle w:val="Naslov4"/>
        <w:rPr>
          <w:strike/>
          <w:noProof/>
          <w:color w:val="000000" w:themeColor="text1"/>
          <w:highlight w:val="yellow"/>
        </w:rPr>
      </w:pPr>
      <w:bookmarkStart w:id="3" w:name="_Toc418517923"/>
      <w:r w:rsidRPr="009C0F4D">
        <w:rPr>
          <w:strike/>
          <w:noProof/>
          <w:color w:val="000000" w:themeColor="text1"/>
          <w:highlight w:val="yellow"/>
          <w:lang w:val="en-GB"/>
        </w:rPr>
        <w:t>2.1.1.1 General requirements with regard to classification</w:t>
      </w:r>
      <w:bookmarkEnd w:id="3"/>
    </w:p>
    <w:p w:rsidR="00823BAB" w:rsidRPr="009C0F4D" w:rsidRDefault="00823BAB" w:rsidP="00823BAB">
      <w:pPr>
        <w:rPr>
          <w:b/>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(1) In the credit approval process a bank shall determine a credit assessment to each debtor or exposure, and shall classify the debtor or exposure into an appropriate rating grade or pool. In the case of retail exposures, the bank may classify individual exposures into the relevant exposure pools with regard to the type of transaction.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(2) The debtor’s credit assessment is an assessment of his/her/its creditworthiness, i.e. the ability to repay the liabilities to the bank.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(3) A rating grade or pool entails the category of risk within the rating scale into which debtors or exposures with similar risks are classified.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(4) The rating scale consists of rating grades or pools, and contains the rating grades or pools of non-defaulters and defaulters. The rating scale shall contain a number of rating grades or pools such that a normal distribution of debtors or exposures is ensured and that there is no excessive concentration in individual rating grades or pools.</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(5) The bank shall classify a debtor or exposure into a rating grade or pool on the basis of clear rating criteria that are sufficiently accurate to allow employees responsible for assigning credit assessments to consistently classify debtors or exposures with similar risks into the same rating grades or pools. The classification criteria shall be based on quantitative or, where possible, qualitative criteria.</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(6) Each debtor shall obtain a separate credit assessment, which shall be assigned to all of the debtor’s exposures. Different credit assessments may be assigned to a debtor’s individual exposures when the bank classifies individual exposures of the debtor into different exposure pools.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(7) The bank shall put in place special rules and procedures for debtors in a group of connected clients that include criteria for identifying, combining and limiting risks in respect of the group of connected clients, and rules for determining credit assessments that should include the impact of the parent entity in the group on the debtor’s credit assessment.</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(8) The less information that the bank has, the more conservative its classifications into rating grades or pools should be.</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(9) When external credit assessments are the bank’s main criterion in the classification of debtors or exposures into rating grades or pools, the bank shall also take account of other relevant information set out by its own classification methodology.</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(10) When classifying debtors or exposures into rating grades or pools, the bank shall clearly define the options and ranges in which an override of the credit assessment is allowed. All overrides shall be clearly and transparently documented. The bank shall monitor the number of such overrides, and in the event of a large number of overrides shall review the reliability of the classification process.</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(11) The procedure for classifying a debtor or exposure into rating grades or pools shall be documented in a manner that allows third parties to understand the classification, reclassification and evaluation of the suitability of classification.</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(12) The bank shall review the adequacy of the criteria for classifying debtors or exposures into rating grades or pools at least once a year, taking account of all relevant information from the monitoring process in so doing.</w:t>
      </w:r>
    </w:p>
    <w:p w:rsidR="00823BAB" w:rsidRPr="009C0F4D" w:rsidRDefault="00823BAB" w:rsidP="00823BAB">
      <w:pPr>
        <w:jc w:val="both"/>
        <w:rPr>
          <w:strike/>
          <w:noProof/>
          <w:highlight w:val="yellow"/>
        </w:rPr>
      </w:pPr>
    </w:p>
    <w:p w:rsidR="00823BAB" w:rsidRPr="009C0F4D" w:rsidRDefault="00823BAB" w:rsidP="00823BAB">
      <w:pPr>
        <w:rPr>
          <w:b/>
          <w:i/>
          <w:strike/>
          <w:noProof/>
          <w:highlight w:val="yellow"/>
        </w:rPr>
      </w:pPr>
      <w:bookmarkStart w:id="4" w:name="_Toc418517924"/>
      <w:r w:rsidRPr="009C0F4D">
        <w:rPr>
          <w:b/>
          <w:bCs/>
          <w:i/>
          <w:iCs/>
          <w:strike/>
          <w:noProof/>
          <w:highlight w:val="yellow"/>
          <w:lang w:val="en-GB"/>
        </w:rPr>
        <w:t>2.1.1.2  Classification methodologies</w:t>
      </w:r>
      <w:bookmarkEnd w:id="4"/>
    </w:p>
    <w:p w:rsidR="00823BAB" w:rsidRPr="009C0F4D" w:rsidRDefault="00823BAB" w:rsidP="00823BAB">
      <w:pPr>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(1) For the purpose of classifying debtors or exposures into rating grades or pools, a bank shall develop classification methodologies that are based on statistical models or other mechanical methods and take account of the general requirements with regard to classification set out in Section 2.1.1.1.</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(2) </w:t>
      </w:r>
      <w:r w:rsidR="00BA42E0" w:rsidRPr="009C0F4D">
        <w:rPr>
          <w:strike/>
          <w:noProof/>
          <w:highlight w:val="yellow"/>
          <w:lang w:val="en-GB"/>
        </w:rPr>
        <w:t>W</w:t>
      </w:r>
      <w:r w:rsidRPr="009C0F4D">
        <w:rPr>
          <w:strike/>
          <w:noProof/>
          <w:highlight w:val="yellow"/>
          <w:lang w:val="en-GB"/>
        </w:rPr>
        <w:t>ithin statistical models for credit quality assessment</w:t>
      </w:r>
      <w:r w:rsidR="00BA42E0" w:rsidRPr="009C0F4D">
        <w:rPr>
          <w:strike/>
          <w:noProof/>
          <w:highlight w:val="yellow"/>
          <w:lang w:val="en-GB"/>
        </w:rPr>
        <w:t>, the bank shall use a scoring model or a rating model</w:t>
      </w:r>
      <w:r w:rsidRPr="009C0F4D">
        <w:rPr>
          <w:strike/>
          <w:noProof/>
          <w:highlight w:val="yellow"/>
          <w:lang w:val="en-GB"/>
        </w:rPr>
        <w:t xml:space="preserve">.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(3) </w:t>
      </w:r>
      <w:r w:rsidR="00BA42E0" w:rsidRPr="009C0F4D">
        <w:rPr>
          <w:strike/>
          <w:noProof/>
          <w:highlight w:val="yellow"/>
          <w:lang w:val="en-GB"/>
        </w:rPr>
        <w:t>W</w:t>
      </w:r>
      <w:r w:rsidRPr="009C0F4D">
        <w:rPr>
          <w:strike/>
          <w:noProof/>
          <w:highlight w:val="yellow"/>
          <w:lang w:val="en-GB"/>
        </w:rPr>
        <w:t>ithin other mechanical methods</w:t>
      </w:r>
      <w:r w:rsidR="00BA42E0" w:rsidRPr="009C0F4D">
        <w:rPr>
          <w:strike/>
          <w:noProof/>
          <w:highlight w:val="yellow"/>
          <w:lang w:val="en-GB"/>
        </w:rPr>
        <w:t>, the bank shall use classification methodologies not based on statistical models</w:t>
      </w:r>
      <w:r w:rsidRPr="009C0F4D">
        <w:rPr>
          <w:strike/>
          <w:noProof/>
          <w:highlight w:val="yellow"/>
          <w:lang w:val="en-GB"/>
        </w:rPr>
        <w:t xml:space="preserve">.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(4) When the bank uses statistical models for classification, it shall:</w:t>
      </w:r>
    </w:p>
    <w:p w:rsidR="00823BAB" w:rsidRPr="009C0F4D" w:rsidRDefault="00823BAB" w:rsidP="00823BAB">
      <w:pPr>
        <w:jc w:val="both"/>
        <w:rPr>
          <w:strike/>
          <w:noProof/>
          <w:highlight w:val="yellow"/>
        </w:rPr>
      </w:pPr>
      <w:r w:rsidRPr="009C0F4D">
        <w:rPr>
          <w:strike/>
          <w:noProof/>
          <w:highlight w:val="yellow"/>
          <w:lang w:val="en-GB"/>
        </w:rPr>
        <w:t>1. prove that the model has good predictive power. The input variables should form a reasonable and effective basis for the resulting predictions. The model should be unbiased to the greatest possible extent;</w:t>
      </w:r>
    </w:p>
    <w:p w:rsidR="00823BAB" w:rsidRPr="009C0F4D" w:rsidRDefault="00823BAB" w:rsidP="00823BAB">
      <w:pPr>
        <w:jc w:val="both"/>
        <w:rPr>
          <w:strike/>
          <w:noProof/>
          <w:highlight w:val="yellow"/>
        </w:rPr>
      </w:pPr>
      <w:r w:rsidRPr="009C0F4D">
        <w:rPr>
          <w:strike/>
          <w:noProof/>
          <w:highlight w:val="yellow"/>
          <w:lang w:val="en-GB"/>
        </w:rPr>
        <w:t>2. put in place a process for vetting data inputs into the model, which includes an assessment of the accuracy, completeness and appropriateness of the data;</w:t>
      </w:r>
    </w:p>
    <w:p w:rsidR="00823BAB" w:rsidRPr="009C0F4D" w:rsidRDefault="00823BAB" w:rsidP="00823BAB">
      <w:pPr>
        <w:jc w:val="both"/>
        <w:rPr>
          <w:strike/>
          <w:noProof/>
          <w:highlight w:val="yellow"/>
        </w:rPr>
      </w:pPr>
      <w:r w:rsidRPr="009C0F4D">
        <w:rPr>
          <w:strike/>
          <w:noProof/>
          <w:highlight w:val="yellow"/>
          <w:lang w:val="en-GB"/>
        </w:rPr>
        <w:t>3. prove that the data used to build the model is representative of the population of the bank’s actual debtors or exposures;</w:t>
      </w:r>
    </w:p>
    <w:p w:rsidR="00823BAB" w:rsidRPr="009C0F4D" w:rsidRDefault="00823BAB" w:rsidP="00823BAB">
      <w:pPr>
        <w:jc w:val="both"/>
        <w:rPr>
          <w:strike/>
          <w:noProof/>
          <w:highlight w:val="yellow"/>
        </w:rPr>
      </w:pPr>
      <w:r w:rsidRPr="009C0F4D">
        <w:rPr>
          <w:strike/>
          <w:noProof/>
          <w:highlight w:val="yellow"/>
          <w:lang w:val="en-GB"/>
        </w:rPr>
        <w:t>4. put in place a regular (at least annual) cycle of model validation that includes monitoring of model performance and stability, a review of model specification, and testing of model outputs against actual outcomes. The bank shall analyse the results of the evaluation, and shall take account of any deficiencies in the performance of the model in changes thereto. The bank shall set out the criteria that require a change or upgrade to a specific model;</w:t>
      </w:r>
    </w:p>
    <w:p w:rsidR="00823BAB" w:rsidRPr="009C0F4D" w:rsidRDefault="00823BAB" w:rsidP="00823BAB">
      <w:pPr>
        <w:jc w:val="both"/>
        <w:rPr>
          <w:strike/>
          <w:noProof/>
          <w:highlight w:val="yellow"/>
        </w:rPr>
      </w:pPr>
      <w:r w:rsidRPr="009C0F4D">
        <w:rPr>
          <w:strike/>
          <w:noProof/>
          <w:highlight w:val="yellow"/>
          <w:lang w:val="en-GB"/>
        </w:rPr>
        <w:t>5. complement the statistical model by human judgement and human oversight to review model-based classifications and to ensure that the models are used appropriately. Review procedures shall aim at finding and limiting errors associated with model weaknesses. Human judgements shall take account of all relevant information not considered by the model. The bank shall document how human judgement and model results are to be combined.</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(5) A bank that uses an external model or parts of an external model for classification shall meet the following requirements in addition to the requirements set out in the previous paragraph:</w:t>
      </w:r>
    </w:p>
    <w:p w:rsidR="00823BAB" w:rsidRPr="009C0F4D" w:rsidRDefault="00823BAB" w:rsidP="00823BAB">
      <w:pPr>
        <w:jc w:val="both"/>
        <w:rPr>
          <w:strike/>
          <w:noProof/>
          <w:highlight w:val="yellow"/>
        </w:rPr>
      </w:pPr>
      <w:r w:rsidRPr="009C0F4D">
        <w:rPr>
          <w:strike/>
          <w:noProof/>
          <w:highlight w:val="yellow"/>
          <w:lang w:val="en-GB"/>
        </w:rPr>
        <w:t>1. users shall be appropriately trained in the use of the model;</w:t>
      </w:r>
    </w:p>
    <w:p w:rsidR="00823BAB" w:rsidRPr="009C0F4D" w:rsidRDefault="00823BAB" w:rsidP="00823BAB">
      <w:pPr>
        <w:jc w:val="both"/>
        <w:rPr>
          <w:strike/>
          <w:noProof/>
          <w:highlight w:val="yellow"/>
        </w:rPr>
      </w:pPr>
      <w:r w:rsidRPr="009C0F4D">
        <w:rPr>
          <w:strike/>
          <w:noProof/>
          <w:highlight w:val="yellow"/>
          <w:lang w:val="en-GB"/>
        </w:rPr>
        <w:t>2. in-house instructors shall be available;</w:t>
      </w:r>
    </w:p>
    <w:p w:rsidR="00823BAB" w:rsidRPr="009C0F4D" w:rsidRDefault="00823BAB" w:rsidP="00823BAB">
      <w:pPr>
        <w:jc w:val="both"/>
        <w:rPr>
          <w:strike/>
          <w:noProof/>
          <w:highlight w:val="yellow"/>
        </w:rPr>
      </w:pPr>
      <w:r w:rsidRPr="009C0F4D">
        <w:rPr>
          <w:strike/>
          <w:noProof/>
          <w:highlight w:val="yellow"/>
          <w:lang w:val="en-GB"/>
        </w:rPr>
        <w:t>3. a plan for ensuring the approval of the suitability of the external model shall be drawn up;</w:t>
      </w:r>
    </w:p>
    <w:p w:rsidR="00823BAB" w:rsidRPr="009C0F4D" w:rsidRDefault="00823BAB" w:rsidP="00823BAB">
      <w:pPr>
        <w:jc w:val="both"/>
        <w:rPr>
          <w:strike/>
          <w:noProof/>
          <w:highlight w:val="yellow"/>
        </w:rPr>
      </w:pPr>
      <w:r w:rsidRPr="009C0F4D">
        <w:rPr>
          <w:strike/>
          <w:noProof/>
          <w:highlight w:val="yellow"/>
          <w:lang w:val="en-GB"/>
        </w:rPr>
        <w:t>4. the ongoing future development of the model, where necessary, shall be ensured;</w:t>
      </w:r>
    </w:p>
    <w:p w:rsidR="00823BAB" w:rsidRPr="009C0F4D" w:rsidRDefault="00823BAB" w:rsidP="00823BAB">
      <w:pPr>
        <w:jc w:val="both"/>
        <w:rPr>
          <w:strike/>
          <w:noProof/>
          <w:highlight w:val="yellow"/>
        </w:rPr>
      </w:pPr>
      <w:r w:rsidRPr="009C0F4D">
        <w:rPr>
          <w:strike/>
          <w:noProof/>
          <w:highlight w:val="yellow"/>
          <w:lang w:val="en-GB"/>
        </w:rPr>
        <w:t>5. the possibility of assessing the performance of the model and, when necessary, making adjustments, even when the external vendor ceases to provide support or in similar cases, shall be ensured.</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(6) An external model is a model or parts of a model that the bank uses and has been developed by an independent external third party, which uses specific input data for the classification of exposures into rating grades or pools or for the assessment of specific risk parameters. </w:t>
      </w:r>
    </w:p>
    <w:p w:rsidR="00823BAB" w:rsidRPr="009C0F4D" w:rsidRDefault="00823BAB" w:rsidP="00823BAB">
      <w:pPr>
        <w:rPr>
          <w:strike/>
          <w:noProof/>
          <w:highlight w:val="yellow"/>
        </w:rPr>
      </w:pPr>
    </w:p>
    <w:p w:rsidR="00823BAB" w:rsidRPr="009C0F4D" w:rsidRDefault="00823BAB" w:rsidP="00823BAB">
      <w:pPr>
        <w:rPr>
          <w:b/>
          <w:i/>
          <w:strike/>
          <w:noProof/>
          <w:highlight w:val="yellow"/>
        </w:rPr>
      </w:pPr>
      <w:bookmarkStart w:id="5" w:name="_Toc418517925"/>
      <w:r w:rsidRPr="009C0F4D">
        <w:rPr>
          <w:b/>
          <w:bCs/>
          <w:i/>
          <w:iCs/>
          <w:strike/>
          <w:noProof/>
          <w:highlight w:val="yellow"/>
          <w:lang w:val="en-GB"/>
        </w:rPr>
        <w:t>2.1.1.3</w:t>
      </w:r>
      <w:r w:rsidRPr="009C0F4D">
        <w:rPr>
          <w:strike/>
          <w:noProof/>
          <w:highlight w:val="yellow"/>
          <w:lang w:val="en-GB"/>
        </w:rPr>
        <w:t xml:space="preserve"> </w:t>
      </w:r>
      <w:r w:rsidRPr="009C0F4D">
        <w:rPr>
          <w:b/>
          <w:bCs/>
          <w:i/>
          <w:iCs/>
          <w:strike/>
          <w:noProof/>
          <w:highlight w:val="yellow"/>
          <w:lang w:val="en-GB"/>
        </w:rPr>
        <w:t>Documentation of classification methodologies</w:t>
      </w:r>
      <w:bookmarkEnd w:id="5"/>
      <w:r w:rsidRPr="009C0F4D">
        <w:rPr>
          <w:strike/>
          <w:noProof/>
          <w:highlight w:val="yellow"/>
          <w:lang w:val="en-GB"/>
        </w:rPr>
        <w:t xml:space="preserve"> </w:t>
      </w:r>
    </w:p>
    <w:p w:rsidR="00823BAB" w:rsidRPr="009C0F4D" w:rsidRDefault="00823BAB" w:rsidP="00823BAB">
      <w:pPr>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(1) A bank shall document the reasons for selecting qualitative and quantitative criteria for classification, and analysis that supports such a selection. The bank shall document all major changes in classification methodologies. The organisation of classification into rating grades or pools shall also be documented, including the internal control system in this area. </w:t>
      </w:r>
    </w:p>
    <w:p w:rsidR="00823BAB" w:rsidRPr="009C0F4D" w:rsidRDefault="00823BAB" w:rsidP="00823BAB">
      <w:pPr>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(2) When the bank uses statistical models for classification, it shall document their methodologies. The documentation shall encompass:</w:t>
      </w:r>
    </w:p>
    <w:p w:rsidR="00823BAB" w:rsidRPr="009C0F4D" w:rsidRDefault="00823BAB" w:rsidP="00823BAB">
      <w:pPr>
        <w:jc w:val="both"/>
        <w:rPr>
          <w:strike/>
          <w:noProof/>
          <w:highlight w:val="yellow"/>
        </w:rPr>
      </w:pPr>
      <w:r w:rsidRPr="009C0F4D">
        <w:rPr>
          <w:strike/>
          <w:noProof/>
          <w:highlight w:val="yellow"/>
          <w:lang w:val="en-GB"/>
        </w:rPr>
        <w:t>1. a detailed outline of the theory, assumptions and/or mathematical and empirical basis of the assignment of estimates to rating grades, individual debtors, exposures, or pools, and the data source(s) used to assess the model;</w:t>
      </w:r>
    </w:p>
    <w:p w:rsidR="00823BAB" w:rsidRPr="009C0F4D" w:rsidRDefault="00823BAB" w:rsidP="00823BAB">
      <w:pPr>
        <w:jc w:val="both"/>
        <w:rPr>
          <w:strike/>
          <w:noProof/>
          <w:highlight w:val="yellow"/>
        </w:rPr>
      </w:pPr>
      <w:r w:rsidRPr="009C0F4D">
        <w:rPr>
          <w:strike/>
          <w:noProof/>
          <w:highlight w:val="yellow"/>
          <w:lang w:val="en-GB"/>
        </w:rPr>
        <w:t xml:space="preserve">2. a description of the statistical process (including out-of-time and out-of-sample performance tests) for validating the model; </w:t>
      </w:r>
    </w:p>
    <w:p w:rsidR="00823BAB" w:rsidRPr="009C0F4D" w:rsidRDefault="00823BAB" w:rsidP="00823BAB">
      <w:pPr>
        <w:jc w:val="both"/>
        <w:rPr>
          <w:strike/>
          <w:noProof/>
          <w:highlight w:val="yellow"/>
        </w:rPr>
      </w:pPr>
      <w:r w:rsidRPr="009C0F4D">
        <w:rPr>
          <w:strike/>
          <w:noProof/>
          <w:highlight w:val="yellow"/>
          <w:lang w:val="en-GB"/>
        </w:rPr>
        <w:t>3. a description of the circumstances in which the model does not work effectively.</w:t>
      </w:r>
    </w:p>
    <w:p w:rsidR="00823BAB" w:rsidRPr="009C0F4D" w:rsidRDefault="00823BAB" w:rsidP="00823BAB">
      <w:pPr>
        <w:ind w:left="7080" w:firstLine="708"/>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(3) The use of an external model that contains patented technology may not be used to justify an exemption from the obligation to document, or from any other requirement for the system of classifying exposures into rating grades or pools. </w:t>
      </w:r>
    </w:p>
    <w:p w:rsidR="00823BAB" w:rsidRPr="009C0F4D" w:rsidRDefault="00823BAB" w:rsidP="00823BAB">
      <w:pPr>
        <w:jc w:val="both"/>
        <w:rPr>
          <w:strike/>
          <w:noProof/>
          <w:highlight w:val="yellow"/>
        </w:rPr>
      </w:pPr>
    </w:p>
    <w:p w:rsidR="00823BAB" w:rsidRPr="009C0F4D" w:rsidRDefault="00823BAB" w:rsidP="00823BAB">
      <w:pPr>
        <w:jc w:val="both"/>
        <w:rPr>
          <w:strike/>
          <w:noProof/>
          <w:highlight w:val="yellow"/>
        </w:rPr>
      </w:pPr>
    </w:p>
    <w:p w:rsidR="00823BAB" w:rsidRPr="009C0F4D" w:rsidRDefault="00823BAB" w:rsidP="00823BAB">
      <w:pPr>
        <w:rPr>
          <w:b/>
          <w:strike/>
          <w:noProof/>
          <w:highlight w:val="yellow"/>
        </w:rPr>
      </w:pPr>
      <w:bookmarkStart w:id="6" w:name="_Toc418517926"/>
      <w:r w:rsidRPr="009C0F4D">
        <w:rPr>
          <w:b/>
          <w:bCs/>
          <w:strike/>
          <w:noProof/>
          <w:highlight w:val="yellow"/>
          <w:lang w:val="en-GB"/>
        </w:rPr>
        <w:t>2.2 Eligibility of credit protection</w:t>
      </w:r>
      <w:bookmarkEnd w:id="6"/>
    </w:p>
    <w:p w:rsidR="00823BAB" w:rsidRPr="009C0F4D" w:rsidRDefault="00823BAB" w:rsidP="00823BAB">
      <w:pPr>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(1) Within the framework of the policy of eligible credit protection the bank shall define the types of credit protection that will be required of the debtor in the credit approval process and also during the period of the loan.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(2) The policy of eligible credit protection shall set out all the types of credit protection with regard to the type of debtor and transaction, the allowed loan-to-value ratio, the requisite documentation for each type of credit protection that ensures legal certainty of the credit protection, the procedures and processes for the prompt enforceability of credit protection for each type of credit protection, the methodology for the valuation of credit protection for each type of credit protection, and the types of credit protection where a physical inspection of the collateral is required before credit approval.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(3) Before credit approval the bank shall: </w:t>
      </w:r>
    </w:p>
    <w:p w:rsidR="00823BAB" w:rsidRPr="009C0F4D" w:rsidRDefault="00823BAB" w:rsidP="00823BAB">
      <w:pPr>
        <w:ind w:firstLine="360"/>
        <w:jc w:val="both"/>
        <w:rPr>
          <w:strike/>
          <w:noProof/>
          <w:highlight w:val="yellow"/>
        </w:rPr>
      </w:pPr>
      <w:r w:rsidRPr="009C0F4D">
        <w:rPr>
          <w:strike/>
          <w:noProof/>
          <w:highlight w:val="yellow"/>
          <w:lang w:val="en-GB"/>
        </w:rPr>
        <w:t>1. verify the legal certainty of the credit protection on the basis of all the contractual and legal requirements in connection with the enforceability of credit protection having been met;</w:t>
      </w:r>
    </w:p>
    <w:p w:rsidR="00823BAB" w:rsidRPr="009C0F4D" w:rsidRDefault="00823BAB" w:rsidP="00823BAB">
      <w:pPr>
        <w:ind w:firstLine="360"/>
        <w:jc w:val="both"/>
        <w:rPr>
          <w:strike/>
          <w:noProof/>
          <w:highlight w:val="yellow"/>
        </w:rPr>
      </w:pPr>
      <w:r w:rsidRPr="009C0F4D">
        <w:rPr>
          <w:strike/>
          <w:noProof/>
          <w:highlight w:val="yellow"/>
          <w:lang w:val="en-GB"/>
        </w:rPr>
        <w:t xml:space="preserve">2. evaluate the credit protection on the basis of the defined credit protection valuation methodology. When the value of the credit protection is largely dependent on the financial situation of a provider of unfunded credit protection that is a third party, the bank shall also assess the risk of the aforementioned party. </w:t>
      </w:r>
    </w:p>
    <w:p w:rsidR="00823BAB" w:rsidRPr="009C0F4D" w:rsidRDefault="00823BAB" w:rsidP="00823BAB">
      <w:pPr>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(4) The bank shall put in place procedures for the management of residual risk. Residual risk is the risk of the effectiveness of credit protection being less than expected, as a result of the occurrence or increase of other risks (e.g. legal risk, operational risk, liquidity risk, market risk) owing to the use of credit protection.</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(5) The bank shall continue to assess the credit quality of the debtor / underlying exposure without regard to the existence of credit protection.</w:t>
      </w:r>
    </w:p>
    <w:p w:rsidR="00823BAB" w:rsidRPr="009C0F4D" w:rsidRDefault="00823BAB" w:rsidP="00823BAB">
      <w:pPr>
        <w:rPr>
          <w:strike/>
          <w:noProof/>
          <w:highlight w:val="yellow"/>
        </w:rPr>
      </w:pPr>
    </w:p>
    <w:p w:rsidR="00823BAB" w:rsidRPr="009C0F4D" w:rsidRDefault="00823BAB" w:rsidP="00823BAB">
      <w:pPr>
        <w:rPr>
          <w:strike/>
          <w:noProof/>
          <w:highlight w:val="yellow"/>
        </w:rPr>
      </w:pPr>
    </w:p>
    <w:p w:rsidR="00823BAB" w:rsidRPr="009C0F4D" w:rsidRDefault="00823BAB" w:rsidP="00823BAB">
      <w:pPr>
        <w:rPr>
          <w:b/>
          <w:strike/>
          <w:noProof/>
          <w:highlight w:val="yellow"/>
        </w:rPr>
      </w:pPr>
      <w:bookmarkStart w:id="7" w:name="_Toc418517927"/>
      <w:r w:rsidRPr="009C0F4D">
        <w:rPr>
          <w:b/>
          <w:bCs/>
          <w:strike/>
          <w:noProof/>
          <w:highlight w:val="yellow"/>
          <w:lang w:val="en-GB"/>
        </w:rPr>
        <w:t>3. Monitoring process</w:t>
      </w:r>
      <w:bookmarkEnd w:id="7"/>
    </w:p>
    <w:p w:rsidR="00823BAB" w:rsidRPr="009C0F4D" w:rsidRDefault="00823BAB" w:rsidP="00823BAB">
      <w:pPr>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(1) A bank shall put in place a clear and consistent organisational structure, policies, processes and internal rulebooks with regard to the monitoring process in accordance with the adopted credit risk management strategy approved by the </w:t>
      </w:r>
      <w:r w:rsidR="003E2585" w:rsidRPr="009C0F4D">
        <w:rPr>
          <w:strike/>
          <w:noProof/>
          <w:highlight w:val="yellow"/>
          <w:lang w:val="en-GB"/>
        </w:rPr>
        <w:t>Management body</w:t>
      </w:r>
      <w:r w:rsidRPr="009C0F4D">
        <w:rPr>
          <w:strike/>
          <w:noProof/>
          <w:highlight w:val="yellow"/>
          <w:lang w:val="en-GB"/>
        </w:rPr>
        <w:t>, and a clear segregation of duties between the monitoring process and the credit approval process.</w:t>
      </w:r>
    </w:p>
    <w:p w:rsidR="00823BAB" w:rsidRPr="009C0F4D" w:rsidRDefault="00823BAB" w:rsidP="00823BAB">
      <w:pPr>
        <w:ind w:firstLine="360"/>
        <w:jc w:val="both"/>
        <w:rPr>
          <w:strike/>
          <w:noProof/>
          <w:highlight w:val="yellow"/>
        </w:rPr>
      </w:pPr>
      <w:r w:rsidRPr="009C0F4D">
        <w:rPr>
          <w:strike/>
          <w:noProof/>
          <w:highlight w:val="yellow"/>
          <w:lang w:val="en-GB"/>
        </w:rPr>
        <w:t xml:space="preserve"> </w:t>
      </w:r>
    </w:p>
    <w:p w:rsidR="00823BAB" w:rsidRPr="009C0F4D" w:rsidRDefault="00823BAB" w:rsidP="00823BAB">
      <w:pPr>
        <w:ind w:firstLine="360"/>
        <w:jc w:val="both"/>
        <w:rPr>
          <w:strike/>
          <w:noProof/>
          <w:highlight w:val="yellow"/>
        </w:rPr>
      </w:pPr>
      <w:r w:rsidRPr="009C0F4D">
        <w:rPr>
          <w:strike/>
          <w:noProof/>
          <w:highlight w:val="yellow"/>
          <w:lang w:val="en-GB"/>
        </w:rPr>
        <w:t xml:space="preserve">(2) The monitoring process shall include general requirements with regard to the monitoring of individual exposures and the credit quality of the debtor, the early warning system for increased credit risk, the </w:t>
      </w:r>
      <w:r w:rsidR="00BA42E0" w:rsidRPr="009C0F4D">
        <w:rPr>
          <w:strike/>
          <w:noProof/>
          <w:highlight w:val="yellow"/>
          <w:lang w:val="en-GB"/>
        </w:rPr>
        <w:t xml:space="preserve">workout </w:t>
      </w:r>
      <w:r w:rsidRPr="009C0F4D">
        <w:rPr>
          <w:strike/>
          <w:noProof/>
          <w:highlight w:val="yellow"/>
          <w:lang w:val="en-GB"/>
        </w:rPr>
        <w:t xml:space="preserve">process of </w:t>
      </w:r>
      <w:r w:rsidR="00BA42E0" w:rsidRPr="009C0F4D">
        <w:rPr>
          <w:strike/>
          <w:noProof/>
          <w:highlight w:val="yellow"/>
          <w:lang w:val="en-GB"/>
        </w:rPr>
        <w:t xml:space="preserve">problematic </w:t>
      </w:r>
      <w:r w:rsidRPr="009C0F4D">
        <w:rPr>
          <w:strike/>
          <w:noProof/>
          <w:highlight w:val="yellow"/>
          <w:lang w:val="en-GB"/>
        </w:rPr>
        <w:t xml:space="preserve">exposures and the credit protection monitoring process. </w:t>
      </w:r>
    </w:p>
    <w:p w:rsidR="00823BAB" w:rsidRPr="009C0F4D" w:rsidRDefault="00823BAB" w:rsidP="00823BAB">
      <w:pPr>
        <w:jc w:val="both"/>
        <w:rPr>
          <w:strike/>
          <w:noProof/>
          <w:highlight w:val="yellow"/>
        </w:rPr>
      </w:pPr>
    </w:p>
    <w:p w:rsidR="00823BAB" w:rsidRPr="009C0F4D" w:rsidRDefault="00823BAB" w:rsidP="00823BAB">
      <w:pPr>
        <w:jc w:val="both"/>
        <w:rPr>
          <w:strike/>
          <w:noProof/>
          <w:highlight w:val="yellow"/>
        </w:rPr>
      </w:pPr>
    </w:p>
    <w:p w:rsidR="00823BAB" w:rsidRPr="009C0F4D" w:rsidRDefault="00823BAB" w:rsidP="00823BAB">
      <w:pPr>
        <w:rPr>
          <w:b/>
          <w:strike/>
          <w:noProof/>
          <w:highlight w:val="yellow"/>
        </w:rPr>
      </w:pPr>
      <w:bookmarkStart w:id="8" w:name="_Toc418517928"/>
      <w:r w:rsidRPr="009C0F4D">
        <w:rPr>
          <w:b/>
          <w:bCs/>
          <w:strike/>
          <w:noProof/>
          <w:highlight w:val="yellow"/>
          <w:lang w:val="en-GB"/>
        </w:rPr>
        <w:t>3.1 General requirements with regard to monitoring of individual exposures and credit quality of debtor</w:t>
      </w:r>
      <w:bookmarkEnd w:id="8"/>
    </w:p>
    <w:p w:rsidR="00823BAB" w:rsidRPr="009C0F4D" w:rsidRDefault="00823BAB" w:rsidP="00823BAB">
      <w:pPr>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(1) A bank shall put in place an effective process for obtaining and updating relevant information about the characteristics of the debtor and the exposure. The bank shall monitor the debtor’s operations regularly and for the entire duration of the legal relationship that is the basis for the exposure to determine whether the debtor’s creditworthiness is still appropriate, having regard for the type of debtor, and the size and complexity of the exposure.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(2) After credit approval the bank shall ensure the regular monitoring of the compliance of the exposure value with the limit system and the fulfilment of the conditions set out in the loan agreement. In the case of loans</w:t>
      </w:r>
      <w:r w:rsidR="00C96F74" w:rsidRPr="009C0F4D">
        <w:rPr>
          <w:strike/>
          <w:noProof/>
          <w:highlight w:val="yellow"/>
          <w:lang w:val="en-GB"/>
        </w:rPr>
        <w:t xml:space="preserve"> with specific purpose</w:t>
      </w:r>
      <w:r w:rsidRPr="009C0F4D">
        <w:rPr>
          <w:strike/>
          <w:noProof/>
          <w:highlight w:val="yellow"/>
          <w:lang w:val="en-GB"/>
        </w:rPr>
        <w:t>, the bank shall ensure the monitoring of the use of approved funds for the agreed purpose.</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(3) The bank shall ensure the monitoring of the performance of contractual </w:t>
      </w:r>
      <w:r w:rsidR="00C96F74" w:rsidRPr="009C0F4D">
        <w:rPr>
          <w:strike/>
          <w:noProof/>
          <w:highlight w:val="yellow"/>
          <w:lang w:val="en-GB"/>
        </w:rPr>
        <w:t xml:space="preserve">covenants </w:t>
      </w:r>
      <w:r w:rsidRPr="009C0F4D">
        <w:rPr>
          <w:strike/>
          <w:noProof/>
          <w:highlight w:val="yellow"/>
          <w:lang w:val="en-GB"/>
        </w:rPr>
        <w:t xml:space="preserve">and shall record any breaches. The implementation of contractual penalties in the event of breaches of the contractual </w:t>
      </w:r>
      <w:r w:rsidR="00C96F74" w:rsidRPr="009C0F4D">
        <w:rPr>
          <w:strike/>
          <w:noProof/>
          <w:highlight w:val="yellow"/>
          <w:lang w:val="en-GB"/>
        </w:rPr>
        <w:t xml:space="preserve">covenants </w:t>
      </w:r>
      <w:r w:rsidRPr="009C0F4D">
        <w:rPr>
          <w:strike/>
          <w:noProof/>
          <w:highlight w:val="yellow"/>
          <w:lang w:val="en-GB"/>
        </w:rPr>
        <w:t>shall also be monitored.</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(4) When the bank obtains internal and external information that indicates a significant increase in the risk of the debtor and/or the exposure and credit protection, it shall immediately reassess them. The units included in the credit risk management process shall be notified of relevant information at the earliest possible juncture.</w:t>
      </w:r>
    </w:p>
    <w:p w:rsidR="00823BAB" w:rsidRPr="009C0F4D" w:rsidRDefault="00823BAB" w:rsidP="00823BAB">
      <w:pPr>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(5) The bank shall review the classification of debtors at least once a year, adjusting them if it finds in the review that the current classification is no longer justified. High-risk debtors and problem exposures shall be reviewed more frequently. The bank shall undertake a new classification if it obtains material information about the debtor or exposure. </w:t>
      </w:r>
    </w:p>
    <w:p w:rsidR="00823BAB" w:rsidRPr="009C0F4D" w:rsidRDefault="00823BAB" w:rsidP="00823BAB">
      <w:pPr>
        <w:ind w:left="6372" w:firstLine="708"/>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(6) When the bank uses statistical models for classifying debtors and exposures into rating grades or pools, it shall regularly monitor those risk factors or data that are not adequately captured in the model, and shall determine the degree to which and the limit at which a specific factor or piece of data should be included in the model.</w:t>
      </w:r>
    </w:p>
    <w:p w:rsidR="00823BAB" w:rsidRPr="009C0F4D" w:rsidRDefault="00823BAB" w:rsidP="00823BAB">
      <w:pPr>
        <w:jc w:val="both"/>
        <w:rPr>
          <w:strike/>
          <w:noProof/>
          <w:highlight w:val="yellow"/>
        </w:rPr>
      </w:pPr>
    </w:p>
    <w:p w:rsidR="00823BAB" w:rsidRPr="009C0F4D" w:rsidRDefault="00823BAB" w:rsidP="00823BAB">
      <w:pPr>
        <w:jc w:val="both"/>
        <w:rPr>
          <w:strike/>
          <w:noProof/>
          <w:highlight w:val="yellow"/>
        </w:rPr>
      </w:pPr>
    </w:p>
    <w:p w:rsidR="00823BAB" w:rsidRPr="009C0F4D" w:rsidRDefault="00823BAB" w:rsidP="00823BAB">
      <w:pPr>
        <w:rPr>
          <w:b/>
          <w:strike/>
          <w:noProof/>
          <w:highlight w:val="yellow"/>
        </w:rPr>
      </w:pPr>
      <w:bookmarkStart w:id="9" w:name="_Toc418517929"/>
      <w:r w:rsidRPr="009C0F4D">
        <w:rPr>
          <w:b/>
          <w:bCs/>
          <w:strike/>
          <w:noProof/>
          <w:highlight w:val="yellow"/>
          <w:lang w:val="en-GB"/>
        </w:rPr>
        <w:t>3.2 Early warning system for increased credit risk</w:t>
      </w:r>
      <w:bookmarkEnd w:id="9"/>
    </w:p>
    <w:p w:rsidR="00823BAB" w:rsidRPr="009C0F4D" w:rsidRDefault="00823BAB" w:rsidP="00823BAB">
      <w:pPr>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(1) A bank shall put in place an early warning system for increased credit risk that provides for the timely identification of debtors who are showing increased risk. Where appropriate, the bank may set out exemptions from the process of the early warning of increased credit risk.</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(2)The early warning system for increased credit risk shall include:</w:t>
      </w:r>
    </w:p>
    <w:p w:rsidR="00823BAB" w:rsidRPr="009C0F4D" w:rsidRDefault="00823BAB" w:rsidP="00823BAB">
      <w:pPr>
        <w:jc w:val="both"/>
        <w:rPr>
          <w:strike/>
          <w:noProof/>
          <w:highlight w:val="yellow"/>
        </w:rPr>
      </w:pPr>
      <w:r w:rsidRPr="009C0F4D">
        <w:rPr>
          <w:strike/>
          <w:noProof/>
          <w:highlight w:val="yellow"/>
          <w:lang w:val="en-GB"/>
        </w:rPr>
        <w:t>1. qualitative and quantitative indicators;</w:t>
      </w:r>
    </w:p>
    <w:p w:rsidR="00823BAB" w:rsidRPr="009C0F4D" w:rsidRDefault="00823BAB" w:rsidP="00823BAB">
      <w:pPr>
        <w:jc w:val="both"/>
        <w:rPr>
          <w:strike/>
          <w:noProof/>
          <w:highlight w:val="yellow"/>
        </w:rPr>
      </w:pPr>
      <w:r w:rsidRPr="009C0F4D">
        <w:rPr>
          <w:strike/>
          <w:noProof/>
          <w:highlight w:val="yellow"/>
          <w:lang w:val="en-GB"/>
        </w:rPr>
        <w:t>2. a process for taking measures after the detection of increased risk;</w:t>
      </w:r>
    </w:p>
    <w:p w:rsidR="00823BAB" w:rsidRPr="009C0F4D" w:rsidRDefault="00823BAB" w:rsidP="00823BAB">
      <w:pPr>
        <w:jc w:val="both"/>
        <w:rPr>
          <w:strike/>
          <w:noProof/>
          <w:highlight w:val="yellow"/>
        </w:rPr>
      </w:pPr>
      <w:r w:rsidRPr="009C0F4D">
        <w:rPr>
          <w:strike/>
          <w:noProof/>
          <w:highlight w:val="yellow"/>
          <w:lang w:val="en-GB"/>
        </w:rPr>
        <w:t>3. the monitoring of clients with increased credit risk and the implementation of measures;</w:t>
      </w:r>
    </w:p>
    <w:p w:rsidR="00823BAB" w:rsidRPr="009C0F4D" w:rsidRDefault="00823BAB" w:rsidP="00823BAB">
      <w:pPr>
        <w:jc w:val="both"/>
        <w:rPr>
          <w:strike/>
          <w:noProof/>
          <w:highlight w:val="yellow"/>
        </w:rPr>
      </w:pPr>
      <w:r w:rsidRPr="009C0F4D">
        <w:rPr>
          <w:strike/>
          <w:noProof/>
          <w:highlight w:val="yellow"/>
          <w:lang w:val="en-GB"/>
        </w:rPr>
        <w:t>4. information support for the early warning system.</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(3) Within the framework of the early warning system for increased credit risk the bank shall only address those debtors who are </w:t>
      </w:r>
      <w:r w:rsidR="00C96F74" w:rsidRPr="009C0F4D">
        <w:rPr>
          <w:strike/>
          <w:noProof/>
          <w:highlight w:val="yellow"/>
          <w:lang w:val="en-GB"/>
        </w:rPr>
        <w:t>not defined as</w:t>
      </w:r>
      <w:r w:rsidRPr="009C0F4D">
        <w:rPr>
          <w:strike/>
          <w:noProof/>
          <w:highlight w:val="yellow"/>
          <w:lang w:val="en-GB"/>
        </w:rPr>
        <w:t xml:space="preserve"> defaulters in accordance with the definition of default applied for the purpose of the calculation of own funds requirements for credit risk.</w:t>
      </w:r>
    </w:p>
    <w:p w:rsidR="00823BAB" w:rsidRPr="009C0F4D" w:rsidRDefault="00823BAB" w:rsidP="00823BAB">
      <w:pPr>
        <w:ind w:left="6372" w:firstLine="708"/>
        <w:jc w:val="both"/>
        <w:rPr>
          <w:strike/>
          <w:noProof/>
          <w:highlight w:val="yellow"/>
        </w:rPr>
      </w:pPr>
    </w:p>
    <w:p w:rsidR="00823BAB" w:rsidRPr="009C0F4D" w:rsidRDefault="00823BAB" w:rsidP="00823BAB">
      <w:pPr>
        <w:ind w:left="6372" w:firstLine="708"/>
        <w:jc w:val="both"/>
        <w:rPr>
          <w:strike/>
          <w:noProof/>
          <w:highlight w:val="yellow"/>
        </w:rPr>
      </w:pPr>
    </w:p>
    <w:p w:rsidR="00823BAB" w:rsidRPr="009C0F4D" w:rsidRDefault="00823BAB" w:rsidP="00823BAB">
      <w:pPr>
        <w:rPr>
          <w:b/>
          <w:strike/>
          <w:noProof/>
          <w:highlight w:val="yellow"/>
        </w:rPr>
      </w:pPr>
      <w:bookmarkStart w:id="10" w:name="_Toc418517930"/>
      <w:r w:rsidRPr="009C0F4D">
        <w:rPr>
          <w:b/>
          <w:bCs/>
          <w:strike/>
          <w:noProof/>
          <w:highlight w:val="yellow"/>
          <w:lang w:val="en-GB"/>
        </w:rPr>
        <w:t>3.3</w:t>
      </w:r>
      <w:r w:rsidRPr="009C0F4D">
        <w:rPr>
          <w:strike/>
          <w:noProof/>
          <w:highlight w:val="yellow"/>
          <w:lang w:val="en-GB"/>
        </w:rPr>
        <w:t xml:space="preserve"> </w:t>
      </w:r>
      <w:r w:rsidR="00E344FC" w:rsidRPr="009C0F4D">
        <w:rPr>
          <w:b/>
          <w:strike/>
          <w:noProof/>
          <w:highlight w:val="yellow"/>
          <w:lang w:val="en-GB"/>
        </w:rPr>
        <w:t xml:space="preserve">Workout </w:t>
      </w:r>
      <w:r w:rsidR="00C96F74" w:rsidRPr="009C0F4D">
        <w:rPr>
          <w:b/>
          <w:bCs/>
          <w:strike/>
          <w:noProof/>
          <w:highlight w:val="yellow"/>
          <w:lang w:val="en-GB"/>
        </w:rPr>
        <w:t>p</w:t>
      </w:r>
      <w:r w:rsidRPr="009C0F4D">
        <w:rPr>
          <w:b/>
          <w:bCs/>
          <w:strike/>
          <w:noProof/>
          <w:highlight w:val="yellow"/>
          <w:lang w:val="en-GB"/>
        </w:rPr>
        <w:t>rocess of problem</w:t>
      </w:r>
      <w:r w:rsidR="00C96F74" w:rsidRPr="009C0F4D">
        <w:rPr>
          <w:b/>
          <w:bCs/>
          <w:strike/>
          <w:noProof/>
          <w:highlight w:val="yellow"/>
          <w:lang w:val="en-GB"/>
        </w:rPr>
        <w:t>atic</w:t>
      </w:r>
      <w:r w:rsidRPr="009C0F4D">
        <w:rPr>
          <w:b/>
          <w:bCs/>
          <w:strike/>
          <w:noProof/>
          <w:highlight w:val="yellow"/>
          <w:lang w:val="en-GB"/>
        </w:rPr>
        <w:t xml:space="preserve"> exposures</w:t>
      </w:r>
      <w:bookmarkEnd w:id="10"/>
      <w:r w:rsidRPr="009C0F4D">
        <w:rPr>
          <w:strike/>
          <w:noProof/>
          <w:highlight w:val="yellow"/>
          <w:lang w:val="en-GB"/>
        </w:rPr>
        <w:t xml:space="preserve"> </w:t>
      </w:r>
    </w:p>
    <w:p w:rsidR="00823BAB" w:rsidRPr="009C0F4D" w:rsidRDefault="00823BAB" w:rsidP="00823BAB">
      <w:pPr>
        <w:ind w:left="2832" w:firstLine="708"/>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(1) A bank shall define clear criteria and procedures for the transfer of debtors and/or exposures to the appropriate units where the </w:t>
      </w:r>
      <w:r w:rsidR="00C96F74" w:rsidRPr="009C0F4D">
        <w:rPr>
          <w:strike/>
          <w:noProof/>
          <w:highlight w:val="yellow"/>
          <w:lang w:val="en-GB"/>
        </w:rPr>
        <w:t xml:space="preserve">workout </w:t>
      </w:r>
      <w:r w:rsidRPr="009C0F4D">
        <w:rPr>
          <w:strike/>
          <w:noProof/>
          <w:highlight w:val="yellow"/>
          <w:lang w:val="en-GB"/>
        </w:rPr>
        <w:t>process is conducted.</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(2) The </w:t>
      </w:r>
      <w:r w:rsidR="00C96F74" w:rsidRPr="009C0F4D">
        <w:rPr>
          <w:strike/>
          <w:noProof/>
          <w:highlight w:val="yellow"/>
          <w:lang w:val="en-GB"/>
        </w:rPr>
        <w:t xml:space="preserve">workout </w:t>
      </w:r>
      <w:r w:rsidRPr="009C0F4D">
        <w:rPr>
          <w:strike/>
          <w:noProof/>
          <w:highlight w:val="yellow"/>
          <w:lang w:val="en-GB"/>
        </w:rPr>
        <w:t xml:space="preserve">process shall encompass </w:t>
      </w:r>
      <w:r w:rsidR="00C96F74" w:rsidRPr="009C0F4D">
        <w:rPr>
          <w:strike/>
          <w:noProof/>
          <w:highlight w:val="yellow"/>
          <w:lang w:val="en-GB"/>
        </w:rPr>
        <w:t xml:space="preserve">restructuring </w:t>
      </w:r>
      <w:r w:rsidRPr="009C0F4D">
        <w:rPr>
          <w:strike/>
          <w:noProof/>
          <w:highlight w:val="yellow"/>
          <w:lang w:val="en-GB"/>
        </w:rPr>
        <w:t xml:space="preserve">and recovery processes. The </w:t>
      </w:r>
      <w:r w:rsidR="00C96F74" w:rsidRPr="009C0F4D">
        <w:rPr>
          <w:strike/>
          <w:noProof/>
          <w:highlight w:val="yellow"/>
          <w:lang w:val="en-GB"/>
        </w:rPr>
        <w:t xml:space="preserve">restructuring </w:t>
      </w:r>
      <w:r w:rsidRPr="009C0F4D">
        <w:rPr>
          <w:strike/>
          <w:noProof/>
          <w:highlight w:val="yellow"/>
          <w:lang w:val="en-GB"/>
        </w:rPr>
        <w:t xml:space="preserve">process shall include </w:t>
      </w:r>
      <w:r w:rsidR="00C96F74" w:rsidRPr="009C0F4D">
        <w:rPr>
          <w:strike/>
          <w:noProof/>
          <w:highlight w:val="yellow"/>
          <w:lang w:val="en-GB"/>
        </w:rPr>
        <w:t xml:space="preserve">restructuring </w:t>
      </w:r>
      <w:r w:rsidRPr="009C0F4D">
        <w:rPr>
          <w:strike/>
          <w:noProof/>
          <w:highlight w:val="yellow"/>
          <w:lang w:val="en-GB"/>
        </w:rPr>
        <w:t>of the exposure and potential involvement in the restructuring of the debtor; the recovery process shall include the realisation of credit protection and repayment from the debtor’s other cash flows.</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(3) The bank shall separate the </w:t>
      </w:r>
      <w:r w:rsidR="00C96F74" w:rsidRPr="009C0F4D">
        <w:rPr>
          <w:strike/>
          <w:noProof/>
          <w:highlight w:val="yellow"/>
          <w:lang w:val="en-GB"/>
        </w:rPr>
        <w:t xml:space="preserve">workout </w:t>
      </w:r>
      <w:r w:rsidRPr="009C0F4D">
        <w:rPr>
          <w:strike/>
          <w:noProof/>
          <w:highlight w:val="yellow"/>
          <w:lang w:val="en-GB"/>
        </w:rPr>
        <w:t xml:space="preserve">process at least with regard to the risk of the exposure, the type of credit protection, and the size and complexity of the exposure.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(4) The bank may eliminate specific exposures from the </w:t>
      </w:r>
      <w:r w:rsidR="00C96F74" w:rsidRPr="009C0F4D">
        <w:rPr>
          <w:strike/>
          <w:noProof/>
          <w:highlight w:val="yellow"/>
          <w:lang w:val="en-GB"/>
        </w:rPr>
        <w:t xml:space="preserve">workout </w:t>
      </w:r>
      <w:r w:rsidRPr="009C0F4D">
        <w:rPr>
          <w:strike/>
          <w:noProof/>
          <w:highlight w:val="yellow"/>
          <w:lang w:val="en-GB"/>
        </w:rPr>
        <w:t xml:space="preserve">process should it assess that the costs related to recovery would be greater than any resulting repayment of the exposure.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p>
    <w:p w:rsidR="00823BAB" w:rsidRPr="009C0F4D" w:rsidRDefault="00823BAB" w:rsidP="00823BAB">
      <w:pPr>
        <w:rPr>
          <w:b/>
          <w:strike/>
          <w:noProof/>
          <w:highlight w:val="yellow"/>
        </w:rPr>
      </w:pPr>
      <w:r w:rsidRPr="009C0F4D">
        <w:rPr>
          <w:b/>
          <w:bCs/>
          <w:strike/>
          <w:noProof/>
          <w:highlight w:val="yellow"/>
          <w:lang w:val="en-GB"/>
        </w:rPr>
        <w:t xml:space="preserve">3.3.1 </w:t>
      </w:r>
      <w:r w:rsidR="00C96F74" w:rsidRPr="009C0F4D">
        <w:rPr>
          <w:b/>
          <w:bCs/>
          <w:strike/>
          <w:noProof/>
          <w:highlight w:val="yellow"/>
          <w:lang w:val="en-GB"/>
        </w:rPr>
        <w:t xml:space="preserve">Restructuring </w:t>
      </w:r>
      <w:r w:rsidRPr="009C0F4D">
        <w:rPr>
          <w:b/>
          <w:bCs/>
          <w:strike/>
          <w:noProof/>
          <w:highlight w:val="yellow"/>
          <w:lang w:val="en-GB"/>
        </w:rPr>
        <w:t>process</w:t>
      </w:r>
    </w:p>
    <w:p w:rsidR="00823BAB" w:rsidRPr="009C0F4D" w:rsidRDefault="00823BAB" w:rsidP="00823BAB">
      <w:pPr>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(1) A bank shall define criteria for the treatment of a debtor and/or exposure that requires more detailed monitoring. The bank shall regularly review such exposures and/or debtors to determine the manner of their subsequent treatment. At the same time it shall put in place computer-supported records of outstanding past-due claims from individual problem loans. </w:t>
      </w:r>
    </w:p>
    <w:p w:rsidR="00823BAB" w:rsidRPr="009C0F4D" w:rsidRDefault="00823BAB" w:rsidP="00823BAB">
      <w:pPr>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(2) Should the criteria for the transfer of an exposure referred to in the first paragraph of Section 3.3 be met, the bank shall assess whether the </w:t>
      </w:r>
      <w:r w:rsidR="00C96F74" w:rsidRPr="009C0F4D">
        <w:rPr>
          <w:strike/>
          <w:noProof/>
          <w:highlight w:val="yellow"/>
          <w:lang w:val="en-GB"/>
        </w:rPr>
        <w:t xml:space="preserve">restructuring </w:t>
      </w:r>
      <w:r w:rsidRPr="009C0F4D">
        <w:rPr>
          <w:strike/>
          <w:noProof/>
          <w:highlight w:val="yellow"/>
          <w:lang w:val="en-GB"/>
        </w:rPr>
        <w:t xml:space="preserve">of the exposure referred to in Article 21 of the Regulation on the assessment of credit risk losses of banks and savings banks (Official Gazette of the Republic of Slovenia, No. 50/15) to the debtor in question, including the </w:t>
      </w:r>
      <w:r w:rsidR="00C96F74" w:rsidRPr="009C0F4D">
        <w:rPr>
          <w:strike/>
          <w:noProof/>
          <w:highlight w:val="yellow"/>
          <w:lang w:val="en-GB"/>
        </w:rPr>
        <w:t xml:space="preserve">restructuring </w:t>
      </w:r>
      <w:r w:rsidRPr="009C0F4D">
        <w:rPr>
          <w:strike/>
          <w:noProof/>
          <w:highlight w:val="yellow"/>
          <w:lang w:val="en-GB"/>
        </w:rPr>
        <w:t xml:space="preserve">of the exposure within the framework of approved compulsory composition, is reasonable. The assessment of whether forbearance is reasonable shall be drawn up by an organisational unit or employees that have previously not been involved in the credit approval process.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(3) When the </w:t>
      </w:r>
      <w:r w:rsidR="00C96F74" w:rsidRPr="009C0F4D">
        <w:rPr>
          <w:strike/>
          <w:noProof/>
          <w:highlight w:val="yellow"/>
          <w:lang w:val="en-GB"/>
        </w:rPr>
        <w:t xml:space="preserve">restructuring </w:t>
      </w:r>
      <w:r w:rsidRPr="009C0F4D">
        <w:rPr>
          <w:strike/>
          <w:noProof/>
          <w:highlight w:val="yellow"/>
          <w:lang w:val="en-GB"/>
        </w:rPr>
        <w:t xml:space="preserve">of the exposure to the debtor in question is reasonable, the bank shall draw up an appropriate </w:t>
      </w:r>
      <w:r w:rsidR="00C96F74" w:rsidRPr="009C0F4D">
        <w:rPr>
          <w:strike/>
          <w:noProof/>
          <w:highlight w:val="yellow"/>
          <w:lang w:val="en-GB"/>
        </w:rPr>
        <w:t xml:space="preserve">restructuring </w:t>
      </w:r>
      <w:r w:rsidRPr="009C0F4D">
        <w:rPr>
          <w:strike/>
          <w:noProof/>
          <w:highlight w:val="yellow"/>
          <w:lang w:val="en-GB"/>
        </w:rPr>
        <w:t xml:space="preserve">plan for the exposure and shall monitor its implementation and effects. When the successful </w:t>
      </w:r>
      <w:r w:rsidR="00C96F74" w:rsidRPr="009C0F4D">
        <w:rPr>
          <w:strike/>
          <w:noProof/>
          <w:highlight w:val="yellow"/>
          <w:lang w:val="en-GB"/>
        </w:rPr>
        <w:t xml:space="preserve">restructuring </w:t>
      </w:r>
      <w:r w:rsidRPr="009C0F4D">
        <w:rPr>
          <w:strike/>
          <w:noProof/>
          <w:highlight w:val="yellow"/>
          <w:lang w:val="en-GB"/>
        </w:rPr>
        <w:t xml:space="preserve">of a corporate exposure requires the comprehensive restructuring of the corporate </w:t>
      </w:r>
      <w:r w:rsidR="00C96F74" w:rsidRPr="009C0F4D">
        <w:rPr>
          <w:strike/>
          <w:noProof/>
          <w:highlight w:val="yellow"/>
          <w:lang w:val="en-GB"/>
        </w:rPr>
        <w:t xml:space="preserve">client </w:t>
      </w:r>
      <w:r w:rsidRPr="009C0F4D">
        <w:rPr>
          <w:strike/>
          <w:noProof/>
          <w:highlight w:val="yellow"/>
          <w:lang w:val="en-GB"/>
        </w:rPr>
        <w:t xml:space="preserve">(operational restructuring, ownership restructuring or financial restructuring), the bank shall take account of the provisions of Section 3.3.1.1 when drawing up the </w:t>
      </w:r>
      <w:r w:rsidR="00C96F74" w:rsidRPr="009C0F4D">
        <w:rPr>
          <w:strike/>
          <w:noProof/>
          <w:highlight w:val="yellow"/>
          <w:lang w:val="en-GB"/>
        </w:rPr>
        <w:t xml:space="preserve">restructuring </w:t>
      </w:r>
      <w:r w:rsidRPr="009C0F4D">
        <w:rPr>
          <w:strike/>
          <w:noProof/>
          <w:highlight w:val="yellow"/>
          <w:lang w:val="en-GB"/>
        </w:rPr>
        <w:t>plan for the exposure.</w:t>
      </w:r>
    </w:p>
    <w:p w:rsidR="00823BAB" w:rsidRPr="009C0F4D" w:rsidRDefault="00823BAB" w:rsidP="00823BAB">
      <w:pPr>
        <w:jc w:val="both"/>
        <w:rPr>
          <w:strike/>
          <w:noProof/>
          <w:highlight w:val="yellow"/>
        </w:rPr>
      </w:pPr>
    </w:p>
    <w:p w:rsidR="00823BAB" w:rsidRPr="009C0F4D" w:rsidRDefault="00823BAB" w:rsidP="00823BAB">
      <w:pPr>
        <w:jc w:val="both"/>
        <w:rPr>
          <w:strike/>
          <w:noProof/>
          <w:highlight w:val="yellow"/>
        </w:rPr>
      </w:pPr>
    </w:p>
    <w:p w:rsidR="00823BAB" w:rsidRPr="009C0F4D" w:rsidRDefault="00823BAB" w:rsidP="00823BAB">
      <w:pPr>
        <w:rPr>
          <w:b/>
          <w:strike/>
          <w:noProof/>
          <w:highlight w:val="yellow"/>
        </w:rPr>
      </w:pPr>
      <w:bookmarkStart w:id="11" w:name="_Toc418517932"/>
      <w:r w:rsidRPr="009C0F4D">
        <w:rPr>
          <w:b/>
          <w:bCs/>
          <w:strike/>
          <w:noProof/>
          <w:highlight w:val="yellow"/>
          <w:lang w:val="en-GB"/>
        </w:rPr>
        <w:t>3.3.1.1</w:t>
      </w:r>
      <w:r w:rsidRPr="009C0F4D">
        <w:rPr>
          <w:strike/>
          <w:noProof/>
          <w:highlight w:val="yellow"/>
          <w:lang w:val="en-GB"/>
        </w:rPr>
        <w:t xml:space="preserve"> </w:t>
      </w:r>
      <w:r w:rsidR="00C96F74" w:rsidRPr="009C0F4D">
        <w:rPr>
          <w:b/>
          <w:bCs/>
          <w:strike/>
          <w:noProof/>
          <w:highlight w:val="yellow"/>
          <w:lang w:val="en-GB"/>
        </w:rPr>
        <w:t xml:space="preserve">Restructuring </w:t>
      </w:r>
      <w:r w:rsidRPr="009C0F4D">
        <w:rPr>
          <w:b/>
          <w:bCs/>
          <w:strike/>
          <w:noProof/>
          <w:highlight w:val="yellow"/>
          <w:lang w:val="en-GB"/>
        </w:rPr>
        <w:t>plan for corporate exposure and participation in corporate restructuring</w:t>
      </w:r>
      <w:bookmarkEnd w:id="11"/>
      <w:r w:rsidRPr="009C0F4D">
        <w:rPr>
          <w:strike/>
          <w:noProof/>
          <w:highlight w:val="yellow"/>
          <w:lang w:val="en-GB"/>
        </w:rPr>
        <w:t xml:space="preserve"> </w:t>
      </w:r>
    </w:p>
    <w:p w:rsidR="00823BAB" w:rsidRPr="009C0F4D" w:rsidRDefault="00823BAB" w:rsidP="00823BAB">
      <w:pPr>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(1) In corporate restructuring, a bank that has decided in conjunction with other banks and a corporate to seek an agreed solution for the corporate shall take action without any unnecessary delay to facilitate the corporate’s continuation as a going concern if it assesses that such a restructuring is feasible. In so doing it shall uphold good business practice and good banking practice, such as that summarised in the Slovenian principles of financial restructuring of debts in the corporate sector. As soon as the bank learns that a corporate is in financial difficulty, it shall refrain from any action that could worsen the mutual relations between the creditors and the corporate, with the exception of actions that are vital to the maintenance of its existing rights. Where several banks are included in the restructuring of a corporate, they shall mutually cooperate and shall sign a binding agreement on further steps in the restructuring of the corporate at the earliest possible juncture after learning of the corporate’s financial difficulty. The role of the coordinator who leads negotiations between the banks and the corporate shall be assumed by the bank with the largest exposure to the corporate, unless mutually agreed otherwise by the banks. The banks shall provide for direct cooperation and the presence of their representatives throughout the restructuring procedure.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(2) When the corporate is actively cooperating with the bank and is providing all necessary and complete information on time, the bank shall give written confirmation of an agreement on a moratorium for the liabilities with the aim of obtaining all the necessary information for a decision on restructuring. When a documented assessment has been provided by more than half of the banks in terms of total exposure to the corporate or an independent advisor stating that greater repayments can be ensured on the basis of the operational restructuring, ownership restructuring or financial restructuring of the corporate than in bankruptcy and that continuation as a going concern can be facilitated, the bank shall embark without delay on activities for the </w:t>
      </w:r>
      <w:r w:rsidR="00F95024" w:rsidRPr="009C0F4D">
        <w:rPr>
          <w:strike/>
          <w:noProof/>
          <w:highlight w:val="yellow"/>
          <w:lang w:val="en-GB"/>
        </w:rPr>
        <w:t xml:space="preserve">restructuring </w:t>
      </w:r>
      <w:r w:rsidRPr="009C0F4D">
        <w:rPr>
          <w:strike/>
          <w:noProof/>
          <w:highlight w:val="yellow"/>
          <w:lang w:val="en-GB"/>
        </w:rPr>
        <w:t>of the exposure to the corporate. The bank may only reject activities or combinations thereof as proposed in the documented assessment referred to in the previous sentence if there is no assurance of equal treatment of comparable creditors, or no assurance that the repayments of its own liabilities will be greater than in bankruptcy. The bank shall provide argumentation for any rejection.</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(3) The bank shall obtain at least the following information about the corporate for the purpose of drawing up the </w:t>
      </w:r>
      <w:r w:rsidR="00F95024" w:rsidRPr="009C0F4D">
        <w:rPr>
          <w:strike/>
          <w:noProof/>
          <w:highlight w:val="yellow"/>
          <w:lang w:val="en-GB"/>
        </w:rPr>
        <w:t xml:space="preserve">restructuring </w:t>
      </w:r>
      <w:r w:rsidRPr="009C0F4D">
        <w:rPr>
          <w:strike/>
          <w:noProof/>
          <w:highlight w:val="yellow"/>
          <w:lang w:val="en-GB"/>
        </w:rPr>
        <w:t>plan for a corporate exposure:</w:t>
      </w:r>
    </w:p>
    <w:p w:rsidR="00823BAB" w:rsidRPr="009C0F4D" w:rsidRDefault="00823BAB" w:rsidP="00823BAB">
      <w:pPr>
        <w:jc w:val="both"/>
        <w:rPr>
          <w:strike/>
          <w:noProof/>
          <w:highlight w:val="yellow"/>
        </w:rPr>
      </w:pPr>
      <w:r w:rsidRPr="009C0F4D">
        <w:rPr>
          <w:strike/>
          <w:noProof/>
          <w:highlight w:val="yellow"/>
          <w:lang w:val="en-GB"/>
        </w:rPr>
        <w:t>1. a detailed itemisation of the reasons for the corporate’s difficulties that led to the problem loan arising;</w:t>
      </w:r>
    </w:p>
    <w:p w:rsidR="00823BAB" w:rsidRPr="009C0F4D" w:rsidRDefault="00823BAB" w:rsidP="00823BAB">
      <w:pPr>
        <w:jc w:val="both"/>
        <w:rPr>
          <w:strike/>
          <w:noProof/>
          <w:highlight w:val="yellow"/>
        </w:rPr>
      </w:pPr>
      <w:r w:rsidRPr="009C0F4D">
        <w:rPr>
          <w:strike/>
          <w:noProof/>
          <w:highlight w:val="yellow"/>
          <w:lang w:val="en-GB"/>
        </w:rPr>
        <w:t>2. the plan for the operational restructuring, ownership restructuring or financial restructuring of the corporate;</w:t>
      </w:r>
    </w:p>
    <w:p w:rsidR="00823BAB" w:rsidRPr="009C0F4D" w:rsidRDefault="00823BAB" w:rsidP="00823BAB">
      <w:pPr>
        <w:jc w:val="both"/>
        <w:rPr>
          <w:strike/>
          <w:noProof/>
          <w:highlight w:val="yellow"/>
        </w:rPr>
      </w:pPr>
      <w:r w:rsidRPr="009C0F4D">
        <w:rPr>
          <w:strike/>
          <w:noProof/>
          <w:highlight w:val="yellow"/>
          <w:lang w:val="en-GB"/>
        </w:rPr>
        <w:t>3. a projection of the corporate’s cash flows for a period of at least three years or for the period defined in the restructuring plan (quarterly projections for the current year, and annual projections for other years) on the DEN TOK form, which is an integral part of this appendix, including the assumptions on which the forecasts of future cash flows are based.</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(4) The bank shall draw up the following on the basis of the information referred to in the third paragraph of this section:</w:t>
      </w:r>
    </w:p>
    <w:p w:rsidR="00823BAB" w:rsidRPr="009C0F4D" w:rsidRDefault="00823BAB" w:rsidP="00823BAB">
      <w:pPr>
        <w:jc w:val="both"/>
        <w:rPr>
          <w:strike/>
          <w:noProof/>
          <w:highlight w:val="yellow"/>
        </w:rPr>
      </w:pPr>
      <w:r w:rsidRPr="009C0F4D">
        <w:rPr>
          <w:strike/>
          <w:noProof/>
          <w:highlight w:val="yellow"/>
          <w:lang w:val="en-GB"/>
        </w:rPr>
        <w:t>1. an assessment of the feasibility of the plan for the operational restructuring, ownership restructuring or financial restructuring of the corporate;</w:t>
      </w:r>
    </w:p>
    <w:p w:rsidR="00823BAB" w:rsidRPr="009C0F4D" w:rsidRDefault="00823BAB" w:rsidP="00823BAB">
      <w:pPr>
        <w:jc w:val="both"/>
        <w:rPr>
          <w:strike/>
          <w:noProof/>
          <w:highlight w:val="yellow"/>
        </w:rPr>
      </w:pPr>
      <w:r w:rsidRPr="009C0F4D">
        <w:rPr>
          <w:strike/>
          <w:noProof/>
          <w:highlight w:val="yellow"/>
          <w:lang w:val="en-GB"/>
        </w:rPr>
        <w:t xml:space="preserve">2. analysis of the possible methods of </w:t>
      </w:r>
      <w:r w:rsidR="00F95024" w:rsidRPr="009C0F4D">
        <w:rPr>
          <w:strike/>
          <w:noProof/>
          <w:highlight w:val="yellow"/>
          <w:lang w:val="en-GB"/>
        </w:rPr>
        <w:t xml:space="preserve">restructuring </w:t>
      </w:r>
      <w:r w:rsidRPr="009C0F4D">
        <w:rPr>
          <w:strike/>
          <w:noProof/>
          <w:highlight w:val="yellow"/>
          <w:lang w:val="en-GB"/>
        </w:rPr>
        <w:t xml:space="preserve">the exposure to the corporate, and the argumentation for the </w:t>
      </w:r>
      <w:r w:rsidR="00F95024" w:rsidRPr="009C0F4D">
        <w:rPr>
          <w:strike/>
          <w:noProof/>
          <w:highlight w:val="yellow"/>
          <w:lang w:val="en-GB"/>
        </w:rPr>
        <w:t xml:space="preserve">restructuring </w:t>
      </w:r>
      <w:r w:rsidRPr="009C0F4D">
        <w:rPr>
          <w:strike/>
          <w:noProof/>
          <w:highlight w:val="yellow"/>
          <w:lang w:val="en-GB"/>
        </w:rPr>
        <w:t>method chosen;</w:t>
      </w:r>
    </w:p>
    <w:p w:rsidR="00823BAB" w:rsidRPr="009C0F4D" w:rsidRDefault="00823BAB" w:rsidP="00823BAB">
      <w:pPr>
        <w:jc w:val="both"/>
        <w:rPr>
          <w:strike/>
          <w:noProof/>
          <w:highlight w:val="yellow"/>
        </w:rPr>
      </w:pPr>
      <w:r w:rsidRPr="009C0F4D">
        <w:rPr>
          <w:strike/>
          <w:noProof/>
          <w:highlight w:val="yellow"/>
          <w:lang w:val="en-GB"/>
        </w:rPr>
        <w:t xml:space="preserve">3. a new amortisation schedule for the repayment of the loan, which is the basis for monitoring the implementation of the </w:t>
      </w:r>
      <w:r w:rsidR="00F95024" w:rsidRPr="009C0F4D">
        <w:rPr>
          <w:strike/>
          <w:noProof/>
          <w:highlight w:val="yellow"/>
          <w:lang w:val="en-GB"/>
        </w:rPr>
        <w:t xml:space="preserve">restructuring </w:t>
      </w:r>
      <w:r w:rsidRPr="009C0F4D">
        <w:rPr>
          <w:strike/>
          <w:noProof/>
          <w:highlight w:val="yellow"/>
          <w:lang w:val="en-GB"/>
        </w:rPr>
        <w:t>plan for the exposure.</w:t>
      </w:r>
    </w:p>
    <w:p w:rsidR="00823BAB" w:rsidRPr="009C0F4D" w:rsidRDefault="00823BAB" w:rsidP="00823BAB">
      <w:pPr>
        <w:ind w:firstLine="360"/>
        <w:jc w:val="both"/>
        <w:rPr>
          <w:strike/>
          <w:noProof/>
          <w:highlight w:val="yellow"/>
        </w:rPr>
      </w:pPr>
      <w:r w:rsidRPr="009C0F4D">
        <w:rPr>
          <w:strike/>
          <w:noProof/>
          <w:highlight w:val="yellow"/>
          <w:lang w:val="en-GB"/>
        </w:rPr>
        <w:t>In deciding on the restructuring method the bank shall primarily take account of the cash flows that the corporate will generate during the restructuring period and the likelihood that the forecast cash flows will actually be realised (sensitivity analysis) as a result of the operational restructuring, ownership restructuring or financial restructuring. The bank shall treat the existing credit protection in accordance with the second paragraph of Section 2.1 of this appendix.</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(5) If the bank concludes a restructuring agreement with the corporate on the basis of the information referred to in the fourth paragraph of this section, within the framework of monitoring the implementation of the </w:t>
      </w:r>
      <w:r w:rsidR="00F95024" w:rsidRPr="009C0F4D">
        <w:rPr>
          <w:strike/>
          <w:noProof/>
          <w:highlight w:val="yellow"/>
          <w:lang w:val="en-GB"/>
        </w:rPr>
        <w:t xml:space="preserve">restructuring </w:t>
      </w:r>
      <w:r w:rsidRPr="009C0F4D">
        <w:rPr>
          <w:strike/>
          <w:noProof/>
          <w:highlight w:val="yellow"/>
          <w:lang w:val="en-GB"/>
        </w:rPr>
        <w:t xml:space="preserve">plan for the exposure it shall monitor the implementation of the overall corporate restructuring plan and the resulting effects in the implementation of this plan. To this end the bank shall obtain up-to-date information from the corporate about its financial position on at least a quarterly basis, including figures for the realised cash flows in the previous quarter and a projection of cash flows for the upcoming period on the DEN TOK form, information about the fulfilment of the corporate’s commitments under the restructuring plan and information about other facts that could affect the corporate’s ability to repay the loan. An explanation of any deviations in the realised cash flows from the previously forecast cash flows shall be enclosed in the form.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(6) Unless stipulated otherwise by an agreement between the banks, in the case referred to in the fourth paragraph of this section the coordinator shall be responsible for gathering the information referred to in the second, third and fourth paragraphs of this section, and shall forward this information to the other banks that signed the restructuring agreement.</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(7) The information referred to in the third to fifth paragraphs of this section shall form an integral part of the bank’s credit file on the corporate in question.</w:t>
      </w:r>
    </w:p>
    <w:p w:rsidR="00823BAB" w:rsidRPr="009C0F4D" w:rsidRDefault="00823BAB" w:rsidP="00823BAB">
      <w:pPr>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(8)</w:t>
      </w:r>
      <w:r w:rsidRPr="009C0F4D">
        <w:rPr>
          <w:strike/>
          <w:noProof/>
          <w:highlight w:val="yellow"/>
          <w:lang w:val="en-GB"/>
        </w:rPr>
        <w:tab/>
        <w:t>The bank or the Bank Asset Management Company (hereinafter: the BAMC) shall notify the Bank of Slovenia of the restructuring of the corporate on the PRESTR form, which is an integral part of this appendix, within ten business days of the restructuring agreement referred to in the fifth paragraph of this section being concluded or of the decision approving the financial restructuring agreement or approving compulsory composition or simplified compulsory composition becoming final. The restructuring agreement and the information and documentation referred to in the third and fourth paragraphs of this section shall also be enclosed in the aforementioned form.</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(9)</w:t>
      </w:r>
      <w:r w:rsidRPr="009C0F4D">
        <w:rPr>
          <w:strike/>
          <w:noProof/>
          <w:highlight w:val="yellow"/>
          <w:lang w:val="en-GB"/>
        </w:rPr>
        <w:tab/>
        <w:t>The notification referred to in the eighth paragraph of this section shall be required when corporates of the following type are participating in the restructuring:</w:t>
      </w:r>
    </w:p>
    <w:p w:rsidR="00823BAB" w:rsidRPr="009C0F4D" w:rsidRDefault="00823BAB" w:rsidP="00823BAB">
      <w:pPr>
        <w:jc w:val="both"/>
        <w:rPr>
          <w:strike/>
          <w:noProof/>
          <w:highlight w:val="yellow"/>
        </w:rPr>
      </w:pPr>
      <w:r w:rsidRPr="009C0F4D">
        <w:rPr>
          <w:strike/>
          <w:noProof/>
          <w:highlight w:val="yellow"/>
          <w:lang w:val="en-GB"/>
        </w:rPr>
        <w:t>1. those that pursuant to Article 55 of the Companies Act (Official Gazette of the Republic of Slovenia, Nos. 65/09 [official consolidated version], 33/11, 91/11, 32/12, 57/12, 44/13 [constitutional court judgement], 82/13 and 55/15; hereinafter: the ZGD-1) are classed as large or medium-size enterprises;</w:t>
      </w:r>
    </w:p>
    <w:p w:rsidR="00823BAB" w:rsidRPr="009C0F4D" w:rsidRDefault="00823BAB" w:rsidP="00823BAB">
      <w:pPr>
        <w:jc w:val="both"/>
        <w:rPr>
          <w:strike/>
          <w:noProof/>
          <w:highlight w:val="yellow"/>
        </w:rPr>
      </w:pPr>
      <w:r w:rsidRPr="009C0F4D">
        <w:rPr>
          <w:strike/>
          <w:noProof/>
          <w:highlight w:val="yellow"/>
          <w:lang w:val="en-GB"/>
        </w:rPr>
        <w:t>2. those classed as small enterprises pursuant to the ZGD-1, when the total exposure of all of the banks exposed to the corporate stands at more than EUR 3 million and at least three banks are included in the restructuring; or</w:t>
      </w:r>
    </w:p>
    <w:p w:rsidR="00823BAB" w:rsidRPr="009C0F4D" w:rsidRDefault="00823BAB" w:rsidP="00823BAB">
      <w:pPr>
        <w:jc w:val="both"/>
        <w:rPr>
          <w:strike/>
          <w:noProof/>
          <w:highlight w:val="yellow"/>
        </w:rPr>
      </w:pPr>
      <w:r w:rsidRPr="009C0F4D">
        <w:rPr>
          <w:strike/>
          <w:noProof/>
          <w:highlight w:val="yellow"/>
          <w:lang w:val="en-GB"/>
        </w:rPr>
        <w:t>3. those that are entities in a group as defined in Article 63 of the ZGD-1, when any corporate in the group meets the conditions set out in points 1 or 2 of this paragraph.</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(10) For the corporates referred to in the ninth paragraph of this section, the bank or the BAMC shall report quarterly to the Bank of Slovenia on the realisation and forecast of cash flows in the previous quarter, together with an explanation of any deviations in realised cash flows from previously forecast cash flows, on the DEN TOK form by the remittance dates for quarterly information set out in Article 3 of Commission Implementing Regulation (EU) No 680/2014 of 16 April 2014 laying down implementing technical standards with regard to supervisory reporting of institutions according to Regulation (EU) No 575/2013 of the European Parliament and of the Council (OJ L 191 of 28 June 2014, p 1; hereinafter: the ITS for supervisory reporting). The bank or the BAMC shall send the DEN TOK form for the first time after the end of the quarter in which the restructuring agreement was concluded.</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(11) Insofar as the bank or the BAMC concludes a restructuring agreement with a group of corporates referred to in point 3 of the ninth paragraph of this section, in the DEN TOK form it shall only report on the cash flows for the corporate that is the parent entity in the group in accordance with Article 56 of the ZGD-1. Notwithstanding the foregoing, in the explanatory section of the DEN TOK form the bank shall include a description of the key developments that in the particular period have an impact on the cash flows of corporates that are subsidiaries in the group (e.g. information about sales, working capital, settlement of liabilities to the bank and to suppliers).</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(12) Whenever several creditor banks are involved in the </w:t>
      </w:r>
      <w:r w:rsidR="00F95024" w:rsidRPr="009C0F4D">
        <w:rPr>
          <w:strike/>
          <w:noProof/>
          <w:highlight w:val="yellow"/>
          <w:lang w:val="en-GB"/>
        </w:rPr>
        <w:t xml:space="preserve">restructuring </w:t>
      </w:r>
      <w:r w:rsidRPr="009C0F4D">
        <w:rPr>
          <w:strike/>
          <w:noProof/>
          <w:highlight w:val="yellow"/>
          <w:lang w:val="en-GB"/>
        </w:rPr>
        <w:t>of an exposure to a specific corporate, the coordinator referred to in the sixth paragraph of this section shall be responsible for notifying and reporting to the Bank of Slovenia.</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(13) After the transfer of claims to the BAMC, the BAMC shall continue reporting to the Bank of Slovenia in accordance with this section.</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(14) Should a corporate be more than 90 days in arrears in the settlement of a material liability according to the new amortisation schedule drafted during the </w:t>
      </w:r>
      <w:r w:rsidR="00F95024" w:rsidRPr="009C0F4D">
        <w:rPr>
          <w:strike/>
          <w:noProof/>
          <w:highlight w:val="yellow"/>
          <w:lang w:val="en-GB"/>
        </w:rPr>
        <w:t xml:space="preserve">restructuring </w:t>
      </w:r>
      <w:r w:rsidRPr="009C0F4D">
        <w:rPr>
          <w:strike/>
          <w:noProof/>
          <w:highlight w:val="yellow"/>
          <w:lang w:val="en-GB"/>
        </w:rPr>
        <w:t xml:space="preserve">of the exposure, and the bank or the BAMC assesses that further </w:t>
      </w:r>
      <w:r w:rsidR="00F95024" w:rsidRPr="009C0F4D">
        <w:rPr>
          <w:strike/>
          <w:noProof/>
          <w:highlight w:val="yellow"/>
          <w:lang w:val="en-GB"/>
        </w:rPr>
        <w:t xml:space="preserve">restructuring </w:t>
      </w:r>
      <w:r w:rsidRPr="009C0F4D">
        <w:rPr>
          <w:strike/>
          <w:noProof/>
          <w:highlight w:val="yellow"/>
          <w:lang w:val="en-GB"/>
        </w:rPr>
        <w:t>of the exposure to this corporate is no longer reasonable, the bank or the BAMC shall inform the Bank of Slovenia accordingly within thirty days of the day on which the aforementioned arrears in repayment occurred.</w:t>
      </w:r>
    </w:p>
    <w:p w:rsidR="00823BAB" w:rsidRPr="009C0F4D" w:rsidRDefault="00823BAB" w:rsidP="00823BAB">
      <w:pPr>
        <w:rPr>
          <w:b/>
          <w:strike/>
          <w:noProof/>
          <w:highlight w:val="yellow"/>
        </w:rPr>
      </w:pPr>
    </w:p>
    <w:p w:rsidR="00823BAB" w:rsidRPr="009C0F4D" w:rsidRDefault="00823BAB" w:rsidP="00823BAB">
      <w:pPr>
        <w:rPr>
          <w:b/>
          <w:strike/>
          <w:noProof/>
          <w:highlight w:val="yellow"/>
        </w:rPr>
      </w:pPr>
    </w:p>
    <w:p w:rsidR="00823BAB" w:rsidRPr="009C0F4D" w:rsidRDefault="00823BAB" w:rsidP="00823BAB">
      <w:pPr>
        <w:rPr>
          <w:b/>
          <w:strike/>
          <w:noProof/>
          <w:highlight w:val="yellow"/>
        </w:rPr>
      </w:pPr>
      <w:r w:rsidRPr="009C0F4D">
        <w:rPr>
          <w:b/>
          <w:bCs/>
          <w:strike/>
          <w:noProof/>
          <w:highlight w:val="yellow"/>
          <w:lang w:val="en-GB"/>
        </w:rPr>
        <w:t>3.3.2 Recovery process</w:t>
      </w:r>
    </w:p>
    <w:p w:rsidR="00823BAB" w:rsidRPr="009C0F4D" w:rsidRDefault="00823BAB" w:rsidP="00823BAB">
      <w:pPr>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(1) Insofar as a bank assesses that the </w:t>
      </w:r>
      <w:r w:rsidR="00F95024" w:rsidRPr="009C0F4D">
        <w:rPr>
          <w:strike/>
          <w:noProof/>
          <w:highlight w:val="yellow"/>
          <w:lang w:val="en-GB"/>
        </w:rPr>
        <w:t xml:space="preserve">restructuring </w:t>
      </w:r>
      <w:r w:rsidRPr="009C0F4D">
        <w:rPr>
          <w:strike/>
          <w:noProof/>
          <w:highlight w:val="yellow"/>
          <w:lang w:val="en-GB"/>
        </w:rPr>
        <w:t xml:space="preserve">of the exposure to the debtor in question is no longer reasonable, it shall formulate an approximate timetable for the recovery of the exposure, either directly from the debtor, or if the exposure is covered by credit protection, from the realisation of the credit protection. To this end the bank shall define precise criteria based on which the decision is made to recover the exposure or shall set approximate deadlines for its final recovery (directly from the debtor or from the realisation of credit protection), and shall establish a record of monitoring of the deadlines of the actual recovery of problem exposures. At the same time the bank shall establish a computer-supported record based on which the amount of problem exposures actually repaid directly from the debtor or from the realisation of credit protection and the amount of write-offs of these exposures are monitored.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(2) When the debtor is undergoing bankruptcy proceedings, the bank shall ensure that the relevant departments and/or external contractors are included in the realisation of credit protection.</w:t>
      </w:r>
    </w:p>
    <w:p w:rsidR="00823BAB" w:rsidRPr="009C0F4D" w:rsidRDefault="00823BAB" w:rsidP="00823BAB">
      <w:pPr>
        <w:jc w:val="both"/>
        <w:rPr>
          <w:strike/>
          <w:noProof/>
          <w:highlight w:val="yellow"/>
        </w:rPr>
      </w:pPr>
      <w:r w:rsidRPr="009C0F4D">
        <w:rPr>
          <w:strike/>
          <w:noProof/>
          <w:highlight w:val="yellow"/>
          <w:lang w:val="en-GB"/>
        </w:rPr>
        <w:t xml:space="preserve"> </w:t>
      </w:r>
    </w:p>
    <w:p w:rsidR="00823BAB" w:rsidRPr="009C0F4D" w:rsidRDefault="00823BAB" w:rsidP="00823BAB">
      <w:pPr>
        <w:jc w:val="both"/>
        <w:rPr>
          <w:strike/>
          <w:noProof/>
          <w:highlight w:val="yellow"/>
        </w:rPr>
      </w:pPr>
    </w:p>
    <w:p w:rsidR="00823BAB" w:rsidRPr="009C0F4D" w:rsidRDefault="00823BAB" w:rsidP="00823BAB">
      <w:pPr>
        <w:rPr>
          <w:b/>
          <w:strike/>
          <w:noProof/>
          <w:highlight w:val="yellow"/>
        </w:rPr>
      </w:pPr>
      <w:bookmarkStart w:id="12" w:name="_Toc418517933"/>
      <w:r w:rsidRPr="009C0F4D">
        <w:rPr>
          <w:b/>
          <w:bCs/>
          <w:strike/>
          <w:noProof/>
          <w:highlight w:val="yellow"/>
          <w:lang w:val="en-GB"/>
        </w:rPr>
        <w:t>3.4 Credit protection monitoring process</w:t>
      </w:r>
      <w:bookmarkEnd w:id="12"/>
    </w:p>
    <w:p w:rsidR="00823BAB" w:rsidRPr="009C0F4D" w:rsidRDefault="00823BAB" w:rsidP="00823BAB">
      <w:pPr>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(1) A bank shall provide for regular monitoring of the value and legal certainty of credit protection at appropriate time intervals beginning from the approval of the transaction, which shall depend on the type of credit protection. The bank shall monitor the value of credit protection more frequently in the event of significant changes in the conditions on a market of relevance to the credit protection, and shall review it each time that the information at the bank’s disposal indicates a significant decline in the value of the credit protection.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(2) The bank shall put in place processes that provide for: </w:t>
      </w:r>
    </w:p>
    <w:p w:rsidR="00823BAB" w:rsidRPr="009C0F4D" w:rsidRDefault="00823BAB" w:rsidP="00823BAB">
      <w:pPr>
        <w:ind w:firstLine="360"/>
        <w:jc w:val="both"/>
        <w:rPr>
          <w:strike/>
          <w:noProof/>
          <w:highlight w:val="yellow"/>
        </w:rPr>
      </w:pPr>
      <w:r w:rsidRPr="009C0F4D">
        <w:rPr>
          <w:strike/>
          <w:noProof/>
          <w:highlight w:val="yellow"/>
          <w:lang w:val="en-GB"/>
        </w:rPr>
        <w:t>1. the monitoring of the value of credit protection, including a definition of the criteria requiring the revaluation of the credit protection with regard to the market situation;</w:t>
      </w:r>
    </w:p>
    <w:p w:rsidR="00823BAB" w:rsidRPr="009C0F4D" w:rsidRDefault="00823BAB" w:rsidP="00823BAB">
      <w:pPr>
        <w:ind w:firstLine="360"/>
        <w:jc w:val="both"/>
        <w:rPr>
          <w:strike/>
          <w:noProof/>
          <w:highlight w:val="yellow"/>
        </w:rPr>
      </w:pPr>
      <w:r w:rsidRPr="009C0F4D">
        <w:rPr>
          <w:strike/>
          <w:noProof/>
          <w:highlight w:val="yellow"/>
          <w:lang w:val="en-GB"/>
        </w:rPr>
        <w:t>2. the monitoring of the LTV ratio;</w:t>
      </w:r>
    </w:p>
    <w:p w:rsidR="00823BAB" w:rsidRPr="009C0F4D" w:rsidRDefault="00823BAB" w:rsidP="00823BAB">
      <w:pPr>
        <w:ind w:firstLine="360"/>
        <w:jc w:val="both"/>
        <w:rPr>
          <w:strike/>
          <w:noProof/>
          <w:highlight w:val="yellow"/>
        </w:rPr>
      </w:pPr>
      <w:r w:rsidRPr="009C0F4D">
        <w:rPr>
          <w:strike/>
          <w:noProof/>
          <w:highlight w:val="yellow"/>
          <w:lang w:val="en-GB"/>
        </w:rPr>
        <w:t>3. the independence of the valuation of credit protection, even in cases when the valuation is provided by a third party;</w:t>
      </w:r>
    </w:p>
    <w:p w:rsidR="00823BAB" w:rsidRPr="009C0F4D" w:rsidRDefault="00823BAB" w:rsidP="00823BAB">
      <w:pPr>
        <w:ind w:firstLine="360"/>
        <w:jc w:val="both"/>
        <w:rPr>
          <w:strike/>
          <w:noProof/>
          <w:highlight w:val="yellow"/>
        </w:rPr>
      </w:pPr>
      <w:r w:rsidRPr="009C0F4D">
        <w:rPr>
          <w:strike/>
          <w:noProof/>
          <w:highlight w:val="yellow"/>
          <w:lang w:val="en-GB"/>
        </w:rPr>
        <w:t>4. the determination of the level of correlation between the value of the credit protection and the debtor’s credit quality;</w:t>
      </w:r>
    </w:p>
    <w:p w:rsidR="00823BAB" w:rsidRPr="009C0F4D" w:rsidRDefault="00823BAB" w:rsidP="00823BAB">
      <w:pPr>
        <w:ind w:firstLine="360"/>
        <w:jc w:val="both"/>
        <w:rPr>
          <w:strike/>
          <w:noProof/>
          <w:highlight w:val="yellow"/>
        </w:rPr>
      </w:pPr>
      <w:r w:rsidRPr="009C0F4D">
        <w:rPr>
          <w:strike/>
          <w:noProof/>
          <w:highlight w:val="yellow"/>
          <w:lang w:val="en-GB"/>
        </w:rPr>
        <w:t>5. special treatment of credit protection whose value is very volatile and/or that is the subject of a very lengthy realisation process;</w:t>
      </w:r>
    </w:p>
    <w:p w:rsidR="00823BAB" w:rsidRPr="009C0F4D" w:rsidRDefault="00823BAB" w:rsidP="00823BAB">
      <w:pPr>
        <w:ind w:firstLine="360"/>
        <w:jc w:val="both"/>
        <w:rPr>
          <w:strike/>
          <w:noProof/>
          <w:highlight w:val="yellow"/>
        </w:rPr>
      </w:pPr>
      <w:r w:rsidRPr="009C0F4D">
        <w:rPr>
          <w:strike/>
          <w:noProof/>
          <w:highlight w:val="yellow"/>
          <w:lang w:val="en-GB"/>
        </w:rPr>
        <w:t xml:space="preserve">6. the </w:t>
      </w:r>
      <w:r w:rsidR="00F95024" w:rsidRPr="009C0F4D">
        <w:rPr>
          <w:strike/>
          <w:noProof/>
          <w:highlight w:val="yellow"/>
          <w:lang w:val="en-GB"/>
        </w:rPr>
        <w:t xml:space="preserve">verification </w:t>
      </w:r>
      <w:r w:rsidRPr="009C0F4D">
        <w:rPr>
          <w:strike/>
          <w:noProof/>
          <w:highlight w:val="yellow"/>
          <w:lang w:val="en-GB"/>
        </w:rPr>
        <w:t>of the legal certainty and enforceability of the credit protection received.</w:t>
      </w:r>
    </w:p>
    <w:p w:rsidR="00823BAB" w:rsidRPr="009C0F4D" w:rsidRDefault="00823BAB" w:rsidP="00823BAB">
      <w:pPr>
        <w:jc w:val="both"/>
        <w:rPr>
          <w:strike/>
          <w:noProof/>
          <w:highlight w:val="yellow"/>
        </w:rPr>
      </w:pPr>
    </w:p>
    <w:p w:rsidR="00823BAB" w:rsidRPr="009C0F4D" w:rsidRDefault="00823BAB" w:rsidP="00823BAB">
      <w:pPr>
        <w:jc w:val="both"/>
        <w:rPr>
          <w:strike/>
          <w:noProof/>
          <w:highlight w:val="yellow"/>
        </w:rPr>
      </w:pPr>
    </w:p>
    <w:p w:rsidR="00823BAB" w:rsidRPr="009C0F4D" w:rsidRDefault="00823BAB" w:rsidP="00823BAB">
      <w:pPr>
        <w:jc w:val="both"/>
        <w:rPr>
          <w:strike/>
          <w:noProof/>
          <w:highlight w:val="yellow"/>
        </w:rPr>
      </w:pPr>
    </w:p>
    <w:p w:rsidR="00823BAB" w:rsidRPr="009C0F4D" w:rsidRDefault="00823BAB" w:rsidP="00823BAB">
      <w:pPr>
        <w:rPr>
          <w:b/>
          <w:strike/>
          <w:noProof/>
          <w:highlight w:val="yellow"/>
        </w:rPr>
      </w:pPr>
      <w:bookmarkStart w:id="13" w:name="_Toc418517934"/>
      <w:r w:rsidRPr="009C0F4D">
        <w:rPr>
          <w:b/>
          <w:bCs/>
          <w:strike/>
          <w:noProof/>
          <w:highlight w:val="yellow"/>
          <w:lang w:val="en-GB"/>
        </w:rPr>
        <w:t>4. Management, collection and storage of data</w:t>
      </w:r>
      <w:bookmarkEnd w:id="13"/>
    </w:p>
    <w:p w:rsidR="00823BAB" w:rsidRPr="009C0F4D" w:rsidRDefault="00823BAB" w:rsidP="00823BAB">
      <w:pPr>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(1) A bank shall put in place appropriate information infrastructure for the collection and storage of data deriving from the processes of the identification, measurement or assessment, management and monitoring of credit risk. The bank shall regularly review the appropriateness of the information infrastructure.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(2) The bank shall design procedures and processes that ensure data quality from the perspective of its accuracy, completeness and appropriateness in all credit risk management processes.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The accuracy of the data relates to the level of confidence that the data is correct. It should be high enough to ensure that the bank avoids the significant distortion of the final data used in decision-making processes. The completeness of the data relates to the inclusion of all significant data required in individual credit risk management processes, whereby the bank minimises the occurrence of data shortfalls. The appropriateness of the data means that the data may not be biased. Data quality shall be reviewed at least once a year by the internal audit function.</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(4) For the purpose of reducing the impact of human error, the bank shall provide for the automation of all important processes. Information systems shall be reliable, appropriately documented and regularly reviewed.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p>
    <w:p w:rsidR="00823BAB" w:rsidRPr="009C0F4D" w:rsidRDefault="00823BAB" w:rsidP="00823BAB">
      <w:pPr>
        <w:rPr>
          <w:b/>
          <w:strike/>
          <w:noProof/>
          <w:highlight w:val="yellow"/>
        </w:rPr>
      </w:pPr>
      <w:bookmarkStart w:id="14" w:name="_Toc418517936"/>
      <w:r w:rsidRPr="009C0F4D">
        <w:rPr>
          <w:b/>
          <w:bCs/>
          <w:strike/>
          <w:noProof/>
          <w:highlight w:val="yellow"/>
          <w:lang w:val="en-GB"/>
        </w:rPr>
        <w:t xml:space="preserve">5. Credit risk assessment </w:t>
      </w:r>
      <w:bookmarkEnd w:id="14"/>
    </w:p>
    <w:p w:rsidR="00823BAB" w:rsidRPr="009C0F4D" w:rsidRDefault="00823BAB" w:rsidP="00823BAB">
      <w:pPr>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(1) For the purpose of credit risk management, a bank shall assess credit risk by at least taking account of the parameters of the default rate, the loss rate and the actual conversion factor. </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(2) For the purpose of credit risk management, in addition to the parameters referred to in the first paragraph of this section, the bank shall assess credit risk by taking account of estimates of the parameters of the probability of default (PD), the loss given default (LGD) and the conversion factor (CF), as parameters for the calculation of the exposure value, but only if the minimum requirements of the IRB approach cited in Regulation (EU) No 575/2013 have been met.</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(3) When the bank uses statistical models for determining estimates of the risk parameters referred to in the second paragraph of this section, it shall provide for the regular evaluation of these models on at least an annual basis. The bank shall analyse the results of the evaluation, and shall take account of any deficiencies in the performance of the model in changes thereto. The bank shall set out the criteria that require a change or upgrade to a specific model.</w:t>
      </w:r>
    </w:p>
    <w:p w:rsidR="00823BAB" w:rsidRPr="009C0F4D" w:rsidRDefault="00823BAB" w:rsidP="00823BAB">
      <w:pPr>
        <w:jc w:val="both"/>
        <w:rPr>
          <w:strike/>
          <w:noProof/>
          <w:highlight w:val="yellow"/>
        </w:rPr>
      </w:pPr>
    </w:p>
    <w:p w:rsidR="00823BAB" w:rsidRPr="009C0F4D" w:rsidRDefault="00823BAB" w:rsidP="00823BAB">
      <w:pPr>
        <w:jc w:val="both"/>
        <w:rPr>
          <w:strike/>
          <w:noProof/>
          <w:highlight w:val="yellow"/>
        </w:rPr>
      </w:pPr>
    </w:p>
    <w:p w:rsidR="00823BAB" w:rsidRPr="009C0F4D" w:rsidRDefault="00823BAB" w:rsidP="00823BAB">
      <w:pPr>
        <w:rPr>
          <w:b/>
          <w:strike/>
          <w:noProof/>
          <w:highlight w:val="yellow"/>
        </w:rPr>
      </w:pPr>
      <w:bookmarkStart w:id="15" w:name="_Toc418517935"/>
      <w:r w:rsidRPr="009C0F4D">
        <w:rPr>
          <w:b/>
          <w:bCs/>
          <w:strike/>
          <w:noProof/>
          <w:highlight w:val="yellow"/>
          <w:lang w:val="en-GB"/>
        </w:rPr>
        <w:t>5.1 Creation of impairments and provisions</w:t>
      </w:r>
      <w:bookmarkEnd w:id="15"/>
    </w:p>
    <w:p w:rsidR="00823BAB" w:rsidRPr="009C0F4D" w:rsidRDefault="00823BAB" w:rsidP="00823BAB">
      <w:pPr>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(1) A bank shall put in place a process for the creation of impairments and provisions that ensures their timely creation with regard to the credit quality of the debtors in the credit portfolio.</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(2) The bank shall formulate a methodology for the calculation of impairments and provisions that complies with applicable accounting standards and other relevant regulations.</w:t>
      </w:r>
    </w:p>
    <w:p w:rsidR="00823BAB" w:rsidRPr="009C0F4D" w:rsidRDefault="00823BAB" w:rsidP="00823BAB">
      <w:pPr>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(3) The methodology for the creation of impairments and provisions shall define the criteria that the bank must take account of in the creation of collective and individual impairments and provisions.</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(4) The bank shall regularly monitor the coverage of exposures by impairments and provisions with regard to the credit risk of the entire portfolio, and individual segments of the credit protection, most notably defaulted exposures.</w:t>
      </w:r>
    </w:p>
    <w:p w:rsidR="00823BAB" w:rsidRPr="009C0F4D" w:rsidRDefault="00823BAB" w:rsidP="00823BAB">
      <w:pPr>
        <w:ind w:firstLine="360"/>
        <w:jc w:val="both"/>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(5) The bank shall ensure that the process for the creation of impairments and provisions is not the responsibility of the commercial operations unit.</w:t>
      </w:r>
    </w:p>
    <w:p w:rsidR="00823BAB" w:rsidRPr="009C0F4D" w:rsidRDefault="00823BAB" w:rsidP="00823BAB">
      <w:pPr>
        <w:ind w:left="2832" w:firstLine="708"/>
        <w:rPr>
          <w:strike/>
          <w:noProof/>
          <w:highlight w:val="yellow"/>
        </w:rPr>
      </w:pPr>
    </w:p>
    <w:p w:rsidR="00823BAB" w:rsidRPr="009C0F4D" w:rsidRDefault="00823BAB" w:rsidP="00823BAB">
      <w:pPr>
        <w:ind w:left="2832" w:firstLine="708"/>
        <w:rPr>
          <w:strike/>
          <w:noProof/>
          <w:highlight w:val="yellow"/>
        </w:rPr>
      </w:pPr>
    </w:p>
    <w:p w:rsidR="00823BAB" w:rsidRPr="009C0F4D" w:rsidRDefault="00823BAB" w:rsidP="00823BAB">
      <w:pPr>
        <w:rPr>
          <w:b/>
          <w:strike/>
          <w:noProof/>
          <w:highlight w:val="yellow"/>
        </w:rPr>
      </w:pPr>
      <w:bookmarkStart w:id="16" w:name="_Toc418517938"/>
      <w:r w:rsidRPr="009C0F4D">
        <w:rPr>
          <w:b/>
          <w:bCs/>
          <w:strike/>
          <w:noProof/>
          <w:highlight w:val="yellow"/>
          <w:lang w:val="en-GB"/>
        </w:rPr>
        <w:t>6.</w:t>
      </w:r>
      <w:r w:rsidRPr="009C0F4D">
        <w:rPr>
          <w:strike/>
          <w:noProof/>
          <w:highlight w:val="yellow"/>
          <w:lang w:val="en-GB"/>
        </w:rPr>
        <w:t xml:space="preserve"> </w:t>
      </w:r>
      <w:r w:rsidRPr="009C0F4D">
        <w:rPr>
          <w:b/>
          <w:bCs/>
          <w:strike/>
          <w:noProof/>
          <w:highlight w:val="yellow"/>
          <w:lang w:val="en-GB"/>
        </w:rPr>
        <w:t>Reporting on credit risk</w:t>
      </w:r>
      <w:bookmarkEnd w:id="16"/>
    </w:p>
    <w:p w:rsidR="00823BAB" w:rsidRPr="009C0F4D" w:rsidRDefault="00823BAB" w:rsidP="00823BAB">
      <w:pPr>
        <w:rPr>
          <w:strike/>
          <w:noProof/>
          <w:highlight w:val="yellow"/>
        </w:rPr>
      </w:pPr>
    </w:p>
    <w:p w:rsidR="00823BAB" w:rsidRPr="009C0F4D" w:rsidRDefault="00823BAB" w:rsidP="00823BAB">
      <w:pPr>
        <w:ind w:firstLine="360"/>
        <w:jc w:val="both"/>
        <w:rPr>
          <w:strike/>
          <w:noProof/>
          <w:highlight w:val="yellow"/>
        </w:rPr>
      </w:pPr>
      <w:r w:rsidRPr="009C0F4D">
        <w:rPr>
          <w:strike/>
          <w:noProof/>
          <w:highlight w:val="yellow"/>
          <w:lang w:val="en-GB"/>
        </w:rPr>
        <w:t xml:space="preserve">(1) A bank shall put in place processes that provide for the production of a structured report on credit risk, including assessments of future trends for the relevant managerial levels at the bank. The bank shall take account of the results of this analysis in formulating its strategies and policies for the take-up and management of credit risk, and shall determine their appropriateness. </w:t>
      </w:r>
    </w:p>
    <w:p w:rsidR="00823BAB" w:rsidRPr="009C0F4D" w:rsidRDefault="00823BAB" w:rsidP="00823BAB">
      <w:pPr>
        <w:ind w:firstLine="360"/>
        <w:jc w:val="both"/>
        <w:rPr>
          <w:strike/>
          <w:noProof/>
          <w:highlight w:val="yellow"/>
        </w:rPr>
      </w:pPr>
      <w:r w:rsidRPr="009C0F4D">
        <w:rPr>
          <w:strike/>
          <w:noProof/>
          <w:highlight w:val="yellow"/>
          <w:lang w:val="en-GB"/>
        </w:rPr>
        <w:t xml:space="preserve"> </w:t>
      </w:r>
    </w:p>
    <w:p w:rsidR="00823BAB" w:rsidRPr="00823BAB" w:rsidRDefault="00823BAB" w:rsidP="00823BAB">
      <w:pPr>
        <w:ind w:firstLine="360"/>
        <w:jc w:val="both"/>
        <w:rPr>
          <w:noProof/>
        </w:rPr>
      </w:pPr>
      <w:r w:rsidRPr="009C0F4D">
        <w:rPr>
          <w:strike/>
          <w:noProof/>
          <w:highlight w:val="yellow"/>
          <w:lang w:val="en-GB"/>
        </w:rPr>
        <w:t>(2) The bank shall put in place processes that provide for the production of reports for the purposes of supervisory reporting, which includes ensuring the quality of the data in the reports and an appropriate process for approving the reports before submission to the supervisor.</w:t>
      </w:r>
      <w:r>
        <w:rPr>
          <w:noProof/>
          <w:lang w:val="en-GB"/>
        </w:rPr>
        <w:br w:type="page"/>
      </w:r>
    </w:p>
    <w:p w:rsidR="00823BAB" w:rsidRPr="00823BAB" w:rsidRDefault="00823BAB" w:rsidP="00823BAB">
      <w:pPr>
        <w:jc w:val="both"/>
        <w:rPr>
          <w:noProof/>
        </w:rPr>
      </w:pPr>
      <w:r>
        <w:rPr>
          <w:b/>
          <w:bCs/>
          <w:noProof/>
          <w:lang w:val="en-GB"/>
        </w:rPr>
        <w:t xml:space="preserve">Appendix 2: </w:t>
      </w:r>
      <w:r>
        <w:rPr>
          <w:noProof/>
          <w:lang w:val="en-GB"/>
        </w:rPr>
        <w:t>Liquidity risk</w:t>
      </w:r>
    </w:p>
    <w:p w:rsidR="00823BAB" w:rsidRPr="00823BAB" w:rsidRDefault="00823BAB" w:rsidP="00823BAB">
      <w:pPr>
        <w:jc w:val="both"/>
        <w:rPr>
          <w:noProof/>
        </w:rPr>
      </w:pPr>
    </w:p>
    <w:p w:rsidR="00823BAB" w:rsidRPr="00823BAB" w:rsidRDefault="00823BAB" w:rsidP="00823BAB">
      <w:pPr>
        <w:rPr>
          <w:b/>
          <w:noProof/>
        </w:rPr>
      </w:pPr>
      <w:r>
        <w:rPr>
          <w:b/>
          <w:bCs/>
          <w:noProof/>
          <w:lang w:val="en-GB"/>
        </w:rPr>
        <w:t>1. Subject of regulation</w:t>
      </w:r>
    </w:p>
    <w:p w:rsidR="00823BAB" w:rsidRPr="00823BAB" w:rsidRDefault="00823BAB" w:rsidP="00823BAB">
      <w:pPr>
        <w:ind w:left="360"/>
        <w:rPr>
          <w:b/>
          <w:noProof/>
        </w:rPr>
      </w:pPr>
    </w:p>
    <w:p w:rsidR="00823BAB" w:rsidRPr="00823BAB" w:rsidRDefault="00823BAB" w:rsidP="00823BAB">
      <w:pPr>
        <w:ind w:firstLine="360"/>
        <w:jc w:val="both"/>
        <w:rPr>
          <w:noProof/>
        </w:rPr>
      </w:pPr>
      <w:r>
        <w:rPr>
          <w:noProof/>
          <w:lang w:val="en-GB"/>
        </w:rPr>
        <w:t>(1) This appendix defines the additional requirements with regard to liquidity risk management referred to in Articles 158, 159 and 160 of the ZBan-2 for the purpose of a bank being able at any moment to meet its obligations in timely fashion by ensuring:</w:t>
      </w:r>
    </w:p>
    <w:p w:rsidR="00823BAB" w:rsidRPr="00823BAB" w:rsidRDefault="00823BAB" w:rsidP="00823BAB">
      <w:pPr>
        <w:pStyle w:val="Odstavekseznama"/>
        <w:numPr>
          <w:ilvl w:val="0"/>
          <w:numId w:val="16"/>
        </w:numPr>
        <w:ind w:left="709"/>
        <w:jc w:val="both"/>
        <w:rPr>
          <w:noProof/>
        </w:rPr>
      </w:pPr>
      <w:r>
        <w:rPr>
          <w:noProof/>
          <w:lang w:val="en-GB"/>
        </w:rPr>
        <w:t xml:space="preserve">an adequate level of liquidity buffers, and </w:t>
      </w:r>
    </w:p>
    <w:p w:rsidR="00823BAB" w:rsidRPr="00823BAB" w:rsidRDefault="00823BAB" w:rsidP="00823BAB">
      <w:pPr>
        <w:pStyle w:val="Odstavekseznama"/>
        <w:numPr>
          <w:ilvl w:val="0"/>
          <w:numId w:val="16"/>
        </w:numPr>
        <w:ind w:left="709"/>
        <w:jc w:val="both"/>
        <w:rPr>
          <w:noProof/>
        </w:rPr>
      </w:pPr>
      <w:r>
        <w:rPr>
          <w:noProof/>
          <w:lang w:val="en-GB"/>
        </w:rPr>
        <w:t>stable funding structure.</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additional minimum requirements referred to in the first paragraph of this section include requirements in connection with:</w:t>
      </w:r>
    </w:p>
    <w:p w:rsidR="00823BAB" w:rsidRPr="00823BAB" w:rsidRDefault="00823BAB" w:rsidP="00823BAB">
      <w:pPr>
        <w:ind w:left="360"/>
        <w:jc w:val="both"/>
        <w:rPr>
          <w:noProof/>
        </w:rPr>
      </w:pPr>
      <w:r>
        <w:rPr>
          <w:noProof/>
          <w:lang w:val="en-GB"/>
        </w:rPr>
        <w:t>1. the organisation of liquidity risk management;</w:t>
      </w:r>
    </w:p>
    <w:p w:rsidR="00823BAB" w:rsidRPr="00823BAB" w:rsidRDefault="00823BAB" w:rsidP="00823BAB">
      <w:pPr>
        <w:ind w:left="360"/>
        <w:jc w:val="both"/>
        <w:rPr>
          <w:noProof/>
        </w:rPr>
      </w:pPr>
      <w:r>
        <w:rPr>
          <w:noProof/>
          <w:lang w:val="en-GB"/>
        </w:rPr>
        <w:t>2. the management of intraday liquidity;</w:t>
      </w:r>
    </w:p>
    <w:p w:rsidR="00823BAB" w:rsidRPr="00823BAB" w:rsidRDefault="00823BAB" w:rsidP="00823BAB">
      <w:pPr>
        <w:ind w:left="360"/>
        <w:jc w:val="both"/>
        <w:rPr>
          <w:noProof/>
        </w:rPr>
      </w:pPr>
      <w:r>
        <w:rPr>
          <w:noProof/>
          <w:lang w:val="en-GB"/>
        </w:rPr>
        <w:t>3. the management of collateral assets and asset encumbrance;</w:t>
      </w:r>
    </w:p>
    <w:p w:rsidR="00823BAB" w:rsidRPr="00823BAB" w:rsidRDefault="00823BAB" w:rsidP="00823BAB">
      <w:pPr>
        <w:ind w:left="360"/>
        <w:jc w:val="both"/>
        <w:rPr>
          <w:noProof/>
        </w:rPr>
      </w:pPr>
      <w:r>
        <w:rPr>
          <w:noProof/>
          <w:lang w:val="en-GB"/>
        </w:rPr>
        <w:t>4. the allocation of costs, benefits and risks in the provision of liquidity;</w:t>
      </w:r>
    </w:p>
    <w:p w:rsidR="00823BAB" w:rsidRPr="00823BAB" w:rsidRDefault="00823BAB" w:rsidP="00823BAB">
      <w:pPr>
        <w:ind w:left="360"/>
        <w:jc w:val="both"/>
        <w:rPr>
          <w:noProof/>
        </w:rPr>
      </w:pPr>
      <w:r>
        <w:rPr>
          <w:noProof/>
          <w:lang w:val="en-GB"/>
        </w:rPr>
        <w:t xml:space="preserve">5. the mitigation of liquidity risk; and </w:t>
      </w:r>
    </w:p>
    <w:p w:rsidR="00823BAB" w:rsidRPr="00823BAB" w:rsidRDefault="00823BAB" w:rsidP="00823BAB">
      <w:pPr>
        <w:ind w:left="360"/>
        <w:jc w:val="both"/>
        <w:rPr>
          <w:noProof/>
        </w:rPr>
      </w:pPr>
      <w:r>
        <w:rPr>
          <w:noProof/>
          <w:lang w:val="en-GB"/>
        </w:rPr>
        <w:t>6. measures to prevent and eliminate the causes of liquidity shortfalls.</w:t>
      </w:r>
    </w:p>
    <w:p w:rsidR="00823BAB" w:rsidRPr="00823BAB" w:rsidRDefault="00823BAB" w:rsidP="00823BAB">
      <w:pPr>
        <w:ind w:left="708"/>
        <w:jc w:val="both"/>
        <w:rPr>
          <w:noProof/>
        </w:rPr>
      </w:pPr>
    </w:p>
    <w:p w:rsidR="00823BAB" w:rsidRPr="00823BAB" w:rsidRDefault="00823BAB" w:rsidP="00823BAB">
      <w:pPr>
        <w:ind w:left="708"/>
        <w:jc w:val="both"/>
        <w:rPr>
          <w:noProof/>
        </w:rPr>
      </w:pPr>
    </w:p>
    <w:p w:rsidR="00823BAB" w:rsidRPr="00823BAB" w:rsidRDefault="00823BAB" w:rsidP="00823BAB">
      <w:pPr>
        <w:pStyle w:val="Odstavekseznama"/>
        <w:ind w:left="0"/>
        <w:rPr>
          <w:b/>
          <w:noProof/>
        </w:rPr>
      </w:pPr>
      <w:r>
        <w:rPr>
          <w:b/>
          <w:bCs/>
          <w:noProof/>
          <w:lang w:val="en-GB"/>
        </w:rPr>
        <w:t>2. Organisation of liquidity risk management</w:t>
      </w:r>
    </w:p>
    <w:p w:rsidR="00823BAB" w:rsidRPr="00823BAB" w:rsidRDefault="00823BAB" w:rsidP="00823BAB">
      <w:pPr>
        <w:pStyle w:val="Odstavekseznama"/>
        <w:ind w:left="0"/>
        <w:rPr>
          <w:b/>
          <w:noProof/>
        </w:rPr>
      </w:pPr>
      <w:r>
        <w:rPr>
          <w:b/>
          <w:bCs/>
          <w:noProof/>
          <w:lang w:val="en-GB"/>
        </w:rPr>
        <w:t xml:space="preserve"> </w:t>
      </w:r>
    </w:p>
    <w:p w:rsidR="00823BAB" w:rsidRPr="00823BAB" w:rsidRDefault="00823BAB" w:rsidP="00823BAB">
      <w:pPr>
        <w:ind w:firstLine="360"/>
        <w:jc w:val="both"/>
        <w:rPr>
          <w:noProof/>
        </w:rPr>
      </w:pPr>
      <w:r>
        <w:rPr>
          <w:noProof/>
          <w:lang w:val="en-GB"/>
        </w:rPr>
        <w:t xml:space="preserve">(1) The policy and procedures for liquidity risk management shall appropriately include entities in the group, the business lines and the currencies of the transactions that a bank executes, for the purpose of identifying the sources of liquidity risk and evaluating the bank’s exposure to liquidity risk. Notwithstanding the organisational structure and the level of centralisation of liquidity risk management, the parent bank shall be responsible for liquidity risk management at group level: </w:t>
      </w:r>
    </w:p>
    <w:p w:rsidR="00823BAB" w:rsidRPr="00823BAB" w:rsidRDefault="00823BAB" w:rsidP="00823BAB">
      <w:pPr>
        <w:pStyle w:val="Odstavekseznama"/>
        <w:numPr>
          <w:ilvl w:val="0"/>
          <w:numId w:val="22"/>
        </w:numPr>
        <w:contextualSpacing w:val="0"/>
        <w:jc w:val="both"/>
        <w:rPr>
          <w:noProof/>
        </w:rPr>
      </w:pPr>
      <w:r>
        <w:rPr>
          <w:noProof/>
          <w:lang w:val="en-GB"/>
        </w:rPr>
        <w:t xml:space="preserve">on the basis of knowledge of the liquidity position of entities in the group, and the liquidity flows within the group and in relation to other entities; and </w:t>
      </w:r>
    </w:p>
    <w:p w:rsidR="00823BAB" w:rsidRPr="00823BAB" w:rsidRDefault="00823BAB" w:rsidP="00823BAB">
      <w:pPr>
        <w:pStyle w:val="Odstavekseznama"/>
        <w:numPr>
          <w:ilvl w:val="0"/>
          <w:numId w:val="22"/>
        </w:numPr>
        <w:contextualSpacing w:val="0"/>
        <w:jc w:val="both"/>
        <w:rPr>
          <w:noProof/>
        </w:rPr>
      </w:pPr>
      <w:r>
        <w:rPr>
          <w:noProof/>
          <w:lang w:val="en-GB"/>
        </w:rPr>
        <w:t>having regard for legal, regulatory or operational restrictions in connection with the transfer of liquidity.</w:t>
      </w:r>
    </w:p>
    <w:p w:rsidR="00823BAB" w:rsidRPr="00823BAB" w:rsidRDefault="00823BAB" w:rsidP="00823BAB">
      <w:pPr>
        <w:ind w:left="708"/>
        <w:jc w:val="right"/>
        <w:rPr>
          <w:noProof/>
        </w:rPr>
      </w:pPr>
    </w:p>
    <w:p w:rsidR="00823BAB" w:rsidRPr="00823BAB" w:rsidRDefault="00823BAB" w:rsidP="00823BAB">
      <w:pPr>
        <w:ind w:firstLine="360"/>
        <w:jc w:val="both"/>
        <w:rPr>
          <w:noProof/>
        </w:rPr>
      </w:pPr>
      <w:r>
        <w:rPr>
          <w:noProof/>
          <w:lang w:val="en-GB"/>
        </w:rPr>
        <w:t>(2) In demarcating the powers and tasks of employees, the bank shall take account of various time horizons, including intraday, owing to the differences and specifics of liquidity risk management over these time horizons.</w:t>
      </w:r>
      <w:r>
        <w:rPr>
          <w:noProof/>
          <w:lang w:val="en-GB"/>
        </w:rPr>
        <w:tab/>
      </w:r>
      <w:r>
        <w:rPr>
          <w:noProof/>
          <w:lang w:val="en-GB"/>
        </w:rPr>
        <w:tab/>
      </w:r>
      <w:r>
        <w:rPr>
          <w:noProof/>
          <w:lang w:val="en-GB"/>
        </w:rPr>
        <w:tab/>
      </w:r>
      <w:r>
        <w:rPr>
          <w:noProof/>
          <w:lang w:val="en-GB"/>
        </w:rPr>
        <w:tab/>
      </w:r>
      <w:r>
        <w:rPr>
          <w:noProof/>
          <w:lang w:val="en-GB"/>
        </w:rPr>
        <w:tab/>
        <w:t xml:space="preserve">       </w:t>
      </w:r>
    </w:p>
    <w:p w:rsidR="00823BAB" w:rsidRPr="00823BAB" w:rsidRDefault="00823BAB" w:rsidP="00823BAB">
      <w:pPr>
        <w:ind w:left="708"/>
        <w:jc w:val="both"/>
        <w:rPr>
          <w:noProof/>
        </w:rPr>
      </w:pPr>
    </w:p>
    <w:p w:rsidR="00823BAB" w:rsidRPr="00823BAB" w:rsidRDefault="00823BAB" w:rsidP="00823BAB">
      <w:pPr>
        <w:ind w:left="708"/>
        <w:jc w:val="both"/>
        <w:rPr>
          <w:noProof/>
        </w:rPr>
      </w:pPr>
    </w:p>
    <w:p w:rsidR="00823BAB" w:rsidRPr="00823BAB" w:rsidRDefault="00823BAB" w:rsidP="00823BAB">
      <w:pPr>
        <w:pStyle w:val="Odstavekseznama"/>
        <w:ind w:left="0"/>
        <w:rPr>
          <w:b/>
          <w:noProof/>
        </w:rPr>
      </w:pPr>
      <w:r>
        <w:rPr>
          <w:b/>
          <w:bCs/>
          <w:noProof/>
          <w:lang w:val="en-GB"/>
        </w:rPr>
        <w:t xml:space="preserve">3. Management of intraday liquidity </w:t>
      </w:r>
    </w:p>
    <w:p w:rsidR="00823BAB" w:rsidRPr="00823BAB" w:rsidRDefault="00823BAB" w:rsidP="00823BAB">
      <w:pPr>
        <w:jc w:val="both"/>
        <w:rPr>
          <w:rFonts w:cs="Arial"/>
          <w:noProof/>
        </w:rPr>
      </w:pPr>
    </w:p>
    <w:p w:rsidR="00823BAB" w:rsidRPr="00823BAB" w:rsidRDefault="00823BAB" w:rsidP="00823BAB">
      <w:pPr>
        <w:ind w:firstLine="360"/>
        <w:jc w:val="both"/>
        <w:rPr>
          <w:noProof/>
        </w:rPr>
      </w:pPr>
      <w:r>
        <w:rPr>
          <w:noProof/>
          <w:lang w:val="en-GB"/>
        </w:rPr>
        <w:t xml:space="preserve">(1) Having regard for the attributes of the payments settlement system, a bank shall actively manage intraday liquidity to ensure the timely settlement of maturing liabilities during the normal course of operations and under stress conditions.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The management of intraday liquidity shall form part of comprehensive liquidity risk management, and shall in particular include:</w:t>
      </w:r>
    </w:p>
    <w:p w:rsidR="00823BAB" w:rsidRPr="00823BAB" w:rsidRDefault="00823BAB" w:rsidP="00823BAB">
      <w:pPr>
        <w:ind w:firstLine="349"/>
        <w:jc w:val="both"/>
        <w:rPr>
          <w:noProof/>
        </w:rPr>
      </w:pPr>
      <w:r>
        <w:rPr>
          <w:noProof/>
          <w:lang w:val="en-GB"/>
        </w:rPr>
        <w:t>1. the continual monitoring and control of intraday liquidity on the basis of a daily projection of inflows and outflows, including monitoring of the possibility of unexpected liquidity needs in an emergency liquidity situation;</w:t>
      </w:r>
    </w:p>
    <w:p w:rsidR="00823BAB" w:rsidRPr="00823BAB" w:rsidRDefault="00823BAB" w:rsidP="00823BAB">
      <w:pPr>
        <w:ind w:firstLine="349"/>
        <w:jc w:val="both"/>
        <w:rPr>
          <w:noProof/>
        </w:rPr>
      </w:pPr>
      <w:r>
        <w:rPr>
          <w:noProof/>
          <w:lang w:val="en-GB"/>
        </w:rPr>
        <w:t>2. the provision of funding to meet intraday liquidity needs, even in the event of unexpected disruptions and on the basis of assets that are available for encumbrance;</w:t>
      </w:r>
    </w:p>
    <w:p w:rsidR="00823BAB" w:rsidRPr="00823BAB" w:rsidRDefault="00823BAB" w:rsidP="00823BAB">
      <w:pPr>
        <w:ind w:firstLine="349"/>
        <w:jc w:val="both"/>
        <w:rPr>
          <w:noProof/>
        </w:rPr>
      </w:pPr>
      <w:r>
        <w:rPr>
          <w:noProof/>
          <w:lang w:val="en-GB"/>
        </w:rPr>
        <w:t>3. a clear demarcation of employees’ powers and duties;</w:t>
      </w:r>
    </w:p>
    <w:p w:rsidR="00823BAB" w:rsidRPr="00823BAB" w:rsidRDefault="00823BAB" w:rsidP="00823BAB">
      <w:pPr>
        <w:ind w:firstLine="349"/>
        <w:jc w:val="both"/>
        <w:rPr>
          <w:noProof/>
        </w:rPr>
      </w:pPr>
      <w:r>
        <w:rPr>
          <w:noProof/>
          <w:lang w:val="en-GB"/>
        </w:rPr>
        <w:t>4. the definition of backup procedures to reduce the possibility of operational difficulties in the execution of everyday activities.</w:t>
      </w:r>
    </w:p>
    <w:p w:rsidR="00823BAB" w:rsidRPr="00823BAB" w:rsidRDefault="00823BAB" w:rsidP="00823BAB">
      <w:pPr>
        <w:rPr>
          <w:b/>
          <w:noProof/>
        </w:rPr>
      </w:pPr>
    </w:p>
    <w:p w:rsidR="00823BAB" w:rsidRPr="00823BAB" w:rsidRDefault="00823BAB" w:rsidP="00823BAB">
      <w:pPr>
        <w:rPr>
          <w:b/>
          <w:noProof/>
        </w:rPr>
      </w:pPr>
    </w:p>
    <w:p w:rsidR="00823BAB" w:rsidRPr="00823BAB" w:rsidRDefault="00823BAB" w:rsidP="00823BAB">
      <w:pPr>
        <w:rPr>
          <w:b/>
          <w:noProof/>
        </w:rPr>
      </w:pPr>
    </w:p>
    <w:p w:rsidR="00823BAB" w:rsidRPr="00823BAB" w:rsidRDefault="00823BAB" w:rsidP="00823BAB">
      <w:pPr>
        <w:rPr>
          <w:b/>
          <w:noProof/>
        </w:rPr>
      </w:pPr>
    </w:p>
    <w:p w:rsidR="00823BAB" w:rsidRPr="00823BAB" w:rsidRDefault="00823BAB" w:rsidP="00823BAB">
      <w:pPr>
        <w:rPr>
          <w:b/>
          <w:noProof/>
        </w:rPr>
      </w:pPr>
      <w:r>
        <w:rPr>
          <w:b/>
          <w:bCs/>
          <w:noProof/>
          <w:lang w:val="en-GB"/>
        </w:rPr>
        <w:t>4. Management of collateral assets and asset encumbrance</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define its approach to asset encumbrance and shall put in place procedures for the identification, monitoring and management of risks in connection with collateral assets and asset encumbrance. In so doing the bank shall take account of:</w:t>
      </w:r>
    </w:p>
    <w:p w:rsidR="00823BAB" w:rsidRPr="00823BAB" w:rsidRDefault="00823BAB" w:rsidP="00823BAB">
      <w:pPr>
        <w:ind w:firstLine="349"/>
        <w:jc w:val="both"/>
        <w:rPr>
          <w:noProof/>
        </w:rPr>
      </w:pPr>
      <w:r>
        <w:rPr>
          <w:noProof/>
          <w:lang w:val="en-GB"/>
        </w:rPr>
        <w:t>1. the specifics and business model of the institution at which the assets reside;</w:t>
      </w:r>
    </w:p>
    <w:p w:rsidR="00823BAB" w:rsidRPr="00823BAB" w:rsidRDefault="00823BAB" w:rsidP="00823BAB">
      <w:pPr>
        <w:ind w:firstLine="349"/>
        <w:jc w:val="both"/>
        <w:rPr>
          <w:noProof/>
        </w:rPr>
      </w:pPr>
      <w:r>
        <w:rPr>
          <w:noProof/>
          <w:lang w:val="en-GB"/>
        </w:rPr>
        <w:t>2. the country in which the transactions are being executed, or where the assets are recorded (in official registers or in a bank account);</w:t>
      </w:r>
    </w:p>
    <w:p w:rsidR="00823BAB" w:rsidRPr="00823BAB" w:rsidRDefault="00823BAB" w:rsidP="00823BAB">
      <w:pPr>
        <w:ind w:firstLine="349"/>
        <w:jc w:val="both"/>
        <w:rPr>
          <w:noProof/>
        </w:rPr>
      </w:pPr>
      <w:r>
        <w:rPr>
          <w:noProof/>
          <w:lang w:val="en-GB"/>
        </w:rPr>
        <w:t>3. the specifics of the funding markets;</w:t>
      </w:r>
    </w:p>
    <w:p w:rsidR="00823BAB" w:rsidRPr="00823BAB" w:rsidRDefault="00823BAB" w:rsidP="00823BAB">
      <w:pPr>
        <w:ind w:firstLine="349"/>
        <w:jc w:val="both"/>
        <w:rPr>
          <w:noProof/>
        </w:rPr>
      </w:pPr>
      <w:r>
        <w:rPr>
          <w:noProof/>
          <w:lang w:val="en-GB"/>
        </w:rPr>
        <w:t>4. the macroeconomic situation.</w:t>
      </w:r>
    </w:p>
    <w:p w:rsidR="00823BAB" w:rsidRPr="00823BAB" w:rsidRDefault="00823BAB" w:rsidP="00823BAB">
      <w:pPr>
        <w:ind w:left="708"/>
        <w:jc w:val="both"/>
        <w:rPr>
          <w:noProof/>
        </w:rPr>
      </w:pPr>
    </w:p>
    <w:p w:rsidR="00823BAB" w:rsidRPr="00823BAB" w:rsidRDefault="00823BAB" w:rsidP="00823BAB">
      <w:pPr>
        <w:ind w:firstLine="360"/>
        <w:jc w:val="both"/>
        <w:rPr>
          <w:noProof/>
        </w:rPr>
      </w:pPr>
      <w:r>
        <w:rPr>
          <w:noProof/>
          <w:lang w:val="en-GB"/>
        </w:rPr>
        <w:t xml:space="preserve">(2) The bank shall determine the eligibility of collateral assets and the possibility of their timely availability. To this end the bank shall: </w:t>
      </w:r>
    </w:p>
    <w:p w:rsidR="00823BAB" w:rsidRPr="00823BAB" w:rsidRDefault="00823BAB" w:rsidP="00823BAB">
      <w:pPr>
        <w:ind w:firstLine="426"/>
        <w:jc w:val="both"/>
        <w:rPr>
          <w:noProof/>
        </w:rPr>
      </w:pPr>
      <w:r>
        <w:rPr>
          <w:noProof/>
          <w:lang w:val="en-GB"/>
        </w:rPr>
        <w:t>1. define eligible types of collateral asset, on the basis of which additional liquidity can be obtained over different time horizons;</w:t>
      </w:r>
    </w:p>
    <w:p w:rsidR="00823BAB" w:rsidRPr="00823BAB" w:rsidRDefault="00823BAB" w:rsidP="00823BAB">
      <w:pPr>
        <w:ind w:firstLine="426"/>
        <w:jc w:val="both"/>
        <w:rPr>
          <w:noProof/>
        </w:rPr>
      </w:pPr>
      <w:r>
        <w:rPr>
          <w:noProof/>
          <w:lang w:val="en-GB"/>
        </w:rPr>
        <w:t xml:space="preserve">2. estimate the need for collateral assets over different time horizons, and determine the level of eligible collateral assets that are free of encumbrance and available even in stress conditions, whereby the pool of eligible collateral for Eurosystem claims shall be determined separately; </w:t>
      </w:r>
    </w:p>
    <w:p w:rsidR="00823BAB" w:rsidRPr="00823BAB" w:rsidRDefault="00823BAB" w:rsidP="00823BAB">
      <w:pPr>
        <w:ind w:firstLine="426"/>
        <w:jc w:val="both"/>
        <w:rPr>
          <w:noProof/>
        </w:rPr>
      </w:pPr>
      <w:r>
        <w:rPr>
          <w:noProof/>
          <w:lang w:val="en-GB"/>
        </w:rPr>
        <w:t>3. take account of existing legislative and other legally binding, operational and other limitations in connection with the use or transfer of unencumbered assets between entities in a banking group, both within and outside the European Economic Area.</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The bank shall put in place an appropriate system for monitoring asset encumbrance and notifying the </w:t>
      </w:r>
      <w:r w:rsidR="003E2585">
        <w:rPr>
          <w:noProof/>
          <w:lang w:val="en-GB"/>
        </w:rPr>
        <w:t>Management body</w:t>
      </w:r>
      <w:r>
        <w:rPr>
          <w:noProof/>
          <w:lang w:val="en-GB"/>
        </w:rPr>
        <w:t xml:space="preserve"> and the senior management of:</w:t>
      </w:r>
    </w:p>
    <w:p w:rsidR="00823BAB" w:rsidRPr="00823BAB" w:rsidRDefault="00823BAB" w:rsidP="00823BAB">
      <w:pPr>
        <w:ind w:firstLine="426"/>
        <w:jc w:val="both"/>
        <w:rPr>
          <w:noProof/>
        </w:rPr>
      </w:pPr>
      <w:r>
        <w:rPr>
          <w:noProof/>
          <w:lang w:val="en-GB"/>
        </w:rPr>
        <w:t>1. the level, evolution and types of asset encumbrance and related sources of encumbrance, such as secured funding or other transactions;</w:t>
      </w:r>
    </w:p>
    <w:p w:rsidR="00823BAB" w:rsidRPr="00823BAB" w:rsidRDefault="00823BAB" w:rsidP="00823BAB">
      <w:pPr>
        <w:ind w:firstLine="426"/>
        <w:jc w:val="both"/>
        <w:rPr>
          <w:noProof/>
        </w:rPr>
      </w:pPr>
      <w:r>
        <w:rPr>
          <w:noProof/>
          <w:lang w:val="en-GB"/>
        </w:rPr>
        <w:t>2. the amount, evolution and credit quality of unencumbered but encumberable assets, specifying the threshold for encumbrance;</w:t>
      </w:r>
    </w:p>
    <w:p w:rsidR="00823BAB" w:rsidRPr="00823BAB" w:rsidRDefault="00823BAB" w:rsidP="00823BAB">
      <w:pPr>
        <w:ind w:firstLine="426"/>
        <w:jc w:val="both"/>
        <w:rPr>
          <w:noProof/>
        </w:rPr>
      </w:pPr>
      <w:r>
        <w:rPr>
          <w:noProof/>
          <w:lang w:val="en-GB"/>
        </w:rPr>
        <w:t xml:space="preserve">3. the amount, evolution and types of additional encumbrance resulting from stress scenarios.   </w:t>
      </w:r>
    </w:p>
    <w:p w:rsidR="00823BAB" w:rsidRPr="00823BAB" w:rsidRDefault="00823BAB" w:rsidP="00823BAB">
      <w:pPr>
        <w:pStyle w:val="Odstavekseznama"/>
        <w:jc w:val="both"/>
        <w:rPr>
          <w:noProof/>
        </w:rPr>
      </w:pPr>
    </w:p>
    <w:p w:rsidR="00823BAB" w:rsidRPr="00823BAB" w:rsidRDefault="00823BAB" w:rsidP="00823BAB">
      <w:pPr>
        <w:pStyle w:val="Odstavekseznama"/>
        <w:jc w:val="both"/>
        <w:rPr>
          <w:noProof/>
        </w:rPr>
      </w:pPr>
    </w:p>
    <w:p w:rsidR="00823BAB" w:rsidRPr="00823BAB" w:rsidRDefault="00823BAB" w:rsidP="00823BAB">
      <w:pPr>
        <w:rPr>
          <w:b/>
          <w:noProof/>
        </w:rPr>
      </w:pPr>
      <w:r>
        <w:rPr>
          <w:b/>
          <w:bCs/>
          <w:noProof/>
          <w:lang w:val="en-GB"/>
        </w:rPr>
        <w:t>5. Allocation of costs, benefits and risks in provision of liquidity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put in place a methodology for allocating costs, benefits and risks in the provision of liquidity (hereinafter: allocation methodology) for all significant asset and liability items and off-balance-sheet items. In putting in place the allocation methodology the bank shall take account of:</w:t>
      </w:r>
    </w:p>
    <w:p w:rsidR="00823BAB" w:rsidRPr="00823BAB" w:rsidRDefault="00823BAB" w:rsidP="00823BAB">
      <w:pPr>
        <w:ind w:firstLine="360"/>
        <w:jc w:val="both"/>
        <w:rPr>
          <w:noProof/>
        </w:rPr>
      </w:pPr>
      <w:r>
        <w:rPr>
          <w:noProof/>
          <w:lang w:val="en-GB"/>
        </w:rPr>
        <w:t xml:space="preserve">1. direct costs, including funding costs and asset transfer costs; </w:t>
      </w:r>
    </w:p>
    <w:p w:rsidR="00823BAB" w:rsidRPr="00823BAB" w:rsidRDefault="00823BAB" w:rsidP="00823BAB">
      <w:pPr>
        <w:ind w:firstLine="360"/>
        <w:jc w:val="both"/>
        <w:rPr>
          <w:noProof/>
        </w:rPr>
      </w:pPr>
      <w:r>
        <w:rPr>
          <w:noProof/>
          <w:lang w:val="en-GB"/>
        </w:rPr>
        <w:t>2. indirect costs, including costs of liquidity buffers including the opportunity cost of maintaining lower-yielding assets;</w:t>
      </w:r>
    </w:p>
    <w:p w:rsidR="00823BAB" w:rsidRPr="00823BAB" w:rsidRDefault="00823BAB" w:rsidP="00823BAB">
      <w:pPr>
        <w:ind w:firstLine="360"/>
        <w:jc w:val="both"/>
        <w:rPr>
          <w:noProof/>
        </w:rPr>
      </w:pPr>
      <w:r>
        <w:rPr>
          <w:noProof/>
          <w:lang w:val="en-GB"/>
        </w:rPr>
        <w:t>3. the behavioural component of products, which reflects the stability of funding.</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allocation methodology shall include appropriate incentives with regard to the contribution made to liquidity risk by individual business lines, shall provide consideration for the business lines providing liquidity, and shall appropriately charge the business lines requiring liquidity. The bank shall use the results of the allocation methodology in determining prices of banking products, determining the performance of individual business lines and products, and managing the bank’s balance sheet.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On the basis of the allocation methodology the bank shall put in place an appropriate system of internal transfer prices based on a selected internal yield curve, when this is appropriate with regard to the nature, scale and complexity of the risks inherent in the bank’s business model and the activities that it pursues. </w:t>
      </w:r>
    </w:p>
    <w:p w:rsidR="00823BAB" w:rsidRPr="00823BAB" w:rsidRDefault="00823BAB" w:rsidP="00823BAB">
      <w:pPr>
        <w:rPr>
          <w:b/>
          <w:noProof/>
        </w:rPr>
      </w:pPr>
    </w:p>
    <w:p w:rsidR="00823BAB" w:rsidRPr="00823BAB" w:rsidRDefault="00823BAB" w:rsidP="00823BAB">
      <w:pPr>
        <w:rPr>
          <w:b/>
          <w:noProof/>
        </w:rPr>
      </w:pPr>
      <w:r>
        <w:rPr>
          <w:b/>
          <w:bCs/>
          <w:noProof/>
          <w:lang w:val="en-GB"/>
        </w:rPr>
        <w:t>6. Mitigation of liquidity risk</w:t>
      </w:r>
    </w:p>
    <w:p w:rsidR="00823BAB" w:rsidRPr="00823BAB" w:rsidRDefault="00823BAB" w:rsidP="00823BAB">
      <w:pPr>
        <w:rPr>
          <w:noProof/>
        </w:rPr>
      </w:pPr>
    </w:p>
    <w:p w:rsidR="00823BAB" w:rsidRPr="00823BAB" w:rsidRDefault="00823BAB" w:rsidP="00823BAB">
      <w:pPr>
        <w:ind w:firstLine="360"/>
        <w:jc w:val="both"/>
        <w:rPr>
          <w:noProof/>
        </w:rPr>
      </w:pPr>
      <w:r>
        <w:rPr>
          <w:noProof/>
          <w:lang w:val="en-GB"/>
        </w:rPr>
        <w:t xml:space="preserve">A bank shall define its liquidity risk mitigation methods, including: </w:t>
      </w:r>
    </w:p>
    <w:p w:rsidR="00823BAB" w:rsidRPr="00823BAB" w:rsidRDefault="00823BAB" w:rsidP="00823BAB">
      <w:pPr>
        <w:ind w:left="360"/>
        <w:jc w:val="left"/>
        <w:rPr>
          <w:noProof/>
        </w:rPr>
      </w:pPr>
      <w:r>
        <w:rPr>
          <w:noProof/>
          <w:lang w:val="en-GB"/>
        </w:rPr>
        <w:t>1. a liquidity buffer;</w:t>
      </w:r>
    </w:p>
    <w:p w:rsidR="00823BAB" w:rsidRPr="00823BAB" w:rsidRDefault="00823BAB" w:rsidP="00823BAB">
      <w:pPr>
        <w:ind w:left="360"/>
        <w:jc w:val="left"/>
        <w:rPr>
          <w:noProof/>
        </w:rPr>
      </w:pPr>
      <w:r>
        <w:rPr>
          <w:noProof/>
          <w:lang w:val="en-GB"/>
        </w:rPr>
        <w:t>2. a system of internal limits;</w:t>
      </w:r>
    </w:p>
    <w:p w:rsidR="00823BAB" w:rsidRPr="00823BAB" w:rsidRDefault="00823BAB" w:rsidP="00823BAB">
      <w:pPr>
        <w:ind w:left="360"/>
        <w:jc w:val="left"/>
        <w:rPr>
          <w:noProof/>
        </w:rPr>
      </w:pPr>
      <w:r>
        <w:rPr>
          <w:noProof/>
          <w:lang w:val="en-GB"/>
        </w:rPr>
        <w:t>3. diversification of funding;</w:t>
      </w:r>
    </w:p>
    <w:p w:rsidR="00823BAB" w:rsidRPr="00823BAB" w:rsidRDefault="00823BAB" w:rsidP="00823BAB">
      <w:pPr>
        <w:ind w:left="360"/>
        <w:jc w:val="left"/>
        <w:rPr>
          <w:noProof/>
        </w:rPr>
      </w:pPr>
      <w:r>
        <w:rPr>
          <w:noProof/>
          <w:lang w:val="en-GB"/>
        </w:rPr>
        <w:t>4. netting agreements.</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 xml:space="preserve"> 6.1 Liquidity buffer</w:t>
      </w:r>
    </w:p>
    <w:p w:rsidR="00823BAB" w:rsidRPr="00823BAB" w:rsidRDefault="00823BAB" w:rsidP="00823BAB">
      <w:pPr>
        <w:rPr>
          <w:b/>
          <w:noProof/>
        </w:rPr>
      </w:pPr>
    </w:p>
    <w:p w:rsidR="00823BAB" w:rsidRPr="00823BAB" w:rsidRDefault="00823BAB" w:rsidP="00823BAB">
      <w:pPr>
        <w:ind w:firstLine="360"/>
        <w:jc w:val="both"/>
        <w:rPr>
          <w:noProof/>
        </w:rPr>
      </w:pPr>
      <w:r>
        <w:rPr>
          <w:noProof/>
          <w:lang w:val="en-GB"/>
        </w:rPr>
        <w:t>(1) A bank shall maintain, at an appropriate level, a liquidity buffer in the form of cash and other highly liquid assets for covering additional liquidity needs over a predetermined short-term period of emergency liquidity conditions (the survival period), when the ordinary sources of liquidity are not available or cannot provide sufficient liquidity, without requiring a change in its business model.</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In determining the size and composition of the liquidity buffer, the bank shall take account of:</w:t>
      </w:r>
    </w:p>
    <w:p w:rsidR="00823BAB" w:rsidRPr="00823BAB" w:rsidRDefault="00823BAB" w:rsidP="00823BAB">
      <w:pPr>
        <w:ind w:firstLine="426"/>
        <w:jc w:val="both"/>
        <w:rPr>
          <w:noProof/>
        </w:rPr>
      </w:pPr>
      <w:r>
        <w:rPr>
          <w:noProof/>
          <w:lang w:val="en-GB"/>
        </w:rPr>
        <w:t>1. the severity and attributes of the stress scenarios as defined in the second paragraph of Section 7.1;</w:t>
      </w:r>
    </w:p>
    <w:p w:rsidR="00823BAB" w:rsidRPr="00823BAB" w:rsidRDefault="00823BAB" w:rsidP="00823BAB">
      <w:pPr>
        <w:ind w:firstLine="426"/>
        <w:jc w:val="both"/>
        <w:rPr>
          <w:noProof/>
        </w:rPr>
      </w:pPr>
      <w:r>
        <w:rPr>
          <w:noProof/>
          <w:lang w:val="en-GB"/>
        </w:rPr>
        <w:t xml:space="preserve">2. the defined survival period; </w:t>
      </w:r>
    </w:p>
    <w:p w:rsidR="00823BAB" w:rsidRPr="00823BAB" w:rsidRDefault="00823BAB" w:rsidP="00823BAB">
      <w:pPr>
        <w:ind w:firstLine="426"/>
        <w:jc w:val="both"/>
        <w:rPr>
          <w:noProof/>
        </w:rPr>
      </w:pPr>
      <w:r>
        <w:rPr>
          <w:noProof/>
          <w:lang w:val="en-GB"/>
        </w:rPr>
        <w:t xml:space="preserve">3. the attributes of the liquid assets making up the liquidity buffer.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 (3) In assessing the liquidity of assets, the bank shall take account of the possibility of obtaining liquidity in the short term on the basis of such assets. In this assessment, the classification of the assets for financial reporting purposes or for the purposes of calculating capital adequacy is not of key importance.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 (4) The bank shall determine the appropriate level of the liquidity buffer on the basis of stress scenarios based on a survival period of at least one month. Within this period the bank shall define a period of the most severe liquidity conditions at least one week, for which it shall ensure a liquidity buffer in the form of cash and highly liquid assets that are simultaneously eligible collateral for Eurosystem claims. The liquidity buffer for the remainder of the time horizon of less severe conditions may include a wider range of liquid assets, based on which the bank should be able to obtain liquidity over the short term. In determining the appropriate level of the liquidity buffer, the bank shall apply haircuts to the market value of the assets that reflect the different levels of liquidity of the various categories of liquid assets. </w:t>
      </w:r>
    </w:p>
    <w:p w:rsidR="00823BAB" w:rsidRPr="00823BAB" w:rsidRDefault="00823BAB" w:rsidP="00823BAB">
      <w:pPr>
        <w:jc w:val="right"/>
        <w:rPr>
          <w:noProof/>
        </w:rPr>
      </w:pPr>
    </w:p>
    <w:p w:rsidR="00823BAB" w:rsidRPr="00823BAB" w:rsidRDefault="00823BAB" w:rsidP="00823BAB">
      <w:pPr>
        <w:ind w:firstLine="360"/>
        <w:jc w:val="both"/>
        <w:rPr>
          <w:noProof/>
        </w:rPr>
      </w:pPr>
      <w:r>
        <w:rPr>
          <w:noProof/>
          <w:lang w:val="en-GB"/>
        </w:rPr>
        <w:t xml:space="preserve">(5) The bank shall ensure the diversified composition of the liquidity buffer across various categories and within the same category of liquid assets, and the currency matching of the liquidity buffer and liquidity needs. In so doing the bank shall ensure that the assets making up the liquidity buffer are unencumbered and available at any moment, including in emergency liquidity conditions, without any legislative or other legally binding limitations or operational limitations. The bank shall carefully examine and take account of the aforementioned restrictions in particular in the case of a banking group, where decisions with regard to the location and size of the liquidity buffer should reflect the attributes of the banking group, particularly from the perspective of its composition, the transactions that entities in the group execute, and the organisation of liquidity risk management.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6.2 System of internal limits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On the basis of internal criteria and market data, and having regard for the risk </w:t>
      </w:r>
      <w:r w:rsidR="00912BE8">
        <w:rPr>
          <w:noProof/>
          <w:lang w:val="en-GB"/>
        </w:rPr>
        <w:t>appetite</w:t>
      </w:r>
      <w:r>
        <w:rPr>
          <w:noProof/>
          <w:lang w:val="en-GB"/>
        </w:rPr>
        <w:t xml:space="preserve"> referred to in point 8 of the second paragraph of Article 3 of this regulation, a bank shall put in place a system of internal limits that facilitates the monitoring, management and control of liquidity risk. Within the framework of the system of internal limits the bank shall define:</w:t>
      </w:r>
    </w:p>
    <w:p w:rsidR="00823BAB" w:rsidRPr="00823BAB" w:rsidRDefault="00823BAB" w:rsidP="00823BAB">
      <w:pPr>
        <w:tabs>
          <w:tab w:val="left" w:pos="0"/>
        </w:tabs>
        <w:ind w:firstLine="360"/>
        <w:jc w:val="both"/>
        <w:rPr>
          <w:noProof/>
        </w:rPr>
      </w:pPr>
      <w:r>
        <w:rPr>
          <w:noProof/>
          <w:lang w:val="en-GB"/>
        </w:rPr>
        <w:t>1. the risk limits referred to in point 9 of the second paragraph of Article 3 of this regulation, whereby it shall take account of all significant factors of liquidity risk, including liquidity gaps, currency mismatching, sources of funding, off-balance-sheet liabilities, the composition and attributes of the banking group, and intraday liquidity;</w:t>
      </w:r>
    </w:p>
    <w:p w:rsidR="00823BAB" w:rsidRPr="00823BAB" w:rsidRDefault="00823BAB" w:rsidP="00823BAB">
      <w:pPr>
        <w:tabs>
          <w:tab w:val="left" w:pos="0"/>
        </w:tabs>
        <w:ind w:firstLine="360"/>
        <w:jc w:val="both"/>
        <w:rPr>
          <w:noProof/>
        </w:rPr>
      </w:pPr>
      <w:r>
        <w:rPr>
          <w:noProof/>
          <w:lang w:val="en-GB"/>
        </w:rPr>
        <w:t>2. qualitative and quantitative early warning indicators for the identification of negative trends that increase the bank’s exposure to liquidity risk.</w:t>
      </w:r>
      <w:r>
        <w:rPr>
          <w:noProof/>
          <w:highlight w:val="yellow"/>
          <w:lang w:val="en-GB"/>
        </w:rPr>
        <w:t xml:space="preserve"> </w:t>
      </w:r>
    </w:p>
    <w:p w:rsidR="00823BAB" w:rsidRPr="00823BAB" w:rsidRDefault="00823BAB" w:rsidP="00823BAB">
      <w:pPr>
        <w:pStyle w:val="Odstavekseznama"/>
        <w:tabs>
          <w:tab w:val="left" w:pos="426"/>
        </w:tabs>
        <w:jc w:val="right"/>
        <w:rPr>
          <w:noProof/>
        </w:rPr>
      </w:pPr>
    </w:p>
    <w:p w:rsidR="00823BAB" w:rsidRPr="00823BAB" w:rsidRDefault="00823BAB" w:rsidP="00823BAB">
      <w:pPr>
        <w:ind w:firstLine="360"/>
        <w:jc w:val="both"/>
        <w:rPr>
          <w:noProof/>
        </w:rPr>
      </w:pPr>
      <w:r>
        <w:rPr>
          <w:noProof/>
          <w:lang w:val="en-GB"/>
        </w:rPr>
        <w:t>(2) The bank shall ensure that in defining the limits and early warning indicators it takes appropriate account of the findings on the basis of the liquidity management scenarios referred to in Section 7.1.</w:t>
      </w:r>
    </w:p>
    <w:p w:rsidR="00823BAB" w:rsidRPr="00823BAB" w:rsidRDefault="00823BAB" w:rsidP="00823BAB">
      <w:pPr>
        <w:pStyle w:val="Odstavekseznama"/>
        <w:jc w:val="right"/>
        <w:rPr>
          <w:noProof/>
        </w:rPr>
      </w:pPr>
    </w:p>
    <w:p w:rsidR="00823BAB" w:rsidRPr="00823BAB" w:rsidRDefault="00823BAB" w:rsidP="00823BAB">
      <w:pPr>
        <w:ind w:firstLine="360"/>
        <w:jc w:val="both"/>
        <w:rPr>
          <w:noProof/>
        </w:rPr>
      </w:pPr>
      <w:r>
        <w:rPr>
          <w:noProof/>
          <w:lang w:val="en-GB"/>
        </w:rPr>
        <w:t xml:space="preserve">(3) The bank shall put in place procedures for taking measures and notifying the management board and the senior management in the event of the limits being transgressed or the early warning indicators being met.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6.3 Diversification of funding</w:t>
      </w:r>
    </w:p>
    <w:p w:rsidR="00823BAB" w:rsidRPr="00823BAB" w:rsidRDefault="00823BAB" w:rsidP="00823BAB">
      <w:pPr>
        <w:rPr>
          <w:b/>
          <w:noProof/>
        </w:rPr>
      </w:pPr>
    </w:p>
    <w:p w:rsidR="00823BAB" w:rsidRPr="00823BAB" w:rsidRDefault="00823BAB" w:rsidP="00823BAB">
      <w:pPr>
        <w:ind w:firstLine="360"/>
        <w:jc w:val="both"/>
        <w:rPr>
          <w:noProof/>
        </w:rPr>
      </w:pPr>
      <w:r>
        <w:rPr>
          <w:noProof/>
          <w:lang w:val="en-GB"/>
        </w:rPr>
        <w:t xml:space="preserve">A bank shall implement a prudent long-term funding plan that provides for a clear overview of the risks inherent in the maturity transformation of funding. To ensure a diverse funding structure and access to funding, the bank shall define potential concentrations of funding and shall put in place procedures for their monitoring. In so doing the bank shall take account of concentrations in connection with: </w:t>
      </w:r>
    </w:p>
    <w:p w:rsidR="00823BAB" w:rsidRPr="00823BAB" w:rsidRDefault="00823BAB" w:rsidP="00823BAB">
      <w:pPr>
        <w:ind w:left="360"/>
        <w:jc w:val="both"/>
        <w:rPr>
          <w:noProof/>
        </w:rPr>
      </w:pPr>
      <w:r>
        <w:rPr>
          <w:noProof/>
          <w:lang w:val="en-GB"/>
        </w:rPr>
        <w:t>1. the entities providing funding;</w:t>
      </w:r>
    </w:p>
    <w:p w:rsidR="00823BAB" w:rsidRPr="00823BAB" w:rsidRDefault="00823BAB" w:rsidP="00823BAB">
      <w:pPr>
        <w:ind w:left="360"/>
        <w:jc w:val="both"/>
        <w:rPr>
          <w:noProof/>
        </w:rPr>
      </w:pPr>
      <w:r>
        <w:rPr>
          <w:noProof/>
          <w:lang w:val="en-GB"/>
        </w:rPr>
        <w:t>2. the manner of funding (unsecured, secured);</w:t>
      </w:r>
    </w:p>
    <w:p w:rsidR="00823BAB" w:rsidRPr="00823BAB" w:rsidRDefault="00823BAB" w:rsidP="00823BAB">
      <w:pPr>
        <w:ind w:left="360"/>
        <w:jc w:val="both"/>
        <w:rPr>
          <w:noProof/>
        </w:rPr>
      </w:pPr>
      <w:r>
        <w:rPr>
          <w:noProof/>
          <w:lang w:val="en-GB"/>
        </w:rPr>
        <w:t xml:space="preserve">3. the markets and products that are the source of funding; </w:t>
      </w:r>
    </w:p>
    <w:p w:rsidR="00823BAB" w:rsidRPr="00823BAB" w:rsidRDefault="00823BAB" w:rsidP="00823BAB">
      <w:pPr>
        <w:ind w:left="360"/>
        <w:jc w:val="both"/>
        <w:rPr>
          <w:noProof/>
        </w:rPr>
      </w:pPr>
      <w:r>
        <w:rPr>
          <w:noProof/>
          <w:lang w:val="en-GB"/>
        </w:rPr>
        <w:t>4. the geographical location, currency and maturity of funding.</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6.4 Netting agreements</w:t>
      </w:r>
    </w:p>
    <w:p w:rsidR="00823BAB" w:rsidRPr="00823BAB" w:rsidRDefault="00823BAB" w:rsidP="00823BAB">
      <w:pPr>
        <w:rPr>
          <w:noProof/>
        </w:rPr>
      </w:pPr>
    </w:p>
    <w:p w:rsidR="00823BAB" w:rsidRPr="00823BAB" w:rsidRDefault="00823BAB" w:rsidP="00823BAB">
      <w:pPr>
        <w:ind w:firstLine="360"/>
        <w:jc w:val="both"/>
        <w:rPr>
          <w:noProof/>
        </w:rPr>
      </w:pPr>
      <w:r>
        <w:rPr>
          <w:noProof/>
          <w:lang w:val="en-GB"/>
        </w:rPr>
        <w:t xml:space="preserve">As a result of the establishment of a single claim or a single liability on the basis of the mutual claims and liabilities that are subject to netting, netting agreements act to reduce liquidity needs and consequently to mitigate liquidity risk. In assessing the impact of netting agreements on the mitigation of liquidity risk, a bank shall take account of all legal and operational factors in connection with such agreements. </w:t>
      </w:r>
    </w:p>
    <w:p w:rsidR="00823BAB" w:rsidRPr="00823BAB" w:rsidRDefault="00823BAB" w:rsidP="00823BAB">
      <w:pPr>
        <w:ind w:firstLine="360"/>
        <w:jc w:val="both"/>
        <w:rPr>
          <w:noProof/>
        </w:rPr>
      </w:pPr>
    </w:p>
    <w:p w:rsidR="00823BAB" w:rsidRPr="00823BAB" w:rsidRDefault="00823BAB" w:rsidP="00823BAB">
      <w:pPr>
        <w:jc w:val="right"/>
        <w:rPr>
          <w:noProof/>
        </w:rPr>
      </w:pPr>
    </w:p>
    <w:p w:rsidR="00823BAB" w:rsidRPr="00823BAB" w:rsidRDefault="00823BAB" w:rsidP="00823BAB">
      <w:pPr>
        <w:pStyle w:val="Odstavek"/>
        <w:spacing w:before="0"/>
        <w:jc w:val="center"/>
        <w:rPr>
          <w:b/>
          <w:noProof/>
        </w:rPr>
      </w:pPr>
      <w:r>
        <w:rPr>
          <w:b/>
          <w:bCs/>
          <w:noProof/>
          <w:lang w:val="en-GB"/>
        </w:rPr>
        <w:t>7. Measures to prevent or eliminate causes of liquidity shortfalls</w:t>
      </w:r>
    </w:p>
    <w:p w:rsidR="00823BAB" w:rsidRPr="00823BAB" w:rsidRDefault="00823BAB" w:rsidP="00823BAB">
      <w:pPr>
        <w:pStyle w:val="Odstavek"/>
        <w:spacing w:before="0"/>
        <w:rPr>
          <w:b/>
          <w:noProof/>
        </w:rPr>
      </w:pPr>
    </w:p>
    <w:p w:rsidR="00823BAB" w:rsidRPr="00823BAB" w:rsidRDefault="00823BAB" w:rsidP="00823BAB">
      <w:pPr>
        <w:ind w:firstLine="360"/>
        <w:jc w:val="both"/>
        <w:rPr>
          <w:noProof/>
        </w:rPr>
      </w:pPr>
      <w:r>
        <w:rPr>
          <w:noProof/>
          <w:lang w:val="en-GB"/>
        </w:rPr>
        <w:t>A bank shall define measures to prevent or eliminate the causes of liquidity shortfalls, including a definition of:</w:t>
      </w:r>
    </w:p>
    <w:p w:rsidR="00823BAB" w:rsidRPr="00823BAB" w:rsidRDefault="00823BAB" w:rsidP="00823BAB">
      <w:pPr>
        <w:ind w:firstLine="360"/>
        <w:jc w:val="both"/>
        <w:rPr>
          <w:noProof/>
        </w:rPr>
      </w:pPr>
      <w:r>
        <w:rPr>
          <w:noProof/>
          <w:lang w:val="en-GB"/>
        </w:rPr>
        <w:t>1. various liquidity management scenarios;</w:t>
      </w:r>
    </w:p>
    <w:p w:rsidR="00823BAB" w:rsidRPr="00823BAB" w:rsidRDefault="00823BAB" w:rsidP="00823BAB">
      <w:pPr>
        <w:ind w:firstLine="360"/>
        <w:jc w:val="left"/>
        <w:rPr>
          <w:noProof/>
        </w:rPr>
      </w:pPr>
      <w:r>
        <w:rPr>
          <w:noProof/>
          <w:lang w:val="en-GB"/>
        </w:rPr>
        <w:t>2. a liquidity recovery plan for dealing with any liquidity shortfalls.</w:t>
      </w:r>
    </w:p>
    <w:p w:rsidR="00823BAB" w:rsidRPr="00823BAB" w:rsidRDefault="00823BAB" w:rsidP="00823BAB">
      <w:pPr>
        <w:ind w:firstLine="360"/>
        <w:jc w:val="left"/>
        <w:rPr>
          <w:noProof/>
        </w:rPr>
      </w:pPr>
    </w:p>
    <w:p w:rsidR="00823BAB" w:rsidRPr="00823BAB" w:rsidRDefault="00823BAB" w:rsidP="00823BAB">
      <w:pPr>
        <w:ind w:left="360"/>
        <w:jc w:val="both"/>
        <w:rPr>
          <w:noProof/>
        </w:rPr>
      </w:pPr>
    </w:p>
    <w:p w:rsidR="00823BAB" w:rsidRPr="00823BAB" w:rsidRDefault="00823BAB" w:rsidP="00823BAB">
      <w:pPr>
        <w:rPr>
          <w:b/>
          <w:noProof/>
        </w:rPr>
      </w:pPr>
      <w:r>
        <w:rPr>
          <w:b/>
          <w:bCs/>
          <w:noProof/>
          <w:lang w:val="en-GB"/>
        </w:rPr>
        <w:t>7.1 Liquidity management scenarios</w:t>
      </w:r>
    </w:p>
    <w:p w:rsidR="00823BAB" w:rsidRPr="00823BAB" w:rsidRDefault="00823BAB" w:rsidP="00823BAB">
      <w:pPr>
        <w:jc w:val="both"/>
        <w:rPr>
          <w:noProof/>
          <w:u w:val="single"/>
        </w:rPr>
      </w:pPr>
    </w:p>
    <w:p w:rsidR="00823BAB" w:rsidRPr="00823BAB" w:rsidRDefault="00823BAB" w:rsidP="00823BAB">
      <w:pPr>
        <w:ind w:firstLine="360"/>
        <w:jc w:val="both"/>
        <w:rPr>
          <w:noProof/>
        </w:rPr>
      </w:pPr>
      <w:r>
        <w:rPr>
          <w:noProof/>
          <w:lang w:val="en-GB"/>
        </w:rPr>
        <w:t xml:space="preserve">(1) A bank shall take account of various liquidity management scenarios on the basis of the normal course of operations (baseline scenario) and emergency liquidity conditions (stress scenarios). These scenarios shall also take account of the effect of off-balance sheet items and other contingent liabilities, including liabilities from relations with securitisation special purpose entities and other special purpose entities where the bank acts as sponsor or provides material liquidity support. </w:t>
      </w:r>
    </w:p>
    <w:p w:rsidR="00823BAB" w:rsidRPr="00823BAB" w:rsidRDefault="00823BAB" w:rsidP="00823BAB">
      <w:pPr>
        <w:jc w:val="right"/>
        <w:rPr>
          <w:noProof/>
        </w:rPr>
      </w:pPr>
    </w:p>
    <w:p w:rsidR="00823BAB" w:rsidRPr="00823BAB" w:rsidRDefault="00823BAB" w:rsidP="00823BAB">
      <w:pPr>
        <w:ind w:firstLine="360"/>
        <w:jc w:val="both"/>
        <w:rPr>
          <w:noProof/>
        </w:rPr>
      </w:pPr>
      <w:r>
        <w:rPr>
          <w:noProof/>
          <w:lang w:val="en-GB"/>
        </w:rPr>
        <w:t xml:space="preserve">(2) The stress scenarios shall be based on various levels of severity and different lengths for the period of emergency liquidity conditions, and shall encompass: </w:t>
      </w:r>
    </w:p>
    <w:p w:rsidR="00823BAB" w:rsidRPr="00823BAB" w:rsidRDefault="00823BAB" w:rsidP="00823BAB">
      <w:pPr>
        <w:ind w:firstLine="360"/>
        <w:jc w:val="both"/>
        <w:rPr>
          <w:noProof/>
        </w:rPr>
      </w:pPr>
      <w:r>
        <w:rPr>
          <w:noProof/>
          <w:lang w:val="en-GB"/>
        </w:rPr>
        <w:t xml:space="preserve">1. a scenario tailored to the bank’s own liquidity position (the idiosyncratic scenario), which </w:t>
      </w:r>
      <w:r>
        <w:rPr>
          <w:i/>
          <w:iCs/>
          <w:noProof/>
          <w:lang w:val="en-GB"/>
        </w:rPr>
        <w:t xml:space="preserve">inter alia </w:t>
      </w:r>
      <w:r>
        <w:rPr>
          <w:noProof/>
          <w:lang w:val="en-GB"/>
        </w:rPr>
        <w:t>assumes a deterioration in the external credit assessment, the loss of renewable major sources of liquidity (e.g. institutional investors, large enterprises) without the provision of collateral by the bank, and a decline in retail deposits;</w:t>
      </w:r>
    </w:p>
    <w:p w:rsidR="00823BAB" w:rsidRPr="00823BAB" w:rsidRDefault="00823BAB" w:rsidP="00823BAB">
      <w:pPr>
        <w:ind w:firstLine="360"/>
        <w:jc w:val="both"/>
        <w:rPr>
          <w:noProof/>
        </w:rPr>
      </w:pPr>
      <w:r>
        <w:rPr>
          <w:noProof/>
          <w:lang w:val="en-GB"/>
        </w:rPr>
        <w:t xml:space="preserve">2. a scenario conditioned by the situation on the market (a market scenario), which </w:t>
      </w:r>
      <w:r>
        <w:rPr>
          <w:i/>
          <w:iCs/>
          <w:noProof/>
          <w:lang w:val="en-GB"/>
        </w:rPr>
        <w:t>inter alia</w:t>
      </w:r>
      <w:r>
        <w:rPr>
          <w:noProof/>
          <w:lang w:val="en-GB"/>
        </w:rPr>
        <w:t xml:space="preserve"> assumes a decline in the liquidity of assets and a deterioration in the terms for obtaining liquidity on the market; </w:t>
      </w:r>
    </w:p>
    <w:p w:rsidR="00823BAB" w:rsidRPr="00823BAB" w:rsidRDefault="00823BAB" w:rsidP="00823BAB">
      <w:pPr>
        <w:ind w:firstLine="360"/>
        <w:jc w:val="both"/>
        <w:rPr>
          <w:noProof/>
        </w:rPr>
      </w:pPr>
      <w:r>
        <w:rPr>
          <w:noProof/>
          <w:lang w:val="en-GB"/>
        </w:rPr>
        <w:t xml:space="preserve">3. scenarios based on a combination of the two scenarios referred to in points 1 and 2 of this paragraph. </w:t>
      </w:r>
    </w:p>
    <w:p w:rsidR="00823BAB" w:rsidRPr="00823BAB" w:rsidRDefault="00823BAB" w:rsidP="00823BAB">
      <w:pPr>
        <w:jc w:val="right"/>
        <w:rPr>
          <w:noProof/>
        </w:rPr>
      </w:pPr>
    </w:p>
    <w:p w:rsidR="00823BAB" w:rsidRPr="00823BAB" w:rsidRDefault="00823BAB" w:rsidP="00823BAB">
      <w:pPr>
        <w:jc w:val="right"/>
        <w:rPr>
          <w:noProof/>
        </w:rPr>
      </w:pPr>
    </w:p>
    <w:p w:rsidR="00823BAB" w:rsidRPr="00823BAB" w:rsidRDefault="00823BAB" w:rsidP="00823BAB">
      <w:pPr>
        <w:rPr>
          <w:b/>
          <w:noProof/>
        </w:rPr>
      </w:pPr>
      <w:r>
        <w:rPr>
          <w:b/>
          <w:bCs/>
          <w:noProof/>
          <w:lang w:val="en-GB"/>
        </w:rPr>
        <w:t>7.2 Liquidity recovery plan</w:t>
      </w:r>
    </w:p>
    <w:p w:rsidR="00823BAB" w:rsidRPr="00823BAB" w:rsidRDefault="00823BAB" w:rsidP="00823BAB">
      <w:pPr>
        <w:jc w:val="both"/>
        <w:rPr>
          <w:noProof/>
          <w:u w:val="single"/>
        </w:rPr>
      </w:pPr>
    </w:p>
    <w:p w:rsidR="00823BAB" w:rsidRPr="00823BAB" w:rsidRDefault="00823BAB" w:rsidP="00823BAB">
      <w:pPr>
        <w:ind w:firstLine="360"/>
        <w:jc w:val="both"/>
        <w:rPr>
          <w:noProof/>
        </w:rPr>
      </w:pPr>
      <w:r>
        <w:rPr>
          <w:noProof/>
          <w:lang w:val="en-GB"/>
        </w:rPr>
        <w:t xml:space="preserve">(1) A bank shall take account of the findings on the basis of the liquidity management scenarios set out in Section 7.1 in the preparation of a liquidity recovery plan, which shall set out effective strategies for preventing and eliminating the causes of liquidity shortfalls, including appropriate measures for bridging and limiting the impact of liquidity shortfalls and restoring the bank’s normal liquidity position.  </w:t>
      </w:r>
    </w:p>
    <w:p w:rsidR="00823BAB" w:rsidRPr="00823BAB" w:rsidRDefault="00823BAB" w:rsidP="00823BAB">
      <w:pPr>
        <w:jc w:val="right"/>
        <w:rPr>
          <w:noProof/>
        </w:rPr>
      </w:pPr>
    </w:p>
    <w:p w:rsidR="00823BAB" w:rsidRPr="00823BAB" w:rsidRDefault="00823BAB" w:rsidP="00823BAB">
      <w:pPr>
        <w:ind w:firstLine="360"/>
        <w:jc w:val="both"/>
        <w:rPr>
          <w:noProof/>
        </w:rPr>
      </w:pPr>
      <w:r>
        <w:rPr>
          <w:noProof/>
          <w:lang w:val="en-GB"/>
        </w:rPr>
        <w:t xml:space="preserve">(2) In testing the liquidity recovery plan the bank shall focus in particular on the elimination of legal and operational limitations to the effective action of the plan, and on the preparation of other entities outside the bank that are included in the implementation of the plan. </w:t>
      </w:r>
    </w:p>
    <w:p w:rsidR="00823BAB" w:rsidRPr="00823BAB" w:rsidRDefault="00823BAB" w:rsidP="00823BAB">
      <w:pPr>
        <w:jc w:val="right"/>
        <w:rPr>
          <w:noProof/>
        </w:rPr>
      </w:pPr>
      <w:r>
        <w:rPr>
          <w:noProof/>
          <w:lang w:val="en-GB"/>
        </w:rPr>
        <w:t xml:space="preserve"> </w:t>
      </w:r>
    </w:p>
    <w:p w:rsidR="00823BAB" w:rsidRPr="00823BAB" w:rsidRDefault="00823BAB" w:rsidP="00823BAB">
      <w:pPr>
        <w:ind w:firstLine="360"/>
        <w:jc w:val="both"/>
        <w:rPr>
          <w:noProof/>
        </w:rPr>
      </w:pPr>
      <w:r>
        <w:rPr>
          <w:noProof/>
          <w:lang w:val="en-GB"/>
        </w:rPr>
        <w:t>(3) The liquidity recovery plan shall include the following at least:</w:t>
      </w:r>
    </w:p>
    <w:p w:rsidR="00823BAB" w:rsidRPr="00823BAB" w:rsidRDefault="00823BAB" w:rsidP="00823BAB">
      <w:pPr>
        <w:pStyle w:val="Odstavekseznama"/>
        <w:numPr>
          <w:ilvl w:val="0"/>
          <w:numId w:val="19"/>
        </w:numPr>
        <w:ind w:left="0" w:firstLine="360"/>
        <w:jc w:val="both"/>
        <w:rPr>
          <w:noProof/>
        </w:rPr>
      </w:pPr>
      <w:r>
        <w:rPr>
          <w:noProof/>
          <w:lang w:val="en-GB"/>
        </w:rPr>
        <w:t>early warning procedures for identifying liquidity shortfalls with a toolkit of liquidity indicators and other indicators by means of which the bank promptly recognises potential liquidity difficulties, and a list of situations when the action in cases of liquidity shortfalls is applied;</w:t>
      </w:r>
    </w:p>
    <w:p w:rsidR="00823BAB" w:rsidRPr="00823BAB" w:rsidRDefault="00823BAB" w:rsidP="00823BAB">
      <w:pPr>
        <w:pStyle w:val="Odstavekseznama"/>
        <w:numPr>
          <w:ilvl w:val="0"/>
          <w:numId w:val="19"/>
        </w:numPr>
        <w:ind w:left="0" w:firstLine="360"/>
        <w:jc w:val="both"/>
        <w:rPr>
          <w:noProof/>
        </w:rPr>
      </w:pPr>
      <w:r>
        <w:rPr>
          <w:noProof/>
          <w:lang w:val="en-GB"/>
        </w:rPr>
        <w:t>a definition of available and potential sources of liquidity, on both asset and liability sides, by means of which the bank can meet additional liquidity needs;</w:t>
      </w:r>
    </w:p>
    <w:p w:rsidR="00823BAB" w:rsidRPr="00823BAB" w:rsidRDefault="00823BAB" w:rsidP="00823BAB">
      <w:pPr>
        <w:pStyle w:val="Odstavekseznama"/>
        <w:numPr>
          <w:ilvl w:val="0"/>
          <w:numId w:val="19"/>
        </w:numPr>
        <w:ind w:left="0" w:firstLine="360"/>
        <w:jc w:val="both"/>
        <w:rPr>
          <w:noProof/>
        </w:rPr>
      </w:pPr>
      <w:r>
        <w:rPr>
          <w:noProof/>
          <w:lang w:val="en-GB"/>
        </w:rPr>
        <w:t xml:space="preserve">a description of the possibility of accessing available or potential sources of liquidity, and a toolkit of procedures ensuring access to reserve sources of liquidity or sources not used in the bank’s normal operation as a going concern. These measures also include the availability of eligible collateral for central bank claims (as necessary, also in the currency of another Member State or a third country to which the bank is exposed, and when this is required for operations in the Member State or third country in question); </w:t>
      </w:r>
    </w:p>
    <w:p w:rsidR="00823BAB" w:rsidRPr="00823BAB" w:rsidRDefault="00823BAB" w:rsidP="00823BAB">
      <w:pPr>
        <w:pStyle w:val="Odstavekseznama"/>
        <w:numPr>
          <w:ilvl w:val="0"/>
          <w:numId w:val="19"/>
        </w:numPr>
        <w:ind w:left="0" w:firstLine="360"/>
        <w:jc w:val="both"/>
        <w:rPr>
          <w:noProof/>
        </w:rPr>
      </w:pPr>
      <w:r>
        <w:rPr>
          <w:noProof/>
          <w:lang w:val="en-GB"/>
        </w:rPr>
        <w:t xml:space="preserve">a strategy for addressing asset encumbrance in stress conditions including a downgrade in the bank’s credit assessment, the devaluation of pledged assets, and increases in margin requirements; </w:t>
      </w:r>
    </w:p>
    <w:p w:rsidR="00823BAB" w:rsidRPr="00823BAB" w:rsidRDefault="00823BAB" w:rsidP="00823BAB">
      <w:pPr>
        <w:pStyle w:val="Odstavekseznama"/>
        <w:numPr>
          <w:ilvl w:val="0"/>
          <w:numId w:val="20"/>
        </w:numPr>
        <w:ind w:left="0" w:firstLine="360"/>
        <w:jc w:val="both"/>
        <w:rPr>
          <w:noProof/>
        </w:rPr>
      </w:pPr>
      <w:r>
        <w:rPr>
          <w:noProof/>
          <w:lang w:val="en-GB"/>
        </w:rPr>
        <w:t>clearly defined powers and duties of employees for action in the event of liquidity shortfalls, including a description of the reporting procedures at each managerial level and procedures for ensuring the timely flow of information;</w:t>
      </w:r>
    </w:p>
    <w:p w:rsidR="00823BAB" w:rsidRPr="00823BAB" w:rsidRDefault="00823BAB" w:rsidP="00823BAB">
      <w:pPr>
        <w:pStyle w:val="Odstavekseznama"/>
        <w:numPr>
          <w:ilvl w:val="0"/>
          <w:numId w:val="20"/>
        </w:numPr>
        <w:ind w:left="0" w:firstLine="360"/>
        <w:jc w:val="both"/>
        <w:rPr>
          <w:noProof/>
        </w:rPr>
      </w:pPr>
      <w:r>
        <w:rPr>
          <w:noProof/>
          <w:lang w:val="en-GB"/>
        </w:rPr>
        <w:t>the preparation of special reporting with data, indicators and other information that are key to taking action in the event of liquidity shortfalls, and to providing information within the bank;</w:t>
      </w:r>
    </w:p>
    <w:p w:rsidR="00823BAB" w:rsidRPr="00823BAB" w:rsidRDefault="00823BAB" w:rsidP="00823BAB">
      <w:pPr>
        <w:pStyle w:val="Odstavekseznama"/>
        <w:numPr>
          <w:ilvl w:val="0"/>
          <w:numId w:val="20"/>
        </w:numPr>
        <w:ind w:left="0" w:firstLine="349"/>
        <w:jc w:val="both"/>
        <w:rPr>
          <w:noProof/>
        </w:rPr>
      </w:pPr>
      <w:r>
        <w:rPr>
          <w:noProof/>
          <w:lang w:val="en-GB"/>
        </w:rPr>
        <w:t>details of the manner of notification of the Bank of Slovenia with regard to the causes of threats to liquidity and the planned activities for their elimination;</w:t>
      </w:r>
    </w:p>
    <w:p w:rsidR="00823BAB" w:rsidRPr="00823BAB" w:rsidRDefault="00823BAB" w:rsidP="00823BAB">
      <w:pPr>
        <w:pStyle w:val="Odstavekseznama"/>
        <w:numPr>
          <w:ilvl w:val="0"/>
          <w:numId w:val="20"/>
        </w:numPr>
        <w:ind w:left="0" w:firstLine="360"/>
        <w:jc w:val="both"/>
        <w:rPr>
          <w:noProof/>
        </w:rPr>
      </w:pPr>
      <w:r>
        <w:rPr>
          <w:noProof/>
          <w:lang w:val="en-GB"/>
        </w:rPr>
        <w:t xml:space="preserve">a description of the procedures for dealing with the bank’s other stakeholders, such as counterparties in transactions, auditors, and the media. </w:t>
      </w:r>
    </w:p>
    <w:p w:rsidR="00823BAB" w:rsidRPr="00823BAB" w:rsidRDefault="00823BAB" w:rsidP="00823BAB">
      <w:pPr>
        <w:rPr>
          <w:noProof/>
        </w:rPr>
      </w:pPr>
      <w:r>
        <w:rPr>
          <w:noProof/>
          <w:lang w:val="en-GB"/>
        </w:rPr>
        <w:br w:type="page"/>
      </w:r>
    </w:p>
    <w:p w:rsidR="00823BAB" w:rsidRPr="00823BAB" w:rsidRDefault="00823BAB" w:rsidP="00823BAB">
      <w:pPr>
        <w:jc w:val="both"/>
        <w:rPr>
          <w:noProof/>
        </w:rPr>
      </w:pPr>
      <w:r>
        <w:rPr>
          <w:b/>
          <w:bCs/>
          <w:noProof/>
          <w:lang w:val="en-GB"/>
        </w:rPr>
        <w:t xml:space="preserve">Appendix 3: </w:t>
      </w:r>
      <w:r>
        <w:rPr>
          <w:noProof/>
          <w:lang w:val="en-GB"/>
        </w:rPr>
        <w:t>Operational risk</w:t>
      </w:r>
    </w:p>
    <w:p w:rsidR="00823BAB" w:rsidRPr="00823BAB" w:rsidRDefault="00823BAB" w:rsidP="00823BAB">
      <w:pPr>
        <w:jc w:val="both"/>
        <w:rPr>
          <w:b/>
          <w:noProof/>
        </w:rPr>
      </w:pPr>
    </w:p>
    <w:p w:rsidR="00823BAB" w:rsidRPr="00823BAB" w:rsidRDefault="00823BAB" w:rsidP="00823BAB">
      <w:pPr>
        <w:ind w:left="360"/>
        <w:rPr>
          <w:b/>
          <w:noProof/>
        </w:rPr>
      </w:pPr>
      <w:r>
        <w:rPr>
          <w:b/>
          <w:bCs/>
          <w:noProof/>
          <w:lang w:val="en-GB"/>
        </w:rPr>
        <w:t>1. Subject of regulation</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This appendix defines the additional requirements with regard to operational risk management to be met by a bank in connection with:</w:t>
      </w:r>
    </w:p>
    <w:p w:rsidR="00823BAB" w:rsidRPr="00823BAB" w:rsidRDefault="00823BAB" w:rsidP="00823BAB">
      <w:pPr>
        <w:ind w:firstLine="360"/>
        <w:jc w:val="both"/>
        <w:rPr>
          <w:noProof/>
        </w:rPr>
      </w:pPr>
      <w:r>
        <w:rPr>
          <w:noProof/>
          <w:lang w:val="en-GB"/>
        </w:rPr>
        <w:t>1. policies and processes of operational risk management, including model risk referred to in Article 161 of the ZBan-2;</w:t>
      </w:r>
    </w:p>
    <w:p w:rsidR="00823BAB" w:rsidRPr="00823BAB" w:rsidRDefault="00823BAB" w:rsidP="00823BAB">
      <w:pPr>
        <w:ind w:firstLine="360"/>
        <w:jc w:val="both"/>
        <w:rPr>
          <w:noProof/>
        </w:rPr>
      </w:pPr>
      <w:r>
        <w:rPr>
          <w:noProof/>
          <w:lang w:val="en-GB"/>
        </w:rPr>
        <w:t>2. business continuity plans referred to in Article 162 of the ZBan-2.</w:t>
      </w:r>
    </w:p>
    <w:p w:rsidR="00823BAB" w:rsidRPr="00823BAB" w:rsidRDefault="00823BAB" w:rsidP="00823BAB">
      <w:pPr>
        <w:jc w:val="both"/>
        <w:rPr>
          <w:b/>
          <w:noProof/>
        </w:rPr>
      </w:pPr>
    </w:p>
    <w:p w:rsidR="00823BAB" w:rsidRPr="00823BAB" w:rsidRDefault="00823BAB" w:rsidP="00823BAB">
      <w:pPr>
        <w:jc w:val="both"/>
        <w:rPr>
          <w:b/>
          <w:noProof/>
        </w:rPr>
      </w:pPr>
    </w:p>
    <w:p w:rsidR="00823BAB" w:rsidRPr="00823BAB" w:rsidRDefault="00823BAB" w:rsidP="00823BAB">
      <w:pPr>
        <w:rPr>
          <w:b/>
          <w:noProof/>
        </w:rPr>
      </w:pPr>
      <w:r>
        <w:rPr>
          <w:b/>
          <w:bCs/>
          <w:noProof/>
          <w:lang w:val="en-GB"/>
        </w:rPr>
        <w:t>2. Policies and processes of operational risk management</w:t>
      </w:r>
    </w:p>
    <w:p w:rsidR="00823BAB" w:rsidRPr="00823BAB" w:rsidRDefault="00823BAB" w:rsidP="00823BAB">
      <w:pPr>
        <w:jc w:val="both"/>
        <w:rPr>
          <w:b/>
          <w:noProof/>
        </w:rPr>
      </w:pPr>
    </w:p>
    <w:p w:rsidR="00823BAB" w:rsidRPr="00823BAB" w:rsidRDefault="00823BAB" w:rsidP="00823BAB">
      <w:pPr>
        <w:rPr>
          <w:b/>
          <w:noProof/>
        </w:rPr>
      </w:pPr>
      <w:r>
        <w:rPr>
          <w:b/>
          <w:bCs/>
          <w:noProof/>
          <w:lang w:val="en-GB"/>
        </w:rPr>
        <w:t>2.1 Internal definition of operational risk</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(1) The policies and processes of operational risk management shall ensure that the factors of operational risk referred to in Article 161 of the ZBan-2 (hereinafter: the bank’s internal definition of operational risk) take account of the definition of operational risk set out in point (52) of the first paragraph of Article 4 of Regulation (EU) No 575/2013. A bank shall ensure that the definition of these factors, including rare developments that generate significant consequences for the bank (hereinafter: significant operational risk loss), reflects:</w:t>
      </w:r>
    </w:p>
    <w:p w:rsidR="00823BAB" w:rsidRPr="00823BAB" w:rsidRDefault="00823BAB" w:rsidP="00823BAB">
      <w:pPr>
        <w:ind w:firstLine="360"/>
        <w:jc w:val="both"/>
        <w:rPr>
          <w:noProof/>
        </w:rPr>
      </w:pPr>
      <w:r>
        <w:rPr>
          <w:noProof/>
          <w:lang w:val="en-GB"/>
        </w:rPr>
        <w:t xml:space="preserve">1. the </w:t>
      </w:r>
      <w:r w:rsidR="003E2585">
        <w:rPr>
          <w:noProof/>
          <w:lang w:val="en-GB"/>
        </w:rPr>
        <w:t>Management body</w:t>
      </w:r>
      <w:r>
        <w:rPr>
          <w:noProof/>
          <w:lang w:val="en-GB"/>
        </w:rPr>
        <w:t>’s awareness of the significance of operational risk to the bank; and</w:t>
      </w:r>
    </w:p>
    <w:p w:rsidR="00823BAB" w:rsidRPr="00823BAB" w:rsidRDefault="00823BAB" w:rsidP="00823BAB">
      <w:pPr>
        <w:ind w:firstLine="360"/>
        <w:jc w:val="both"/>
        <w:rPr>
          <w:noProof/>
        </w:rPr>
      </w:pPr>
      <w:r>
        <w:rPr>
          <w:noProof/>
          <w:lang w:val="en-GB"/>
        </w:rPr>
        <w:t>2. the characteristics of the bank’s business, and its operational risk profile.</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A significant operational risk loss is a loss that has significant consequences for the bank’s financial position.</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Having regard for the internal definition of operational risk, the bank shall determine and define categories of operational risk by business lines and types of loss event referred to in Article 324 of Regulation (EU) No 575/2013 (hereinafter: operational risk categories), including criteria for allocating the bank’s data on operational risk to these categories. The bank’s data on operational risk shall include loss events and events that could almost have resulted in loss (hereinafter: loss events).</w:t>
      </w:r>
    </w:p>
    <w:p w:rsidR="00823BAB" w:rsidRPr="00823BAB" w:rsidRDefault="00823BAB" w:rsidP="00823BAB">
      <w:pPr>
        <w:jc w:val="both"/>
        <w:rPr>
          <w:noProof/>
        </w:rPr>
      </w:pPr>
    </w:p>
    <w:p w:rsidR="00823BAB" w:rsidRPr="00823BAB" w:rsidRDefault="00823BAB" w:rsidP="00823BAB">
      <w:pPr>
        <w:rPr>
          <w:b/>
          <w:noProof/>
        </w:rPr>
      </w:pPr>
      <w:r>
        <w:rPr>
          <w:b/>
          <w:bCs/>
          <w:noProof/>
          <w:lang w:val="en-GB"/>
        </w:rPr>
        <w:t>2.2 Collection of data on loss events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For the purpose of identifying and assessing operational risk, a bank shall provide for the collection of data on loss events into a loss events database that is provided with the appropriate technological support (hereinafter: loss events database), including criteria for the collection of this data. These criteria shall include a definition of:</w:t>
      </w:r>
    </w:p>
    <w:p w:rsidR="00823BAB" w:rsidRPr="00823BAB" w:rsidRDefault="00823BAB" w:rsidP="00823BAB">
      <w:pPr>
        <w:ind w:firstLine="360"/>
        <w:jc w:val="both"/>
        <w:rPr>
          <w:noProof/>
        </w:rPr>
      </w:pPr>
      <w:r>
        <w:rPr>
          <w:noProof/>
          <w:lang w:val="en-GB"/>
        </w:rPr>
        <w:t xml:space="preserve">1. data on the loss event, including the gross loss amount, the date of occurrence and the date of entry of the loss event, any reimbursements on the gross loss amount, descriptive information on the factors or causes of the loss event, and the categorisation of the loss event; </w:t>
      </w:r>
    </w:p>
    <w:p w:rsidR="00823BAB" w:rsidRPr="00823BAB" w:rsidRDefault="00823BAB" w:rsidP="00823BAB">
      <w:pPr>
        <w:ind w:firstLine="360"/>
        <w:jc w:val="both"/>
        <w:rPr>
          <w:noProof/>
        </w:rPr>
      </w:pPr>
      <w:r>
        <w:rPr>
          <w:noProof/>
          <w:lang w:val="en-GB"/>
        </w:rPr>
        <w:t>2. the lower limit of a loss for the purpose of inclusion in the loss events database.</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Having regard for the rules of custody, entry and revision of data in the loss events database, the bank shall ensure that each of its employees has the option of reporting a loss event to the loss events database.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(3) The bank shall ensure the regular alignment of data on loss events from the loss events database with accounting data with regard to the bank’s operational risk losses.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rPr>
          <w:b/>
          <w:noProof/>
        </w:rPr>
      </w:pPr>
      <w:r>
        <w:rPr>
          <w:b/>
          <w:bCs/>
          <w:noProof/>
          <w:lang w:val="en-GB"/>
        </w:rPr>
        <w:t>2.3 Significant operational risk loss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(1) A bank shall ensure that the risk policies referred to in Article 6 of this regulation include a policy for addressing loss events that could be reflected in a significant operational risk loss (hereinafter: significant loss). The policy shall include measures to prevent loss events of this type, and to rectify their consequences. </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(2) The bank shall provide for immediate analysis of the causes of a significant loss. The </w:t>
      </w:r>
      <w:r w:rsidR="003E2585">
        <w:rPr>
          <w:noProof/>
          <w:lang w:val="en-GB"/>
        </w:rPr>
        <w:t>Management body</w:t>
      </w:r>
      <w:r>
        <w:rPr>
          <w:noProof/>
          <w:lang w:val="en-GB"/>
        </w:rPr>
        <w:t xml:space="preserve">, the senior management and the heads of the internal control functions shall be informed of a significant operational risk loss. </w:t>
      </w:r>
    </w:p>
    <w:p w:rsidR="00823BAB" w:rsidRPr="00823BAB" w:rsidRDefault="00823BAB" w:rsidP="00823BAB">
      <w:pPr>
        <w:jc w:val="both"/>
        <w:rPr>
          <w:noProof/>
        </w:rPr>
      </w:pPr>
    </w:p>
    <w:p w:rsidR="00823BAB" w:rsidRPr="00823BAB" w:rsidRDefault="00823BAB" w:rsidP="00823BAB">
      <w:pPr>
        <w:rPr>
          <w:b/>
          <w:noProof/>
        </w:rPr>
      </w:pPr>
      <w:r>
        <w:rPr>
          <w:b/>
          <w:bCs/>
          <w:noProof/>
          <w:lang w:val="en-GB"/>
        </w:rPr>
        <w:t>3. Business continuity plan</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(1) A bank shall </w:t>
      </w:r>
      <w:r w:rsidR="002607F2">
        <w:rPr>
          <w:noProof/>
          <w:lang w:val="en-GB"/>
        </w:rPr>
        <w:t>establish and implement</w:t>
      </w:r>
      <w:r>
        <w:rPr>
          <w:noProof/>
          <w:lang w:val="en-GB"/>
        </w:rPr>
        <w:t xml:space="preserve"> business continuity plans and contingency plans for operations in severely disrupted business conditions. The business continuity plan shall include procedures to ensure business continuity in important processes and systems. The contingency plan is an integral part of the business continuity plan, and sets out the technical and organisational measures for restoring operations and mitigating the consequences of disruptions to business.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(2) In the event of severe disruptions to business, the business continuity plan shall ensure that auxiliary capacities for the continuity of business activities are available at the earliest possible juncture. In the event of severe disruptions to business, the contingency plan shall ensure the restoration of the normal functioning of the bank’s disrupted activities within an appropriate time horizon.</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 xml:space="preserve">(3) The business continuity plans and contingency plans shall </w:t>
      </w:r>
      <w:r>
        <w:rPr>
          <w:i/>
          <w:iCs/>
          <w:noProof/>
          <w:lang w:val="en-GB"/>
        </w:rPr>
        <w:t xml:space="preserve">inter alia </w:t>
      </w:r>
      <w:r>
        <w:rPr>
          <w:noProof/>
          <w:lang w:val="en-GB"/>
        </w:rPr>
        <w:t>set out:</w:t>
      </w:r>
    </w:p>
    <w:p w:rsidR="00823BAB" w:rsidRPr="00823BAB" w:rsidRDefault="00823BAB" w:rsidP="00823BAB">
      <w:pPr>
        <w:ind w:firstLine="426"/>
        <w:jc w:val="both"/>
        <w:rPr>
          <w:noProof/>
        </w:rPr>
      </w:pPr>
      <w:r>
        <w:rPr>
          <w:noProof/>
          <w:lang w:val="en-GB"/>
        </w:rPr>
        <w:t>1. the powers and responsibilities with regard to the initial response to developments that are reflected in severe disruptions or interruptions to essential systems and processes;</w:t>
      </w:r>
    </w:p>
    <w:p w:rsidR="00823BAB" w:rsidRPr="00823BAB" w:rsidRDefault="00823BAB" w:rsidP="00823BAB">
      <w:pPr>
        <w:ind w:firstLine="426"/>
        <w:jc w:val="both"/>
        <w:rPr>
          <w:noProof/>
        </w:rPr>
      </w:pPr>
      <w:r>
        <w:rPr>
          <w:noProof/>
          <w:lang w:val="en-GB"/>
        </w:rPr>
        <w:t>2. the powers and responsibilities with regard to the implementation of activities to restore essential systems and processes;</w:t>
      </w:r>
    </w:p>
    <w:p w:rsidR="00823BAB" w:rsidRPr="00823BAB" w:rsidRDefault="00823BAB" w:rsidP="00823BAB">
      <w:pPr>
        <w:ind w:firstLine="426"/>
        <w:jc w:val="both"/>
        <w:rPr>
          <w:noProof/>
        </w:rPr>
      </w:pPr>
      <w:r>
        <w:rPr>
          <w:noProof/>
          <w:lang w:val="en-GB"/>
        </w:rPr>
        <w:t>3. the timeframes for the recovery of essential systems and processes;</w:t>
      </w:r>
    </w:p>
    <w:p w:rsidR="00823BAB" w:rsidRPr="00823BAB" w:rsidRDefault="00823BAB" w:rsidP="00823BAB">
      <w:pPr>
        <w:ind w:firstLine="426"/>
        <w:jc w:val="both"/>
        <w:rPr>
          <w:noProof/>
        </w:rPr>
      </w:pPr>
      <w:r>
        <w:rPr>
          <w:noProof/>
          <w:lang w:val="en-GB"/>
        </w:rPr>
        <w:t>4. the key employees and procedures for ensuring the continuity of essential systems and processes;</w:t>
      </w:r>
    </w:p>
    <w:p w:rsidR="00823BAB" w:rsidRPr="00823BAB" w:rsidRDefault="00823BAB" w:rsidP="00823BAB">
      <w:pPr>
        <w:ind w:firstLine="426"/>
        <w:jc w:val="both"/>
        <w:rPr>
          <w:noProof/>
        </w:rPr>
      </w:pPr>
      <w:r>
        <w:rPr>
          <w:noProof/>
          <w:lang w:val="en-GB"/>
        </w:rPr>
        <w:t>5. the communication flows used in severely disrupted business conditions.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(4) The bank shall ensure that the responsible employees are briefed on business continuity plans and contingency plans.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(5) The bank shall ensure the regular testing of business continuity plans and contingency plans, at least once a year.</w:t>
      </w:r>
    </w:p>
    <w:p w:rsidR="00823BAB" w:rsidRPr="00823BAB" w:rsidRDefault="00823BAB" w:rsidP="00823BAB">
      <w:pPr>
        <w:ind w:firstLine="360"/>
        <w:jc w:val="both"/>
        <w:rPr>
          <w:noProof/>
        </w:rPr>
      </w:pPr>
    </w:p>
    <w:p w:rsidR="00823BAB" w:rsidRPr="00823BAB" w:rsidRDefault="00823BAB" w:rsidP="00823BAB">
      <w:pPr>
        <w:rPr>
          <w:b/>
          <w:noProof/>
        </w:rPr>
      </w:pPr>
      <w:r>
        <w:rPr>
          <w:b/>
          <w:bCs/>
          <w:noProof/>
          <w:lang w:val="en-GB"/>
        </w:rPr>
        <w:t>4. Reporting on operational risk</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(1) A bank shall report on a quarterly basis to the Bank of Slovenia on operational risk loss events for each category and type of loss event referred to in the second paragraph of Section 2.1 of Appendix 3 of this regulation, by the remittance date for quarterly information set out in Article 3 of the ITS for supervisory reporting.</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bank shall immediately notify the Bank of Slovenia of a significant loss referred to in Section 2.3 of Appendix 3 of this regulation, submitting all relevant documentation.</w:t>
      </w:r>
    </w:p>
    <w:p w:rsidR="00823BAB" w:rsidRPr="00823BAB" w:rsidRDefault="00823BAB" w:rsidP="00823BAB">
      <w:pPr>
        <w:jc w:val="both"/>
        <w:rPr>
          <w:noProof/>
        </w:rPr>
      </w:pP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jc w:val="both"/>
        <w:rPr>
          <w:noProof/>
        </w:rPr>
      </w:pPr>
      <w:r>
        <w:rPr>
          <w:b/>
          <w:bCs/>
          <w:noProof/>
          <w:lang w:val="en-GB"/>
        </w:rPr>
        <w:t xml:space="preserve">Appendix 4: </w:t>
      </w:r>
      <w:r>
        <w:rPr>
          <w:noProof/>
          <w:lang w:val="en-GB"/>
        </w:rPr>
        <w:t>Market risks</w:t>
      </w:r>
    </w:p>
    <w:p w:rsidR="00823BAB" w:rsidRPr="00823BAB" w:rsidRDefault="00823BAB" w:rsidP="00823BAB">
      <w:pPr>
        <w:rPr>
          <w:b/>
          <w:noProof/>
        </w:rPr>
      </w:pPr>
    </w:p>
    <w:p w:rsidR="00823BAB" w:rsidRPr="00823BAB" w:rsidRDefault="00823BAB" w:rsidP="00823BAB">
      <w:pPr>
        <w:rPr>
          <w:b/>
          <w:noProof/>
        </w:rPr>
      </w:pPr>
      <w:r>
        <w:rPr>
          <w:b/>
          <w:bCs/>
          <w:noProof/>
          <w:lang w:val="en-GB"/>
        </w:rPr>
        <w:t>1. Subject of regulation</w:t>
      </w:r>
    </w:p>
    <w:p w:rsidR="00823BAB" w:rsidRPr="00823BAB" w:rsidRDefault="00823BAB" w:rsidP="00823BAB">
      <w:pPr>
        <w:jc w:val="both"/>
        <w:rPr>
          <w:b/>
          <w:noProof/>
        </w:rPr>
      </w:pPr>
    </w:p>
    <w:p w:rsidR="00823BAB" w:rsidRPr="00823BAB" w:rsidRDefault="00823BAB" w:rsidP="00823BAB">
      <w:pPr>
        <w:ind w:firstLine="360"/>
        <w:jc w:val="both"/>
        <w:rPr>
          <w:noProof/>
        </w:rPr>
      </w:pPr>
      <w:r>
        <w:rPr>
          <w:noProof/>
          <w:lang w:val="en-GB"/>
        </w:rPr>
        <w:t>This appendix defines the additional requirements with regard to market risk management, which relate to the organisational requirements with regard to market risks.</w:t>
      </w:r>
    </w:p>
    <w:p w:rsidR="00823BAB" w:rsidRPr="00823BAB" w:rsidRDefault="00823BAB" w:rsidP="00823BAB">
      <w:pPr>
        <w:ind w:firstLine="360"/>
        <w:jc w:val="both"/>
        <w:rPr>
          <w:noProof/>
        </w:rPr>
      </w:pPr>
    </w:p>
    <w:p w:rsidR="00823BAB" w:rsidRPr="00823BAB" w:rsidRDefault="00823BAB" w:rsidP="00823BAB">
      <w:pPr>
        <w:ind w:firstLine="360"/>
        <w:jc w:val="both"/>
        <w:rPr>
          <w:noProof/>
        </w:rPr>
      </w:pPr>
    </w:p>
    <w:p w:rsidR="00823BAB" w:rsidRPr="00823BAB" w:rsidRDefault="00823BAB" w:rsidP="00823BAB">
      <w:pPr>
        <w:rPr>
          <w:b/>
          <w:noProof/>
        </w:rPr>
      </w:pPr>
      <w:r>
        <w:rPr>
          <w:b/>
          <w:bCs/>
          <w:noProof/>
          <w:lang w:val="en-GB"/>
        </w:rPr>
        <w:t>2. Organisational requirements with regard to market risks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ensure clear functional and organisational separation of the trading unit from the back-office department and from the unit providing custody services (hereinafter: the back-office department), including managerial levels. The functional separation of the trading unit from the back-office department shall include the putting in place of appropriate security and work procedures, and rules for accessing information technology, and the physical separation of the premises of the two units. The reporting to the management board and the senior management by the trading unit and the back-office department shall be separate.</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The bank shall ensure the functional separation of staff at the trading unit with regard to trading transactions for the account of clients, and trading for own account. </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2.1 Trading unit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A bank shall ensure that before any transaction is concluded all significant elements of the transaction are agreed, including the corresponding terms of the transaction. Transactions that are not in line with market conditions shall not be executed as a rule. Notwithstanding the foregoing, the bank may allow the conclusion of such a transaction when the following conditions are met:</w:t>
      </w:r>
    </w:p>
    <w:p w:rsidR="00823BAB" w:rsidRPr="00823BAB" w:rsidRDefault="00823BAB" w:rsidP="00823BAB">
      <w:pPr>
        <w:ind w:firstLine="360"/>
        <w:jc w:val="both"/>
        <w:rPr>
          <w:noProof/>
        </w:rPr>
      </w:pPr>
      <w:r>
        <w:rPr>
          <w:noProof/>
          <w:lang w:val="en-GB"/>
        </w:rPr>
        <w:t>1. the transaction is based on the client’s explicit and justifiable requirement, whereby the agreed deviation from market conditions should be clearly evident from the documentation of the transaction;</w:t>
      </w:r>
    </w:p>
    <w:p w:rsidR="00823BAB" w:rsidRPr="00823BAB" w:rsidRDefault="00823BAB" w:rsidP="00823BAB">
      <w:pPr>
        <w:ind w:firstLine="360"/>
        <w:jc w:val="both"/>
        <w:rPr>
          <w:noProof/>
        </w:rPr>
      </w:pPr>
      <w:r>
        <w:rPr>
          <w:noProof/>
          <w:lang w:val="en-GB"/>
        </w:rPr>
        <w:t>2. a description of the deviations from market conditions is evident from the trade capture report; the bank shall notify the client accordingly;</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The management board and the responsible senior management shall be notified of significant transactions that are not in line with market conditions.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 xml:space="preserve">(2) Trading outside of business premises shall be allowed solely on the basis of internal trading rules, which shall include a definition of the authorised traders for executing transactions outside of the business premises, the subject and size of the transactions, and the method of confirmation of the transactions and the corresponding reporting. The trader shall report to the bank, without delay in an appropriate written or electronic form, on a transaction concluded outside the business premises.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(3) The bank shall ensure that at any time traders have at their disposal comprehensive information on:</w:t>
      </w:r>
    </w:p>
    <w:p w:rsidR="00823BAB" w:rsidRPr="00823BAB" w:rsidRDefault="00823BAB" w:rsidP="00823BAB">
      <w:pPr>
        <w:ind w:firstLine="360"/>
        <w:jc w:val="both"/>
        <w:rPr>
          <w:noProof/>
        </w:rPr>
      </w:pPr>
      <w:r>
        <w:rPr>
          <w:noProof/>
          <w:lang w:val="en-GB"/>
        </w:rPr>
        <w:t>1. the value of the portfolio that they manage, and the daily changes in the value of the portfolio as a result of changes in market conditions and positions; and</w:t>
      </w:r>
    </w:p>
    <w:p w:rsidR="00823BAB" w:rsidRPr="00823BAB" w:rsidRDefault="00823BAB" w:rsidP="00823BAB">
      <w:pPr>
        <w:ind w:firstLine="360"/>
        <w:jc w:val="both"/>
        <w:rPr>
          <w:noProof/>
        </w:rPr>
      </w:pPr>
      <w:r>
        <w:rPr>
          <w:noProof/>
          <w:lang w:val="en-GB"/>
        </w:rPr>
        <w:t>2. the utilisation of risk limits.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(4) Conversations with traders relating to trade transactions shall be recorded.</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(5) After the conclusion of each transaction the bank shall ensure the production of a trade capture report that includes all the significant information about the transaction. The trade capture report and the other documents of the transaction shall be submitted to the back-office department in the shortest possible time. Transactions that are concluded after the close of the business day of the back-office department shall be included in the daily trading position and specially marked. In this case the trade capture report and other documents of the transaction shall be submitted as soon as possible to an organisational unit that is independent of the trading unit.</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(6) The trader shall specially mark transactions concluded after the close of the business day of the back-office department and shall include them in the daily trading position. A record of these transactions shall be delivered to the responsible person from the back-office department without delay.</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(7) The bank shall ensure that the trader enters data on the transaction in the information system solely under the trader’s own identification number. The time of entry in the information system and the identification number shall be determined automatically.</w:t>
      </w:r>
    </w:p>
    <w:p w:rsidR="00823BAB" w:rsidRPr="00823BAB" w:rsidRDefault="00823BAB" w:rsidP="00823BAB">
      <w:pPr>
        <w:jc w:val="both"/>
        <w:rPr>
          <w:noProof/>
        </w:rPr>
      </w:pPr>
    </w:p>
    <w:p w:rsidR="00823BAB" w:rsidRPr="00823BAB" w:rsidRDefault="00823BAB" w:rsidP="00823BAB">
      <w:pPr>
        <w:jc w:val="both"/>
        <w:rPr>
          <w:noProof/>
        </w:rPr>
      </w:pPr>
    </w:p>
    <w:p w:rsidR="00823BAB" w:rsidRPr="00823BAB" w:rsidRDefault="00823BAB" w:rsidP="00823BAB">
      <w:pPr>
        <w:rPr>
          <w:b/>
          <w:noProof/>
        </w:rPr>
      </w:pPr>
      <w:r>
        <w:rPr>
          <w:b/>
          <w:bCs/>
          <w:noProof/>
          <w:lang w:val="en-GB"/>
        </w:rPr>
        <w:t>2.2 Back-office department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(1) On the basis of the documentation of the trading unit, a bank shall provide for a process for sending and receiving confirmations of concluded transactions and the further processing of transactions, including:</w:t>
      </w:r>
    </w:p>
    <w:p w:rsidR="00823BAB" w:rsidRPr="00823BAB" w:rsidRDefault="00823BAB" w:rsidP="00823BAB">
      <w:pPr>
        <w:ind w:firstLine="360"/>
        <w:jc w:val="both"/>
        <w:rPr>
          <w:noProof/>
        </w:rPr>
      </w:pPr>
      <w:r>
        <w:rPr>
          <w:noProof/>
          <w:lang w:val="en-GB"/>
        </w:rPr>
        <w:t>1. the execution of material and/or cash settlement (preparation of payment orders and securities transfer orders at depository banks or custodians, and their release via an appropriate settlement system);</w:t>
      </w:r>
    </w:p>
    <w:p w:rsidR="00823BAB" w:rsidRPr="00823BAB" w:rsidRDefault="00823BAB" w:rsidP="00823BAB">
      <w:pPr>
        <w:ind w:firstLine="360"/>
        <w:jc w:val="both"/>
        <w:rPr>
          <w:noProof/>
        </w:rPr>
      </w:pPr>
      <w:r>
        <w:rPr>
          <w:noProof/>
          <w:lang w:val="en-GB"/>
        </w:rPr>
        <w:t>2. preparation of the book-keeping document and recording of the transaction in the record of the bank’s positions;</w:t>
      </w:r>
    </w:p>
    <w:p w:rsidR="00823BAB" w:rsidRPr="00823BAB" w:rsidRDefault="00823BAB" w:rsidP="00823BAB">
      <w:pPr>
        <w:ind w:firstLine="360"/>
        <w:jc w:val="both"/>
        <w:rPr>
          <w:noProof/>
        </w:rPr>
      </w:pPr>
      <w:r>
        <w:rPr>
          <w:noProof/>
          <w:lang w:val="en-GB"/>
        </w:rPr>
        <w:t xml:space="preserve">3. a review of changes or cancellations of data on concluded transactions, and treatment of differences in data on concluded transactions. </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(2) The bank shall ensure that each concluded transaction is confirmed in writing without delay or within an appropriate time, is appropriately recorded, and is included in the relevant daily internal reports of concluded transactions.</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(3) The bank shall ensure that incoming confirmations of concluded transactions by the counterparty are vetted as up-to-date and complete. Incoming confirmations of concluded transactions by the counterparty shall be routed directly to the back-office department. The counterparty shall be notified without delay of any missing or incomplete confirmations of a concluded transaction.</w:t>
      </w:r>
    </w:p>
    <w:p w:rsidR="00823BAB" w:rsidRPr="00823BAB" w:rsidRDefault="00823BAB" w:rsidP="00823BAB">
      <w:pPr>
        <w:ind w:firstLine="360"/>
        <w:jc w:val="both"/>
        <w:rPr>
          <w:noProof/>
        </w:rPr>
      </w:pPr>
    </w:p>
    <w:p w:rsidR="00823BAB" w:rsidRPr="00823BAB" w:rsidRDefault="00823BAB" w:rsidP="00823BAB">
      <w:pPr>
        <w:ind w:firstLine="360"/>
        <w:jc w:val="both"/>
        <w:rPr>
          <w:noProof/>
        </w:rPr>
      </w:pPr>
      <w:r>
        <w:rPr>
          <w:noProof/>
          <w:lang w:val="en-GB"/>
        </w:rPr>
        <w:t>(4) The bank shall provide for regular monitoring of the process of concluding transactions of the trading unit, including vetting of:</w:t>
      </w:r>
    </w:p>
    <w:p w:rsidR="00823BAB" w:rsidRPr="00823BAB" w:rsidRDefault="00823BAB" w:rsidP="00823BAB">
      <w:pPr>
        <w:ind w:left="360"/>
        <w:jc w:val="both"/>
        <w:rPr>
          <w:noProof/>
        </w:rPr>
      </w:pPr>
      <w:r>
        <w:rPr>
          <w:noProof/>
          <w:lang w:val="en-GB"/>
        </w:rPr>
        <w:t>1. the completeness of the documentation of the concluded transaction, and its timely submission to the back-office department;</w:t>
      </w:r>
    </w:p>
    <w:p w:rsidR="00823BAB" w:rsidRPr="00823BAB" w:rsidRDefault="00823BAB" w:rsidP="00823BAB">
      <w:pPr>
        <w:ind w:left="360"/>
        <w:jc w:val="both"/>
        <w:rPr>
          <w:noProof/>
        </w:rPr>
      </w:pPr>
      <w:r>
        <w:rPr>
          <w:noProof/>
          <w:lang w:val="en-GB"/>
        </w:rPr>
        <w:t>2. the compliance of the data on the concluded transaction with the data on the confirmation, extracts from electronic trading systems and other sources;</w:t>
      </w:r>
    </w:p>
    <w:p w:rsidR="00823BAB" w:rsidRPr="00823BAB" w:rsidRDefault="00823BAB" w:rsidP="00823BAB">
      <w:pPr>
        <w:ind w:left="360"/>
        <w:jc w:val="both"/>
        <w:rPr>
          <w:noProof/>
        </w:rPr>
      </w:pPr>
      <w:r>
        <w:rPr>
          <w:noProof/>
          <w:lang w:val="en-GB"/>
        </w:rPr>
        <w:t>3. the consideration of limits put in place to limit losses;</w:t>
      </w:r>
    </w:p>
    <w:p w:rsidR="00823BAB" w:rsidRPr="00823BAB" w:rsidRDefault="00823BAB" w:rsidP="00823BAB">
      <w:pPr>
        <w:ind w:left="360"/>
        <w:jc w:val="both"/>
        <w:rPr>
          <w:noProof/>
        </w:rPr>
      </w:pPr>
      <w:r>
        <w:rPr>
          <w:noProof/>
          <w:lang w:val="en-GB"/>
        </w:rPr>
        <w:t>4. the compliance of concluded transactions with market business conditions;</w:t>
      </w:r>
    </w:p>
    <w:p w:rsidR="00823BAB" w:rsidRPr="00823BAB" w:rsidRDefault="00823BAB" w:rsidP="00823BAB">
      <w:pPr>
        <w:ind w:left="360"/>
        <w:jc w:val="both"/>
        <w:rPr>
          <w:noProof/>
        </w:rPr>
      </w:pPr>
      <w:r>
        <w:rPr>
          <w:noProof/>
          <w:lang w:val="en-GB"/>
        </w:rPr>
        <w:t>5. deviations from internal trading rules;</w:t>
      </w:r>
    </w:p>
    <w:p w:rsidR="00823BAB" w:rsidRPr="00823BAB" w:rsidRDefault="00823BAB" w:rsidP="00823BAB">
      <w:pPr>
        <w:ind w:left="360"/>
        <w:jc w:val="both"/>
        <w:rPr>
          <w:noProof/>
        </w:rPr>
      </w:pPr>
      <w:r>
        <w:rPr>
          <w:noProof/>
          <w:lang w:val="en-GB"/>
        </w:rPr>
        <w:t>6. the alignment of records of transactions between the trading unit and the departments that are independent of the trading unit.</w:t>
      </w:r>
    </w:p>
    <w:p w:rsidR="00823BAB" w:rsidRPr="00823BAB" w:rsidRDefault="00823BAB" w:rsidP="00823BAB">
      <w:pPr>
        <w:jc w:val="both"/>
        <w:rPr>
          <w:noProof/>
        </w:rPr>
      </w:pPr>
    </w:p>
    <w:p w:rsidR="00823BAB" w:rsidRPr="00823BAB" w:rsidRDefault="00823BAB" w:rsidP="00823BAB">
      <w:pPr>
        <w:ind w:firstLine="360"/>
        <w:jc w:val="both"/>
        <w:rPr>
          <w:noProof/>
        </w:rPr>
      </w:pPr>
      <w:r>
        <w:rPr>
          <w:noProof/>
          <w:lang w:val="en-GB"/>
        </w:rPr>
        <w:t>(5) Changes or cancellations of data on concluded transactions shall be reviewed by a department that is independent of the trading unit. Differences in data on concluded transactions identified in the process of back-office processing shall be addressed without delay by a department that is independent of the trading unit.</w:t>
      </w:r>
    </w:p>
    <w:sectPr w:rsidR="00823BAB" w:rsidRPr="00823BAB" w:rsidSect="009276C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9AB" w:rsidRPr="00823BAB" w:rsidRDefault="008879AB" w:rsidP="00B20629">
      <w:pPr>
        <w:rPr>
          <w:noProof/>
        </w:rPr>
      </w:pPr>
      <w:r>
        <w:rPr>
          <w:noProof/>
        </w:rPr>
        <w:separator/>
      </w:r>
    </w:p>
  </w:endnote>
  <w:endnote w:type="continuationSeparator" w:id="0">
    <w:p w:rsidR="008879AB" w:rsidRPr="00823BAB" w:rsidRDefault="008879AB" w:rsidP="00B20629">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Arial Unicode MS"/>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C2" w:rsidRDefault="00B607C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81642157"/>
      <w:docPartObj>
        <w:docPartGallery w:val="Page Numbers (Bottom of Page)"/>
        <w:docPartUnique/>
      </w:docPartObj>
    </w:sdtPr>
    <w:sdtEndPr/>
    <w:sdtContent>
      <w:p w:rsidR="00B607C2" w:rsidRPr="00823BAB" w:rsidRDefault="00B607C2">
        <w:pPr>
          <w:pStyle w:val="Noga"/>
          <w:rPr>
            <w:noProof/>
          </w:rPr>
        </w:pPr>
        <w:r>
          <w:rPr>
            <w:noProof/>
            <w:lang w:val="en-GB"/>
          </w:rPr>
          <w:fldChar w:fldCharType="begin"/>
        </w:r>
        <w:r>
          <w:rPr>
            <w:noProof/>
            <w:lang w:val="en-GB"/>
          </w:rPr>
          <w:instrText xml:space="preserve"> PAGE   \* MERGEFORMAT </w:instrText>
        </w:r>
        <w:r>
          <w:rPr>
            <w:noProof/>
            <w:lang w:val="en-GB"/>
          </w:rPr>
          <w:fldChar w:fldCharType="separate"/>
        </w:r>
        <w:r w:rsidR="002C1333">
          <w:rPr>
            <w:noProof/>
            <w:lang w:val="en-GB"/>
          </w:rPr>
          <w:t>1</w:t>
        </w:r>
        <w:r>
          <w:rPr>
            <w:noProof/>
            <w:lang w:val="en-GB"/>
          </w:rPr>
          <w:fldChar w:fldCharType="end"/>
        </w:r>
      </w:p>
    </w:sdtContent>
  </w:sdt>
  <w:p w:rsidR="00B607C2" w:rsidRPr="00823BAB" w:rsidRDefault="00B607C2">
    <w:pPr>
      <w:pStyle w:val="Noga"/>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C2" w:rsidRDefault="00B6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9AB" w:rsidRPr="00823BAB" w:rsidRDefault="008879AB" w:rsidP="00B20629">
      <w:pPr>
        <w:rPr>
          <w:noProof/>
        </w:rPr>
      </w:pPr>
      <w:r>
        <w:rPr>
          <w:noProof/>
        </w:rPr>
        <w:separator/>
      </w:r>
    </w:p>
  </w:footnote>
  <w:footnote w:type="continuationSeparator" w:id="0">
    <w:p w:rsidR="008879AB" w:rsidRPr="00823BAB" w:rsidRDefault="008879AB" w:rsidP="00B20629">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C2" w:rsidRDefault="00B607C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C2" w:rsidRDefault="00B607C2">
    <w:pPr>
      <w:pStyle w:val="Glava"/>
      <w:rPr>
        <w:noProof/>
      </w:rPr>
    </w:pPr>
    <w:r w:rsidRPr="00120C70">
      <w:rPr>
        <w:b/>
        <w:noProof/>
        <w:sz w:val="20"/>
        <w:szCs w:val="20"/>
        <w:lang w:val="en-GB"/>
      </w:rPr>
      <w:t>THIS TEXT IS UNOFFICIAL TRANSLATION AND MAY NOT BE USED AS A BASIS FOR SOLVING ANY DISPUTE</w:t>
    </w:r>
  </w:p>
  <w:p w:rsidR="00B607C2" w:rsidRPr="00823BAB" w:rsidRDefault="00B607C2" w:rsidP="00F9262D">
    <w:pPr>
      <w:pStyle w:val="Glava"/>
      <w:rPr>
        <w:noProof/>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C2" w:rsidRDefault="00B607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B87"/>
    <w:multiLevelType w:val="hybridMultilevel"/>
    <w:tmpl w:val="13C02F02"/>
    <w:lvl w:ilvl="0" w:tplc="B4DAAA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FE3EB2"/>
    <w:multiLevelType w:val="hybridMultilevel"/>
    <w:tmpl w:val="DA045A64"/>
    <w:lvl w:ilvl="0" w:tplc="030403E2">
      <w:start w:val="1"/>
      <w:numFmt w:val="decimal"/>
      <w:lvlText w:val="(%1)"/>
      <w:lvlJc w:val="left"/>
      <w:pPr>
        <w:ind w:left="360" w:hanging="360"/>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B3527C4"/>
    <w:multiLevelType w:val="hybridMultilevel"/>
    <w:tmpl w:val="6ECE4036"/>
    <w:lvl w:ilvl="0" w:tplc="0424000F">
      <w:start w:val="1"/>
      <w:numFmt w:val="decimal"/>
      <w:lvlText w:val="%1."/>
      <w:lvlJc w:val="left"/>
      <w:pPr>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3" w15:restartNumberingAfterBreak="0">
    <w:nsid w:val="0E3E0535"/>
    <w:multiLevelType w:val="hybridMultilevel"/>
    <w:tmpl w:val="E00A7CA2"/>
    <w:lvl w:ilvl="0" w:tplc="468E1EAE">
      <w:start w:val="1"/>
      <w:numFmt w:val="bullet"/>
      <w:lvlText w:val="-"/>
      <w:lvlJc w:val="left"/>
      <w:pPr>
        <w:ind w:left="720" w:hanging="360"/>
      </w:pPr>
      <w:rPr>
        <w:rFonts w:ascii="Courier New" w:hAnsi="Courier New" w:hint="default"/>
      </w:rPr>
    </w:lvl>
    <w:lvl w:ilvl="1" w:tplc="468E1EAE">
      <w:start w:val="1"/>
      <w:numFmt w:val="bullet"/>
      <w:lvlText w:val="-"/>
      <w:lvlJc w:val="left"/>
      <w:pPr>
        <w:ind w:left="720" w:hanging="360"/>
      </w:pPr>
      <w:rPr>
        <w:rFonts w:ascii="Courier New" w:hAnsi="Courier New" w:hint="default"/>
      </w:r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4" w15:restartNumberingAfterBreak="0">
    <w:nsid w:val="135B392E"/>
    <w:multiLevelType w:val="hybridMultilevel"/>
    <w:tmpl w:val="DD242C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2F4E5C"/>
    <w:multiLevelType w:val="hybridMultilevel"/>
    <w:tmpl w:val="1A965490"/>
    <w:lvl w:ilvl="0" w:tplc="178A85B6">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E47807"/>
    <w:multiLevelType w:val="hybridMultilevel"/>
    <w:tmpl w:val="A1548E0C"/>
    <w:lvl w:ilvl="0" w:tplc="F66293C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A12BF8"/>
    <w:multiLevelType w:val="hybridMultilevel"/>
    <w:tmpl w:val="F770490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7F8494B"/>
    <w:multiLevelType w:val="multilevel"/>
    <w:tmpl w:val="393868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C6F0013"/>
    <w:multiLevelType w:val="hybridMultilevel"/>
    <w:tmpl w:val="E9E69DC4"/>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7A2544"/>
    <w:multiLevelType w:val="hybridMultilevel"/>
    <w:tmpl w:val="ABE884CE"/>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E4041D2"/>
    <w:multiLevelType w:val="hybridMultilevel"/>
    <w:tmpl w:val="BEDEE1C6"/>
    <w:lvl w:ilvl="0" w:tplc="468E1EAE">
      <w:start w:val="1"/>
      <w:numFmt w:val="bullet"/>
      <w:lvlText w:val="-"/>
      <w:lvlJc w:val="left"/>
      <w:pPr>
        <w:ind w:left="1131" w:hanging="360"/>
      </w:pPr>
      <w:rPr>
        <w:rFonts w:ascii="Courier New" w:hAnsi="Courier New" w:hint="default"/>
      </w:rPr>
    </w:lvl>
    <w:lvl w:ilvl="1" w:tplc="04240003" w:tentative="1">
      <w:start w:val="1"/>
      <w:numFmt w:val="bullet"/>
      <w:lvlText w:val="o"/>
      <w:lvlJc w:val="left"/>
      <w:pPr>
        <w:ind w:left="1851" w:hanging="360"/>
      </w:pPr>
      <w:rPr>
        <w:rFonts w:ascii="Courier New" w:hAnsi="Courier New" w:cs="Courier New" w:hint="default"/>
      </w:rPr>
    </w:lvl>
    <w:lvl w:ilvl="2" w:tplc="04240005" w:tentative="1">
      <w:start w:val="1"/>
      <w:numFmt w:val="bullet"/>
      <w:lvlText w:val=""/>
      <w:lvlJc w:val="left"/>
      <w:pPr>
        <w:ind w:left="2571" w:hanging="360"/>
      </w:pPr>
      <w:rPr>
        <w:rFonts w:ascii="Wingdings" w:hAnsi="Wingdings" w:hint="default"/>
      </w:rPr>
    </w:lvl>
    <w:lvl w:ilvl="3" w:tplc="04240001" w:tentative="1">
      <w:start w:val="1"/>
      <w:numFmt w:val="bullet"/>
      <w:lvlText w:val=""/>
      <w:lvlJc w:val="left"/>
      <w:pPr>
        <w:ind w:left="3291" w:hanging="360"/>
      </w:pPr>
      <w:rPr>
        <w:rFonts w:ascii="Symbol" w:hAnsi="Symbol" w:hint="default"/>
      </w:rPr>
    </w:lvl>
    <w:lvl w:ilvl="4" w:tplc="04240003" w:tentative="1">
      <w:start w:val="1"/>
      <w:numFmt w:val="bullet"/>
      <w:lvlText w:val="o"/>
      <w:lvlJc w:val="left"/>
      <w:pPr>
        <w:ind w:left="4011" w:hanging="360"/>
      </w:pPr>
      <w:rPr>
        <w:rFonts w:ascii="Courier New" w:hAnsi="Courier New" w:cs="Courier New" w:hint="default"/>
      </w:rPr>
    </w:lvl>
    <w:lvl w:ilvl="5" w:tplc="04240005" w:tentative="1">
      <w:start w:val="1"/>
      <w:numFmt w:val="bullet"/>
      <w:lvlText w:val=""/>
      <w:lvlJc w:val="left"/>
      <w:pPr>
        <w:ind w:left="4731" w:hanging="360"/>
      </w:pPr>
      <w:rPr>
        <w:rFonts w:ascii="Wingdings" w:hAnsi="Wingdings" w:hint="default"/>
      </w:rPr>
    </w:lvl>
    <w:lvl w:ilvl="6" w:tplc="04240001" w:tentative="1">
      <w:start w:val="1"/>
      <w:numFmt w:val="bullet"/>
      <w:lvlText w:val=""/>
      <w:lvlJc w:val="left"/>
      <w:pPr>
        <w:ind w:left="5451" w:hanging="360"/>
      </w:pPr>
      <w:rPr>
        <w:rFonts w:ascii="Symbol" w:hAnsi="Symbol" w:hint="default"/>
      </w:rPr>
    </w:lvl>
    <w:lvl w:ilvl="7" w:tplc="04240003" w:tentative="1">
      <w:start w:val="1"/>
      <w:numFmt w:val="bullet"/>
      <w:lvlText w:val="o"/>
      <w:lvlJc w:val="left"/>
      <w:pPr>
        <w:ind w:left="6171" w:hanging="360"/>
      </w:pPr>
      <w:rPr>
        <w:rFonts w:ascii="Courier New" w:hAnsi="Courier New" w:cs="Courier New" w:hint="default"/>
      </w:rPr>
    </w:lvl>
    <w:lvl w:ilvl="8" w:tplc="04240005" w:tentative="1">
      <w:start w:val="1"/>
      <w:numFmt w:val="bullet"/>
      <w:lvlText w:val=""/>
      <w:lvlJc w:val="left"/>
      <w:pPr>
        <w:ind w:left="6891" w:hanging="360"/>
      </w:pPr>
      <w:rPr>
        <w:rFonts w:ascii="Wingdings" w:hAnsi="Wingdings" w:hint="default"/>
      </w:rPr>
    </w:lvl>
  </w:abstractNum>
  <w:abstractNum w:abstractNumId="12" w15:restartNumberingAfterBreak="0">
    <w:nsid w:val="23EC5F83"/>
    <w:multiLevelType w:val="hybridMultilevel"/>
    <w:tmpl w:val="DA98A050"/>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A25D12"/>
    <w:multiLevelType w:val="hybridMultilevel"/>
    <w:tmpl w:val="92567BD4"/>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497E21"/>
    <w:multiLevelType w:val="hybridMultilevel"/>
    <w:tmpl w:val="6A6E9E94"/>
    <w:lvl w:ilvl="0" w:tplc="1360AD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1976E9"/>
    <w:multiLevelType w:val="hybridMultilevel"/>
    <w:tmpl w:val="4D366F0E"/>
    <w:lvl w:ilvl="0" w:tplc="0424000F">
      <w:start w:val="1"/>
      <w:numFmt w:val="decimal"/>
      <w:lvlText w:val="%1."/>
      <w:lvlJc w:val="left"/>
      <w:pPr>
        <w:ind w:left="6384" w:hanging="360"/>
      </w:pPr>
      <w:rPr>
        <w:rFonts w:hint="default"/>
      </w:rPr>
    </w:lvl>
    <w:lvl w:ilvl="1" w:tplc="04240003" w:tentative="1">
      <w:start w:val="1"/>
      <w:numFmt w:val="bullet"/>
      <w:lvlText w:val="o"/>
      <w:lvlJc w:val="left"/>
      <w:pPr>
        <w:ind w:left="7104" w:hanging="360"/>
      </w:pPr>
      <w:rPr>
        <w:rFonts w:ascii="Courier New" w:hAnsi="Courier New" w:cs="Courier New" w:hint="default"/>
      </w:rPr>
    </w:lvl>
    <w:lvl w:ilvl="2" w:tplc="04240005" w:tentative="1">
      <w:start w:val="1"/>
      <w:numFmt w:val="bullet"/>
      <w:lvlText w:val=""/>
      <w:lvlJc w:val="left"/>
      <w:pPr>
        <w:ind w:left="7824" w:hanging="360"/>
      </w:pPr>
      <w:rPr>
        <w:rFonts w:ascii="Wingdings" w:hAnsi="Wingdings" w:hint="default"/>
      </w:rPr>
    </w:lvl>
    <w:lvl w:ilvl="3" w:tplc="04240001" w:tentative="1">
      <w:start w:val="1"/>
      <w:numFmt w:val="bullet"/>
      <w:lvlText w:val=""/>
      <w:lvlJc w:val="left"/>
      <w:pPr>
        <w:ind w:left="8544" w:hanging="360"/>
      </w:pPr>
      <w:rPr>
        <w:rFonts w:ascii="Symbol" w:hAnsi="Symbol" w:hint="default"/>
      </w:rPr>
    </w:lvl>
    <w:lvl w:ilvl="4" w:tplc="04240003" w:tentative="1">
      <w:start w:val="1"/>
      <w:numFmt w:val="bullet"/>
      <w:lvlText w:val="o"/>
      <w:lvlJc w:val="left"/>
      <w:pPr>
        <w:ind w:left="9264" w:hanging="360"/>
      </w:pPr>
      <w:rPr>
        <w:rFonts w:ascii="Courier New" w:hAnsi="Courier New" w:cs="Courier New" w:hint="default"/>
      </w:rPr>
    </w:lvl>
    <w:lvl w:ilvl="5" w:tplc="04240005" w:tentative="1">
      <w:start w:val="1"/>
      <w:numFmt w:val="bullet"/>
      <w:lvlText w:val=""/>
      <w:lvlJc w:val="left"/>
      <w:pPr>
        <w:ind w:left="9984" w:hanging="360"/>
      </w:pPr>
      <w:rPr>
        <w:rFonts w:ascii="Wingdings" w:hAnsi="Wingdings" w:hint="default"/>
      </w:rPr>
    </w:lvl>
    <w:lvl w:ilvl="6" w:tplc="04240001" w:tentative="1">
      <w:start w:val="1"/>
      <w:numFmt w:val="bullet"/>
      <w:lvlText w:val=""/>
      <w:lvlJc w:val="left"/>
      <w:pPr>
        <w:ind w:left="10704" w:hanging="360"/>
      </w:pPr>
      <w:rPr>
        <w:rFonts w:ascii="Symbol" w:hAnsi="Symbol" w:hint="default"/>
      </w:rPr>
    </w:lvl>
    <w:lvl w:ilvl="7" w:tplc="04240003" w:tentative="1">
      <w:start w:val="1"/>
      <w:numFmt w:val="bullet"/>
      <w:lvlText w:val="o"/>
      <w:lvlJc w:val="left"/>
      <w:pPr>
        <w:ind w:left="11424" w:hanging="360"/>
      </w:pPr>
      <w:rPr>
        <w:rFonts w:ascii="Courier New" w:hAnsi="Courier New" w:cs="Courier New" w:hint="default"/>
      </w:rPr>
    </w:lvl>
    <w:lvl w:ilvl="8" w:tplc="04240005" w:tentative="1">
      <w:start w:val="1"/>
      <w:numFmt w:val="bullet"/>
      <w:lvlText w:val=""/>
      <w:lvlJc w:val="left"/>
      <w:pPr>
        <w:ind w:left="12144" w:hanging="360"/>
      </w:pPr>
      <w:rPr>
        <w:rFonts w:ascii="Wingdings" w:hAnsi="Wingdings" w:hint="default"/>
      </w:rPr>
    </w:lvl>
  </w:abstractNum>
  <w:abstractNum w:abstractNumId="16" w15:restartNumberingAfterBreak="0">
    <w:nsid w:val="2DE0134C"/>
    <w:multiLevelType w:val="hybridMultilevel"/>
    <w:tmpl w:val="E362A498"/>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59371E"/>
    <w:multiLevelType w:val="hybridMultilevel"/>
    <w:tmpl w:val="1BB8EBE2"/>
    <w:lvl w:ilvl="0" w:tplc="0424000F">
      <w:start w:val="1"/>
      <w:numFmt w:val="decimal"/>
      <w:lvlText w:val="%1."/>
      <w:lvlJc w:val="left"/>
      <w:pPr>
        <w:ind w:left="360" w:hanging="360"/>
      </w:pPr>
      <w:rPr>
        <w:rFonts w:hint="default"/>
      </w:rPr>
    </w:lvl>
    <w:lvl w:ilvl="1" w:tplc="DA082778">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FE64659"/>
    <w:multiLevelType w:val="multilevel"/>
    <w:tmpl w:val="EE5A8B9C"/>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2ED7040"/>
    <w:multiLevelType w:val="hybridMultilevel"/>
    <w:tmpl w:val="7214D0D8"/>
    <w:lvl w:ilvl="0" w:tplc="71DED9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A22775B"/>
    <w:multiLevelType w:val="hybridMultilevel"/>
    <w:tmpl w:val="5268C95A"/>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C954B6"/>
    <w:multiLevelType w:val="hybridMultilevel"/>
    <w:tmpl w:val="BB7C003E"/>
    <w:lvl w:ilvl="0" w:tplc="6A84CE6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D1A4876"/>
    <w:multiLevelType w:val="hybridMultilevel"/>
    <w:tmpl w:val="37C4DDC6"/>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854706"/>
    <w:multiLevelType w:val="hybridMultilevel"/>
    <w:tmpl w:val="C03689F2"/>
    <w:lvl w:ilvl="0" w:tplc="4CF4B4E8">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D064A2"/>
    <w:multiLevelType w:val="hybridMultilevel"/>
    <w:tmpl w:val="BFEA18CE"/>
    <w:lvl w:ilvl="0" w:tplc="65888AC0">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E9AAD340">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0C411C"/>
    <w:multiLevelType w:val="hybridMultilevel"/>
    <w:tmpl w:val="0C72B2D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8D67A78"/>
    <w:multiLevelType w:val="hybridMultilevel"/>
    <w:tmpl w:val="D7682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C71415C"/>
    <w:multiLevelType w:val="hybridMultilevel"/>
    <w:tmpl w:val="D13806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E682DC6"/>
    <w:multiLevelType w:val="hybridMultilevel"/>
    <w:tmpl w:val="DD908D42"/>
    <w:lvl w:ilvl="0" w:tplc="FBB2880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1E03D14"/>
    <w:multiLevelType w:val="multilevel"/>
    <w:tmpl w:val="D92E6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0446EB"/>
    <w:multiLevelType w:val="hybridMultilevel"/>
    <w:tmpl w:val="DB02547A"/>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5A7788"/>
    <w:multiLevelType w:val="multilevel"/>
    <w:tmpl w:val="FFEA51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3D60EE"/>
    <w:multiLevelType w:val="hybridMultilevel"/>
    <w:tmpl w:val="DF7E6E5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A4419E6"/>
    <w:multiLevelType w:val="hybridMultilevel"/>
    <w:tmpl w:val="60228962"/>
    <w:lvl w:ilvl="0" w:tplc="DA1600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CBB423B"/>
    <w:multiLevelType w:val="hybridMultilevel"/>
    <w:tmpl w:val="0EAA08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DF378F2"/>
    <w:multiLevelType w:val="hybridMultilevel"/>
    <w:tmpl w:val="2F260D84"/>
    <w:lvl w:ilvl="0" w:tplc="4A0636D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ECC1360"/>
    <w:multiLevelType w:val="hybridMultilevel"/>
    <w:tmpl w:val="1BB8EBE2"/>
    <w:lvl w:ilvl="0" w:tplc="0424000F">
      <w:start w:val="1"/>
      <w:numFmt w:val="decimal"/>
      <w:lvlText w:val="%1."/>
      <w:lvlJc w:val="left"/>
      <w:pPr>
        <w:ind w:left="360" w:hanging="360"/>
      </w:pPr>
      <w:rPr>
        <w:rFonts w:hint="default"/>
      </w:rPr>
    </w:lvl>
    <w:lvl w:ilvl="1" w:tplc="DA082778">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5F6A36CB"/>
    <w:multiLevelType w:val="hybridMultilevel"/>
    <w:tmpl w:val="0B1215D6"/>
    <w:lvl w:ilvl="0" w:tplc="07E8A2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33A6768"/>
    <w:multiLevelType w:val="hybridMultilevel"/>
    <w:tmpl w:val="A5BEE6D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38E0490"/>
    <w:multiLevelType w:val="hybridMultilevel"/>
    <w:tmpl w:val="7B9216C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15:restartNumberingAfterBreak="0">
    <w:nsid w:val="65EC5909"/>
    <w:multiLevelType w:val="hybridMultilevel"/>
    <w:tmpl w:val="C10095B2"/>
    <w:lvl w:ilvl="0" w:tplc="70468FC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862391A"/>
    <w:multiLevelType w:val="hybridMultilevel"/>
    <w:tmpl w:val="8DD462B4"/>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6A627FD8"/>
    <w:multiLevelType w:val="hybridMultilevel"/>
    <w:tmpl w:val="C24A257A"/>
    <w:lvl w:ilvl="0" w:tplc="E9AAD34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B5036C7"/>
    <w:multiLevelType w:val="hybridMultilevel"/>
    <w:tmpl w:val="6C6C0DB8"/>
    <w:lvl w:ilvl="0" w:tplc="468E1EAE">
      <w:start w:val="1"/>
      <w:numFmt w:val="bullet"/>
      <w:lvlText w:val="-"/>
      <w:lvlJc w:val="left"/>
      <w:pPr>
        <w:ind w:left="720" w:hanging="360"/>
      </w:pPr>
      <w:rPr>
        <w:rFonts w:ascii="Courier New" w:hAnsi="Courier New" w:hint="default"/>
      </w:rPr>
    </w:lvl>
    <w:lvl w:ilvl="1" w:tplc="468E1EAE">
      <w:start w:val="1"/>
      <w:numFmt w:val="bullet"/>
      <w:lvlText w:val="-"/>
      <w:lvlJc w:val="left"/>
      <w:pPr>
        <w:ind w:left="1440" w:hanging="360"/>
      </w:pPr>
      <w:rPr>
        <w:rFonts w:ascii="Courier New" w:hAnsi="Courier New"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D244429"/>
    <w:multiLevelType w:val="hybridMultilevel"/>
    <w:tmpl w:val="37D68602"/>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C552BD"/>
    <w:multiLevelType w:val="hybridMultilevel"/>
    <w:tmpl w:val="A11E86B2"/>
    <w:lvl w:ilvl="0" w:tplc="468E1EAE">
      <w:start w:val="1"/>
      <w:numFmt w:val="bullet"/>
      <w:lvlText w:val="-"/>
      <w:lvlJc w:val="left"/>
      <w:pPr>
        <w:ind w:left="644" w:hanging="360"/>
      </w:pPr>
      <w:rPr>
        <w:rFonts w:ascii="Courier New" w:hAnsi="Courier New" w:hint="default"/>
      </w:rPr>
    </w:lvl>
    <w:lvl w:ilvl="1" w:tplc="04240019">
      <w:start w:val="1"/>
      <w:numFmt w:val="lowerLetter"/>
      <w:lvlText w:val="%2."/>
      <w:lvlJc w:val="left"/>
      <w:pPr>
        <w:ind w:left="1364" w:hanging="360"/>
      </w:pPr>
    </w:lvl>
    <w:lvl w:ilvl="2" w:tplc="E9AAD340">
      <w:start w:val="1"/>
      <w:numFmt w:val="lowerLetter"/>
      <w:lvlText w:val="(%3)"/>
      <w:lvlJc w:val="left"/>
      <w:pPr>
        <w:ind w:left="2264" w:hanging="360"/>
      </w:pPr>
      <w:rPr>
        <w:rFonts w:hint="default"/>
      </w:r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6" w15:restartNumberingAfterBreak="0">
    <w:nsid w:val="78E40AD1"/>
    <w:multiLevelType w:val="hybridMultilevel"/>
    <w:tmpl w:val="CABAC4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29"/>
  </w:num>
  <w:num w:numId="3">
    <w:abstractNumId w:val="32"/>
  </w:num>
  <w:num w:numId="4">
    <w:abstractNumId w:val="31"/>
  </w:num>
  <w:num w:numId="5">
    <w:abstractNumId w:val="45"/>
  </w:num>
  <w:num w:numId="6">
    <w:abstractNumId w:val="9"/>
  </w:num>
  <w:num w:numId="7">
    <w:abstractNumId w:val="3"/>
  </w:num>
  <w:num w:numId="8">
    <w:abstractNumId w:val="22"/>
  </w:num>
  <w:num w:numId="9">
    <w:abstractNumId w:val="12"/>
  </w:num>
  <w:num w:numId="10">
    <w:abstractNumId w:val="44"/>
  </w:num>
  <w:num w:numId="11">
    <w:abstractNumId w:val="30"/>
  </w:num>
  <w:num w:numId="12">
    <w:abstractNumId w:val="18"/>
  </w:num>
  <w:num w:numId="13">
    <w:abstractNumId w:val="16"/>
  </w:num>
  <w:num w:numId="14">
    <w:abstractNumId w:val="13"/>
  </w:num>
  <w:num w:numId="15">
    <w:abstractNumId w:val="43"/>
  </w:num>
  <w:num w:numId="16">
    <w:abstractNumId w:val="4"/>
  </w:num>
  <w:num w:numId="17">
    <w:abstractNumId w:val="37"/>
  </w:num>
  <w:num w:numId="18">
    <w:abstractNumId w:val="23"/>
  </w:num>
  <w:num w:numId="19">
    <w:abstractNumId w:val="21"/>
  </w:num>
  <w:num w:numId="20">
    <w:abstractNumId w:val="5"/>
  </w:num>
  <w:num w:numId="21">
    <w:abstractNumId w:val="4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8"/>
  </w:num>
  <w:num w:numId="25">
    <w:abstractNumId w:val="2"/>
  </w:num>
  <w:num w:numId="26">
    <w:abstractNumId w:val="11"/>
  </w:num>
  <w:num w:numId="27">
    <w:abstractNumId w:val="35"/>
  </w:num>
  <w:num w:numId="28">
    <w:abstractNumId w:val="15"/>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0"/>
  </w:num>
  <w:num w:numId="32">
    <w:abstractNumId w:val="26"/>
  </w:num>
  <w:num w:numId="33">
    <w:abstractNumId w:val="27"/>
  </w:num>
  <w:num w:numId="34">
    <w:abstractNumId w:val="46"/>
  </w:num>
  <w:num w:numId="35">
    <w:abstractNumId w:val="36"/>
  </w:num>
  <w:num w:numId="36">
    <w:abstractNumId w:val="19"/>
  </w:num>
  <w:num w:numId="37">
    <w:abstractNumId w:val="41"/>
  </w:num>
  <w:num w:numId="38">
    <w:abstractNumId w:val="0"/>
  </w:num>
  <w:num w:numId="39">
    <w:abstractNumId w:val="25"/>
  </w:num>
  <w:num w:numId="40">
    <w:abstractNumId w:val="14"/>
  </w:num>
  <w:num w:numId="41">
    <w:abstractNumId w:val="38"/>
  </w:num>
  <w:num w:numId="42">
    <w:abstractNumId w:val="7"/>
  </w:num>
  <w:num w:numId="43">
    <w:abstractNumId w:val="10"/>
  </w:num>
  <w:num w:numId="44">
    <w:abstractNumId w:val="17"/>
  </w:num>
  <w:num w:numId="45">
    <w:abstractNumId w:val="32"/>
  </w:num>
  <w:num w:numId="46">
    <w:abstractNumId w:val="24"/>
  </w:num>
  <w:num w:numId="47">
    <w:abstractNumId w:val="42"/>
  </w:num>
  <w:num w:numId="48">
    <w:abstractNumId w:val="34"/>
  </w:num>
  <w:num w:numId="49">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1FC"/>
    <w:rsid w:val="00000063"/>
    <w:rsid w:val="000000C7"/>
    <w:rsid w:val="0000013B"/>
    <w:rsid w:val="0000013E"/>
    <w:rsid w:val="000002E0"/>
    <w:rsid w:val="00000472"/>
    <w:rsid w:val="00000653"/>
    <w:rsid w:val="000008AE"/>
    <w:rsid w:val="00000906"/>
    <w:rsid w:val="00000947"/>
    <w:rsid w:val="000009F2"/>
    <w:rsid w:val="00000AC5"/>
    <w:rsid w:val="00000DB7"/>
    <w:rsid w:val="00000E00"/>
    <w:rsid w:val="00000EA4"/>
    <w:rsid w:val="00000F5D"/>
    <w:rsid w:val="00000FD4"/>
    <w:rsid w:val="00000FD9"/>
    <w:rsid w:val="00001001"/>
    <w:rsid w:val="00001026"/>
    <w:rsid w:val="00001085"/>
    <w:rsid w:val="00001202"/>
    <w:rsid w:val="000014BB"/>
    <w:rsid w:val="00001595"/>
    <w:rsid w:val="0000159D"/>
    <w:rsid w:val="000018B1"/>
    <w:rsid w:val="000019C7"/>
    <w:rsid w:val="00001A6D"/>
    <w:rsid w:val="00001AD6"/>
    <w:rsid w:val="00001E67"/>
    <w:rsid w:val="000020AA"/>
    <w:rsid w:val="000023B3"/>
    <w:rsid w:val="0000272C"/>
    <w:rsid w:val="0000279E"/>
    <w:rsid w:val="000027A6"/>
    <w:rsid w:val="000028AE"/>
    <w:rsid w:val="00002A44"/>
    <w:rsid w:val="00002A5B"/>
    <w:rsid w:val="00002DEE"/>
    <w:rsid w:val="000030C2"/>
    <w:rsid w:val="0000330E"/>
    <w:rsid w:val="000036E1"/>
    <w:rsid w:val="00003844"/>
    <w:rsid w:val="00003876"/>
    <w:rsid w:val="00003AB1"/>
    <w:rsid w:val="00003C5B"/>
    <w:rsid w:val="00003D25"/>
    <w:rsid w:val="00003DB1"/>
    <w:rsid w:val="00003DD1"/>
    <w:rsid w:val="000040F8"/>
    <w:rsid w:val="000046EE"/>
    <w:rsid w:val="00004768"/>
    <w:rsid w:val="00004997"/>
    <w:rsid w:val="00004BF7"/>
    <w:rsid w:val="00004C62"/>
    <w:rsid w:val="00004D07"/>
    <w:rsid w:val="00004D1A"/>
    <w:rsid w:val="00004E3E"/>
    <w:rsid w:val="00004E94"/>
    <w:rsid w:val="00005104"/>
    <w:rsid w:val="000051B8"/>
    <w:rsid w:val="0000528B"/>
    <w:rsid w:val="000054BF"/>
    <w:rsid w:val="00005530"/>
    <w:rsid w:val="000056DA"/>
    <w:rsid w:val="00005752"/>
    <w:rsid w:val="00005786"/>
    <w:rsid w:val="00005838"/>
    <w:rsid w:val="00005C58"/>
    <w:rsid w:val="00005D67"/>
    <w:rsid w:val="00005F08"/>
    <w:rsid w:val="00005FD2"/>
    <w:rsid w:val="00006035"/>
    <w:rsid w:val="000060D4"/>
    <w:rsid w:val="000060E2"/>
    <w:rsid w:val="000062B0"/>
    <w:rsid w:val="00006337"/>
    <w:rsid w:val="0000639E"/>
    <w:rsid w:val="0000683D"/>
    <w:rsid w:val="000068BB"/>
    <w:rsid w:val="00006985"/>
    <w:rsid w:val="00006AAF"/>
    <w:rsid w:val="00006B60"/>
    <w:rsid w:val="00006C7E"/>
    <w:rsid w:val="00006DB6"/>
    <w:rsid w:val="00007052"/>
    <w:rsid w:val="000070D3"/>
    <w:rsid w:val="000072C9"/>
    <w:rsid w:val="00007379"/>
    <w:rsid w:val="000073E1"/>
    <w:rsid w:val="000073FB"/>
    <w:rsid w:val="00007585"/>
    <w:rsid w:val="00007663"/>
    <w:rsid w:val="0000768E"/>
    <w:rsid w:val="00007754"/>
    <w:rsid w:val="000079EF"/>
    <w:rsid w:val="00007A47"/>
    <w:rsid w:val="00007B6A"/>
    <w:rsid w:val="00007BF3"/>
    <w:rsid w:val="00007C83"/>
    <w:rsid w:val="00007CAA"/>
    <w:rsid w:val="00007D23"/>
    <w:rsid w:val="00007D9C"/>
    <w:rsid w:val="00007DAF"/>
    <w:rsid w:val="00007E48"/>
    <w:rsid w:val="00007F1D"/>
    <w:rsid w:val="00010015"/>
    <w:rsid w:val="000100A4"/>
    <w:rsid w:val="000100E7"/>
    <w:rsid w:val="000103DD"/>
    <w:rsid w:val="000107E1"/>
    <w:rsid w:val="00010910"/>
    <w:rsid w:val="00010955"/>
    <w:rsid w:val="00010AF0"/>
    <w:rsid w:val="00010C1B"/>
    <w:rsid w:val="00010CEB"/>
    <w:rsid w:val="00010CFD"/>
    <w:rsid w:val="00010D4E"/>
    <w:rsid w:val="00010D98"/>
    <w:rsid w:val="00010D9A"/>
    <w:rsid w:val="00010ED0"/>
    <w:rsid w:val="00010F80"/>
    <w:rsid w:val="000111FE"/>
    <w:rsid w:val="00011335"/>
    <w:rsid w:val="00011902"/>
    <w:rsid w:val="00011997"/>
    <w:rsid w:val="00011A0C"/>
    <w:rsid w:val="00011A8E"/>
    <w:rsid w:val="00011B14"/>
    <w:rsid w:val="00011BD3"/>
    <w:rsid w:val="00011D9B"/>
    <w:rsid w:val="000120B8"/>
    <w:rsid w:val="000120D7"/>
    <w:rsid w:val="0001220F"/>
    <w:rsid w:val="00012240"/>
    <w:rsid w:val="00012312"/>
    <w:rsid w:val="000123D9"/>
    <w:rsid w:val="0001271C"/>
    <w:rsid w:val="00012805"/>
    <w:rsid w:val="00012A12"/>
    <w:rsid w:val="00012C0C"/>
    <w:rsid w:val="00012D4C"/>
    <w:rsid w:val="00012E08"/>
    <w:rsid w:val="00012E14"/>
    <w:rsid w:val="00012E8E"/>
    <w:rsid w:val="00012F31"/>
    <w:rsid w:val="00012F7F"/>
    <w:rsid w:val="00013248"/>
    <w:rsid w:val="00013291"/>
    <w:rsid w:val="000133B5"/>
    <w:rsid w:val="00013447"/>
    <w:rsid w:val="000134C6"/>
    <w:rsid w:val="000134CA"/>
    <w:rsid w:val="0001353F"/>
    <w:rsid w:val="000135C6"/>
    <w:rsid w:val="000137D4"/>
    <w:rsid w:val="0001393C"/>
    <w:rsid w:val="00013BAB"/>
    <w:rsid w:val="00013CFA"/>
    <w:rsid w:val="00013E12"/>
    <w:rsid w:val="00013E64"/>
    <w:rsid w:val="0001407F"/>
    <w:rsid w:val="00014258"/>
    <w:rsid w:val="0001427A"/>
    <w:rsid w:val="00014390"/>
    <w:rsid w:val="000145F0"/>
    <w:rsid w:val="00014683"/>
    <w:rsid w:val="00014BA7"/>
    <w:rsid w:val="00014EFB"/>
    <w:rsid w:val="000151A4"/>
    <w:rsid w:val="000151E4"/>
    <w:rsid w:val="000151FE"/>
    <w:rsid w:val="0001523F"/>
    <w:rsid w:val="000152FC"/>
    <w:rsid w:val="0001547B"/>
    <w:rsid w:val="00015551"/>
    <w:rsid w:val="000155C4"/>
    <w:rsid w:val="0001560D"/>
    <w:rsid w:val="00015615"/>
    <w:rsid w:val="0001564C"/>
    <w:rsid w:val="0001573C"/>
    <w:rsid w:val="0001579A"/>
    <w:rsid w:val="000159D9"/>
    <w:rsid w:val="00015A84"/>
    <w:rsid w:val="00015A96"/>
    <w:rsid w:val="00015D21"/>
    <w:rsid w:val="00015E12"/>
    <w:rsid w:val="00015E39"/>
    <w:rsid w:val="00016188"/>
    <w:rsid w:val="000161A3"/>
    <w:rsid w:val="00016244"/>
    <w:rsid w:val="00016271"/>
    <w:rsid w:val="0001627C"/>
    <w:rsid w:val="0001635D"/>
    <w:rsid w:val="000163BF"/>
    <w:rsid w:val="000163D2"/>
    <w:rsid w:val="000164AD"/>
    <w:rsid w:val="000164FD"/>
    <w:rsid w:val="0001659D"/>
    <w:rsid w:val="000165A3"/>
    <w:rsid w:val="00016691"/>
    <w:rsid w:val="00016951"/>
    <w:rsid w:val="00016A3D"/>
    <w:rsid w:val="00016D3F"/>
    <w:rsid w:val="00016DAD"/>
    <w:rsid w:val="00016E10"/>
    <w:rsid w:val="0001725B"/>
    <w:rsid w:val="000172E4"/>
    <w:rsid w:val="00017340"/>
    <w:rsid w:val="00017500"/>
    <w:rsid w:val="00017576"/>
    <w:rsid w:val="0001768F"/>
    <w:rsid w:val="00017849"/>
    <w:rsid w:val="000179C3"/>
    <w:rsid w:val="00017A4F"/>
    <w:rsid w:val="00017C5B"/>
    <w:rsid w:val="00017EF1"/>
    <w:rsid w:val="00017F09"/>
    <w:rsid w:val="00020119"/>
    <w:rsid w:val="00020420"/>
    <w:rsid w:val="000204CA"/>
    <w:rsid w:val="00020516"/>
    <w:rsid w:val="00020696"/>
    <w:rsid w:val="000207B3"/>
    <w:rsid w:val="000208C1"/>
    <w:rsid w:val="000208FD"/>
    <w:rsid w:val="00020A55"/>
    <w:rsid w:val="00020D16"/>
    <w:rsid w:val="00020D20"/>
    <w:rsid w:val="00020E1A"/>
    <w:rsid w:val="00020FE0"/>
    <w:rsid w:val="0002105E"/>
    <w:rsid w:val="000211E3"/>
    <w:rsid w:val="0002123B"/>
    <w:rsid w:val="000212A8"/>
    <w:rsid w:val="00021335"/>
    <w:rsid w:val="000214EC"/>
    <w:rsid w:val="000214F9"/>
    <w:rsid w:val="00021558"/>
    <w:rsid w:val="000218C9"/>
    <w:rsid w:val="000218DD"/>
    <w:rsid w:val="00021A75"/>
    <w:rsid w:val="00021AF7"/>
    <w:rsid w:val="00021CC2"/>
    <w:rsid w:val="00021E1A"/>
    <w:rsid w:val="00021F86"/>
    <w:rsid w:val="00021F94"/>
    <w:rsid w:val="000222CB"/>
    <w:rsid w:val="0002235D"/>
    <w:rsid w:val="00022451"/>
    <w:rsid w:val="0002249F"/>
    <w:rsid w:val="00022533"/>
    <w:rsid w:val="00022637"/>
    <w:rsid w:val="00022805"/>
    <w:rsid w:val="0002282C"/>
    <w:rsid w:val="00022854"/>
    <w:rsid w:val="00022855"/>
    <w:rsid w:val="00022883"/>
    <w:rsid w:val="00022983"/>
    <w:rsid w:val="00022B56"/>
    <w:rsid w:val="00022B63"/>
    <w:rsid w:val="00022DE6"/>
    <w:rsid w:val="00022E24"/>
    <w:rsid w:val="00022F80"/>
    <w:rsid w:val="00022F86"/>
    <w:rsid w:val="000230F0"/>
    <w:rsid w:val="0002314B"/>
    <w:rsid w:val="000236A3"/>
    <w:rsid w:val="000237BF"/>
    <w:rsid w:val="00023820"/>
    <w:rsid w:val="0002391A"/>
    <w:rsid w:val="00023928"/>
    <w:rsid w:val="00023A9B"/>
    <w:rsid w:val="00023B18"/>
    <w:rsid w:val="00023BE7"/>
    <w:rsid w:val="00023C45"/>
    <w:rsid w:val="00023D36"/>
    <w:rsid w:val="00023E88"/>
    <w:rsid w:val="00023EB9"/>
    <w:rsid w:val="00023FC2"/>
    <w:rsid w:val="0002400F"/>
    <w:rsid w:val="00024044"/>
    <w:rsid w:val="000240A5"/>
    <w:rsid w:val="000240CF"/>
    <w:rsid w:val="0002447A"/>
    <w:rsid w:val="000244C9"/>
    <w:rsid w:val="000246CF"/>
    <w:rsid w:val="000247C1"/>
    <w:rsid w:val="000247CC"/>
    <w:rsid w:val="000248A9"/>
    <w:rsid w:val="0002492E"/>
    <w:rsid w:val="00024A83"/>
    <w:rsid w:val="00024B87"/>
    <w:rsid w:val="00024CB1"/>
    <w:rsid w:val="00024DA3"/>
    <w:rsid w:val="00024DF2"/>
    <w:rsid w:val="00024E4B"/>
    <w:rsid w:val="00024F84"/>
    <w:rsid w:val="00025015"/>
    <w:rsid w:val="0002504C"/>
    <w:rsid w:val="00025140"/>
    <w:rsid w:val="000251B0"/>
    <w:rsid w:val="000254F9"/>
    <w:rsid w:val="00025522"/>
    <w:rsid w:val="00025657"/>
    <w:rsid w:val="0002581F"/>
    <w:rsid w:val="00025835"/>
    <w:rsid w:val="00025A6A"/>
    <w:rsid w:val="00025B38"/>
    <w:rsid w:val="00025CB9"/>
    <w:rsid w:val="00025D92"/>
    <w:rsid w:val="00025DDC"/>
    <w:rsid w:val="00025EA2"/>
    <w:rsid w:val="00025F84"/>
    <w:rsid w:val="00026027"/>
    <w:rsid w:val="0002603D"/>
    <w:rsid w:val="000261B8"/>
    <w:rsid w:val="000261C0"/>
    <w:rsid w:val="000264B2"/>
    <w:rsid w:val="000264EA"/>
    <w:rsid w:val="00026539"/>
    <w:rsid w:val="000265B4"/>
    <w:rsid w:val="000265E9"/>
    <w:rsid w:val="000268B8"/>
    <w:rsid w:val="00026A1E"/>
    <w:rsid w:val="00026A3C"/>
    <w:rsid w:val="00026B72"/>
    <w:rsid w:val="00026C05"/>
    <w:rsid w:val="00026D03"/>
    <w:rsid w:val="00026D9D"/>
    <w:rsid w:val="00026EAD"/>
    <w:rsid w:val="00026F4D"/>
    <w:rsid w:val="000270ED"/>
    <w:rsid w:val="000271DF"/>
    <w:rsid w:val="00027296"/>
    <w:rsid w:val="00027300"/>
    <w:rsid w:val="00027313"/>
    <w:rsid w:val="0002732B"/>
    <w:rsid w:val="0002732E"/>
    <w:rsid w:val="000273B6"/>
    <w:rsid w:val="000273BE"/>
    <w:rsid w:val="0002756D"/>
    <w:rsid w:val="00027652"/>
    <w:rsid w:val="00027717"/>
    <w:rsid w:val="000277A5"/>
    <w:rsid w:val="0002785A"/>
    <w:rsid w:val="00027912"/>
    <w:rsid w:val="000279D9"/>
    <w:rsid w:val="00027D6F"/>
    <w:rsid w:val="00027D7C"/>
    <w:rsid w:val="00027DBD"/>
    <w:rsid w:val="00027DE9"/>
    <w:rsid w:val="00030092"/>
    <w:rsid w:val="00030094"/>
    <w:rsid w:val="000302FD"/>
    <w:rsid w:val="00030372"/>
    <w:rsid w:val="0003052E"/>
    <w:rsid w:val="0003060C"/>
    <w:rsid w:val="00030618"/>
    <w:rsid w:val="0003079A"/>
    <w:rsid w:val="000307C2"/>
    <w:rsid w:val="00030858"/>
    <w:rsid w:val="00030877"/>
    <w:rsid w:val="000308ED"/>
    <w:rsid w:val="00030993"/>
    <w:rsid w:val="00030AB9"/>
    <w:rsid w:val="00030C4B"/>
    <w:rsid w:val="00030C56"/>
    <w:rsid w:val="00030D36"/>
    <w:rsid w:val="00030DAF"/>
    <w:rsid w:val="0003104D"/>
    <w:rsid w:val="0003106C"/>
    <w:rsid w:val="000310F1"/>
    <w:rsid w:val="000312DF"/>
    <w:rsid w:val="0003139B"/>
    <w:rsid w:val="0003140E"/>
    <w:rsid w:val="00031492"/>
    <w:rsid w:val="00031682"/>
    <w:rsid w:val="00031C82"/>
    <w:rsid w:val="00031C9B"/>
    <w:rsid w:val="00031CD9"/>
    <w:rsid w:val="00032631"/>
    <w:rsid w:val="0003264D"/>
    <w:rsid w:val="000326FD"/>
    <w:rsid w:val="000328F5"/>
    <w:rsid w:val="00032975"/>
    <w:rsid w:val="00032B0A"/>
    <w:rsid w:val="00032B0E"/>
    <w:rsid w:val="00032B2A"/>
    <w:rsid w:val="00032C4E"/>
    <w:rsid w:val="00032E86"/>
    <w:rsid w:val="00032E94"/>
    <w:rsid w:val="00032EAC"/>
    <w:rsid w:val="00033104"/>
    <w:rsid w:val="000332FA"/>
    <w:rsid w:val="00033352"/>
    <w:rsid w:val="00033667"/>
    <w:rsid w:val="0003390F"/>
    <w:rsid w:val="00033993"/>
    <w:rsid w:val="00033A52"/>
    <w:rsid w:val="00033B6C"/>
    <w:rsid w:val="00033C85"/>
    <w:rsid w:val="00033D89"/>
    <w:rsid w:val="00033F8D"/>
    <w:rsid w:val="00033FA0"/>
    <w:rsid w:val="00034050"/>
    <w:rsid w:val="000340FE"/>
    <w:rsid w:val="000343BC"/>
    <w:rsid w:val="0003446A"/>
    <w:rsid w:val="00034656"/>
    <w:rsid w:val="000346A6"/>
    <w:rsid w:val="000348BF"/>
    <w:rsid w:val="00034901"/>
    <w:rsid w:val="00034928"/>
    <w:rsid w:val="000349AC"/>
    <w:rsid w:val="000349DE"/>
    <w:rsid w:val="00034AF8"/>
    <w:rsid w:val="00034B31"/>
    <w:rsid w:val="00034C28"/>
    <w:rsid w:val="00034D33"/>
    <w:rsid w:val="000350EF"/>
    <w:rsid w:val="00035200"/>
    <w:rsid w:val="000352BD"/>
    <w:rsid w:val="000353BC"/>
    <w:rsid w:val="00035506"/>
    <w:rsid w:val="0003555C"/>
    <w:rsid w:val="00035834"/>
    <w:rsid w:val="000359FE"/>
    <w:rsid w:val="00035B4F"/>
    <w:rsid w:val="00035BD0"/>
    <w:rsid w:val="00035C92"/>
    <w:rsid w:val="00035D5E"/>
    <w:rsid w:val="00035ECE"/>
    <w:rsid w:val="000362CB"/>
    <w:rsid w:val="000363B6"/>
    <w:rsid w:val="000363F5"/>
    <w:rsid w:val="00036508"/>
    <w:rsid w:val="00036549"/>
    <w:rsid w:val="0003679F"/>
    <w:rsid w:val="00036B78"/>
    <w:rsid w:val="00036BF6"/>
    <w:rsid w:val="00036C18"/>
    <w:rsid w:val="00036CF3"/>
    <w:rsid w:val="00036E00"/>
    <w:rsid w:val="00036EC8"/>
    <w:rsid w:val="00036F41"/>
    <w:rsid w:val="00037620"/>
    <w:rsid w:val="00037875"/>
    <w:rsid w:val="000379A2"/>
    <w:rsid w:val="000379BD"/>
    <w:rsid w:val="00037AA9"/>
    <w:rsid w:val="00037AAD"/>
    <w:rsid w:val="00037C14"/>
    <w:rsid w:val="00037C9A"/>
    <w:rsid w:val="00037F0A"/>
    <w:rsid w:val="00037F83"/>
    <w:rsid w:val="0004014B"/>
    <w:rsid w:val="000401B1"/>
    <w:rsid w:val="00040247"/>
    <w:rsid w:val="000402A6"/>
    <w:rsid w:val="00040348"/>
    <w:rsid w:val="00040684"/>
    <w:rsid w:val="000406B2"/>
    <w:rsid w:val="000409E5"/>
    <w:rsid w:val="00040AE8"/>
    <w:rsid w:val="00040E08"/>
    <w:rsid w:val="00040F61"/>
    <w:rsid w:val="00040FBE"/>
    <w:rsid w:val="0004104C"/>
    <w:rsid w:val="000410B7"/>
    <w:rsid w:val="00041144"/>
    <w:rsid w:val="0004120F"/>
    <w:rsid w:val="000412A3"/>
    <w:rsid w:val="000413CD"/>
    <w:rsid w:val="0004150D"/>
    <w:rsid w:val="0004157F"/>
    <w:rsid w:val="000415D2"/>
    <w:rsid w:val="00041610"/>
    <w:rsid w:val="000416BD"/>
    <w:rsid w:val="00041882"/>
    <w:rsid w:val="00041BF6"/>
    <w:rsid w:val="00041D85"/>
    <w:rsid w:val="00041F4A"/>
    <w:rsid w:val="00042092"/>
    <w:rsid w:val="00042160"/>
    <w:rsid w:val="00042191"/>
    <w:rsid w:val="00042271"/>
    <w:rsid w:val="000422CB"/>
    <w:rsid w:val="000422D9"/>
    <w:rsid w:val="000422E0"/>
    <w:rsid w:val="00042347"/>
    <w:rsid w:val="00042408"/>
    <w:rsid w:val="00042475"/>
    <w:rsid w:val="00042555"/>
    <w:rsid w:val="0004264D"/>
    <w:rsid w:val="0004280C"/>
    <w:rsid w:val="00042842"/>
    <w:rsid w:val="00042930"/>
    <w:rsid w:val="00042AFE"/>
    <w:rsid w:val="00042C15"/>
    <w:rsid w:val="00042CB6"/>
    <w:rsid w:val="00042DA1"/>
    <w:rsid w:val="00042E17"/>
    <w:rsid w:val="000430C9"/>
    <w:rsid w:val="000432F3"/>
    <w:rsid w:val="000433DF"/>
    <w:rsid w:val="00043464"/>
    <w:rsid w:val="00043473"/>
    <w:rsid w:val="0004350A"/>
    <w:rsid w:val="000439C6"/>
    <w:rsid w:val="000439E7"/>
    <w:rsid w:val="00043B12"/>
    <w:rsid w:val="00043B3E"/>
    <w:rsid w:val="00043C9F"/>
    <w:rsid w:val="00043D1E"/>
    <w:rsid w:val="00044155"/>
    <w:rsid w:val="000441A7"/>
    <w:rsid w:val="0004434E"/>
    <w:rsid w:val="00044A3D"/>
    <w:rsid w:val="00044A6C"/>
    <w:rsid w:val="00044AEA"/>
    <w:rsid w:val="00044B24"/>
    <w:rsid w:val="00044CB5"/>
    <w:rsid w:val="00044DFF"/>
    <w:rsid w:val="00044E97"/>
    <w:rsid w:val="00044FEA"/>
    <w:rsid w:val="00045051"/>
    <w:rsid w:val="00045063"/>
    <w:rsid w:val="000452FD"/>
    <w:rsid w:val="00045442"/>
    <w:rsid w:val="00045458"/>
    <w:rsid w:val="000455FE"/>
    <w:rsid w:val="00045835"/>
    <w:rsid w:val="00045897"/>
    <w:rsid w:val="0004597C"/>
    <w:rsid w:val="00045ABD"/>
    <w:rsid w:val="00045F13"/>
    <w:rsid w:val="00045F65"/>
    <w:rsid w:val="00045FD4"/>
    <w:rsid w:val="0004614A"/>
    <w:rsid w:val="0004623C"/>
    <w:rsid w:val="000462DA"/>
    <w:rsid w:val="000466FB"/>
    <w:rsid w:val="000467D8"/>
    <w:rsid w:val="00046922"/>
    <w:rsid w:val="00046B1B"/>
    <w:rsid w:val="00046C9E"/>
    <w:rsid w:val="00046D6E"/>
    <w:rsid w:val="00046E5E"/>
    <w:rsid w:val="00046EB7"/>
    <w:rsid w:val="00046F29"/>
    <w:rsid w:val="00046F7D"/>
    <w:rsid w:val="00047134"/>
    <w:rsid w:val="000476D5"/>
    <w:rsid w:val="00047979"/>
    <w:rsid w:val="0004799F"/>
    <w:rsid w:val="000479E2"/>
    <w:rsid w:val="00047D28"/>
    <w:rsid w:val="00047E8A"/>
    <w:rsid w:val="0005012A"/>
    <w:rsid w:val="0005012B"/>
    <w:rsid w:val="00050192"/>
    <w:rsid w:val="000501BA"/>
    <w:rsid w:val="00050237"/>
    <w:rsid w:val="000502E6"/>
    <w:rsid w:val="00050373"/>
    <w:rsid w:val="000503EC"/>
    <w:rsid w:val="000504CF"/>
    <w:rsid w:val="00050597"/>
    <w:rsid w:val="000505AC"/>
    <w:rsid w:val="000508B1"/>
    <w:rsid w:val="00050945"/>
    <w:rsid w:val="000509D9"/>
    <w:rsid w:val="00050D37"/>
    <w:rsid w:val="00050F2E"/>
    <w:rsid w:val="00050FAE"/>
    <w:rsid w:val="0005103A"/>
    <w:rsid w:val="0005105F"/>
    <w:rsid w:val="000510D8"/>
    <w:rsid w:val="0005127C"/>
    <w:rsid w:val="000512AB"/>
    <w:rsid w:val="000516E9"/>
    <w:rsid w:val="00051A00"/>
    <w:rsid w:val="00051A4B"/>
    <w:rsid w:val="00051A51"/>
    <w:rsid w:val="00051EFA"/>
    <w:rsid w:val="00051EFE"/>
    <w:rsid w:val="00052131"/>
    <w:rsid w:val="000521B9"/>
    <w:rsid w:val="000522D3"/>
    <w:rsid w:val="000523FA"/>
    <w:rsid w:val="00052507"/>
    <w:rsid w:val="00052822"/>
    <w:rsid w:val="00052866"/>
    <w:rsid w:val="0005286F"/>
    <w:rsid w:val="00052A8E"/>
    <w:rsid w:val="00052D36"/>
    <w:rsid w:val="00052D3D"/>
    <w:rsid w:val="00052DB3"/>
    <w:rsid w:val="00053103"/>
    <w:rsid w:val="000531BE"/>
    <w:rsid w:val="00053233"/>
    <w:rsid w:val="0005337C"/>
    <w:rsid w:val="000537D8"/>
    <w:rsid w:val="00053801"/>
    <w:rsid w:val="00053857"/>
    <w:rsid w:val="00053B33"/>
    <w:rsid w:val="00053D81"/>
    <w:rsid w:val="00053F76"/>
    <w:rsid w:val="000540C9"/>
    <w:rsid w:val="000540D7"/>
    <w:rsid w:val="00054353"/>
    <w:rsid w:val="00054396"/>
    <w:rsid w:val="00054440"/>
    <w:rsid w:val="00054460"/>
    <w:rsid w:val="0005457C"/>
    <w:rsid w:val="00054598"/>
    <w:rsid w:val="0005497A"/>
    <w:rsid w:val="000549D4"/>
    <w:rsid w:val="00054A25"/>
    <w:rsid w:val="00054C1C"/>
    <w:rsid w:val="00054D5C"/>
    <w:rsid w:val="00054FE7"/>
    <w:rsid w:val="000552C4"/>
    <w:rsid w:val="000553B4"/>
    <w:rsid w:val="00055490"/>
    <w:rsid w:val="0005551B"/>
    <w:rsid w:val="000555E8"/>
    <w:rsid w:val="000558B0"/>
    <w:rsid w:val="000559C2"/>
    <w:rsid w:val="00055C2E"/>
    <w:rsid w:val="00055CC5"/>
    <w:rsid w:val="00055D10"/>
    <w:rsid w:val="00055D26"/>
    <w:rsid w:val="00055EBA"/>
    <w:rsid w:val="00055ED4"/>
    <w:rsid w:val="00055F93"/>
    <w:rsid w:val="00056091"/>
    <w:rsid w:val="0005621B"/>
    <w:rsid w:val="0005635F"/>
    <w:rsid w:val="00056579"/>
    <w:rsid w:val="0005664B"/>
    <w:rsid w:val="0005669A"/>
    <w:rsid w:val="000566E5"/>
    <w:rsid w:val="0005674D"/>
    <w:rsid w:val="00056752"/>
    <w:rsid w:val="000569FC"/>
    <w:rsid w:val="00056B68"/>
    <w:rsid w:val="00056E12"/>
    <w:rsid w:val="00056F03"/>
    <w:rsid w:val="00056F96"/>
    <w:rsid w:val="000570E1"/>
    <w:rsid w:val="000572A9"/>
    <w:rsid w:val="00057320"/>
    <w:rsid w:val="000573BB"/>
    <w:rsid w:val="0005743F"/>
    <w:rsid w:val="00057538"/>
    <w:rsid w:val="00057857"/>
    <w:rsid w:val="00057918"/>
    <w:rsid w:val="00057AD3"/>
    <w:rsid w:val="00057EED"/>
    <w:rsid w:val="00057FB9"/>
    <w:rsid w:val="000600F8"/>
    <w:rsid w:val="000601B7"/>
    <w:rsid w:val="0006032B"/>
    <w:rsid w:val="00060394"/>
    <w:rsid w:val="000604A8"/>
    <w:rsid w:val="00060557"/>
    <w:rsid w:val="000605D8"/>
    <w:rsid w:val="0006064A"/>
    <w:rsid w:val="00060706"/>
    <w:rsid w:val="000607F6"/>
    <w:rsid w:val="00060983"/>
    <w:rsid w:val="00060ABD"/>
    <w:rsid w:val="00060D53"/>
    <w:rsid w:val="00060EFD"/>
    <w:rsid w:val="00061031"/>
    <w:rsid w:val="00061309"/>
    <w:rsid w:val="00061670"/>
    <w:rsid w:val="000616E2"/>
    <w:rsid w:val="0006171E"/>
    <w:rsid w:val="00061829"/>
    <w:rsid w:val="000619C0"/>
    <w:rsid w:val="00061C48"/>
    <w:rsid w:val="00061C68"/>
    <w:rsid w:val="00061DBD"/>
    <w:rsid w:val="00062067"/>
    <w:rsid w:val="000620FA"/>
    <w:rsid w:val="00062347"/>
    <w:rsid w:val="00062417"/>
    <w:rsid w:val="0006246C"/>
    <w:rsid w:val="0006250D"/>
    <w:rsid w:val="0006262F"/>
    <w:rsid w:val="00062747"/>
    <w:rsid w:val="00062781"/>
    <w:rsid w:val="00062816"/>
    <w:rsid w:val="000629A8"/>
    <w:rsid w:val="00062ACC"/>
    <w:rsid w:val="00062BD2"/>
    <w:rsid w:val="00062CC4"/>
    <w:rsid w:val="00062D6A"/>
    <w:rsid w:val="00062EF1"/>
    <w:rsid w:val="0006336F"/>
    <w:rsid w:val="00063498"/>
    <w:rsid w:val="000634AE"/>
    <w:rsid w:val="000634EB"/>
    <w:rsid w:val="00063550"/>
    <w:rsid w:val="00063577"/>
    <w:rsid w:val="000635E0"/>
    <w:rsid w:val="00063658"/>
    <w:rsid w:val="00063690"/>
    <w:rsid w:val="00063775"/>
    <w:rsid w:val="000637A4"/>
    <w:rsid w:val="0006383C"/>
    <w:rsid w:val="0006397C"/>
    <w:rsid w:val="00063997"/>
    <w:rsid w:val="00063A40"/>
    <w:rsid w:val="00063A96"/>
    <w:rsid w:val="00063C5C"/>
    <w:rsid w:val="00063D17"/>
    <w:rsid w:val="00063D5B"/>
    <w:rsid w:val="000640A5"/>
    <w:rsid w:val="00064185"/>
    <w:rsid w:val="0006420D"/>
    <w:rsid w:val="00064241"/>
    <w:rsid w:val="00064383"/>
    <w:rsid w:val="000644E3"/>
    <w:rsid w:val="000645BF"/>
    <w:rsid w:val="00064971"/>
    <w:rsid w:val="00064C29"/>
    <w:rsid w:val="00064E12"/>
    <w:rsid w:val="000652FD"/>
    <w:rsid w:val="000653F4"/>
    <w:rsid w:val="000656FE"/>
    <w:rsid w:val="00065C70"/>
    <w:rsid w:val="00065CAC"/>
    <w:rsid w:val="00065D01"/>
    <w:rsid w:val="00065D83"/>
    <w:rsid w:val="00065E38"/>
    <w:rsid w:val="00065ED2"/>
    <w:rsid w:val="00066021"/>
    <w:rsid w:val="000660DF"/>
    <w:rsid w:val="0006636D"/>
    <w:rsid w:val="000665A3"/>
    <w:rsid w:val="000666AC"/>
    <w:rsid w:val="00066779"/>
    <w:rsid w:val="0006678B"/>
    <w:rsid w:val="000668DC"/>
    <w:rsid w:val="0006691B"/>
    <w:rsid w:val="00066F7B"/>
    <w:rsid w:val="00067076"/>
    <w:rsid w:val="00067132"/>
    <w:rsid w:val="000671BF"/>
    <w:rsid w:val="00067449"/>
    <w:rsid w:val="000674CB"/>
    <w:rsid w:val="000675EA"/>
    <w:rsid w:val="00067642"/>
    <w:rsid w:val="000676A8"/>
    <w:rsid w:val="00067BC7"/>
    <w:rsid w:val="00067D12"/>
    <w:rsid w:val="00067D4B"/>
    <w:rsid w:val="00067DD1"/>
    <w:rsid w:val="00067E8A"/>
    <w:rsid w:val="00067EEA"/>
    <w:rsid w:val="00067F05"/>
    <w:rsid w:val="00070022"/>
    <w:rsid w:val="00070132"/>
    <w:rsid w:val="00070368"/>
    <w:rsid w:val="0007041B"/>
    <w:rsid w:val="0007051D"/>
    <w:rsid w:val="00070776"/>
    <w:rsid w:val="000707F0"/>
    <w:rsid w:val="0007090D"/>
    <w:rsid w:val="00070A72"/>
    <w:rsid w:val="00070BE3"/>
    <w:rsid w:val="00071107"/>
    <w:rsid w:val="0007110D"/>
    <w:rsid w:val="00071132"/>
    <w:rsid w:val="00071278"/>
    <w:rsid w:val="000712C7"/>
    <w:rsid w:val="0007160E"/>
    <w:rsid w:val="0007164D"/>
    <w:rsid w:val="000716DD"/>
    <w:rsid w:val="000717E2"/>
    <w:rsid w:val="000718E6"/>
    <w:rsid w:val="000718F0"/>
    <w:rsid w:val="00071919"/>
    <w:rsid w:val="0007191A"/>
    <w:rsid w:val="0007192D"/>
    <w:rsid w:val="00071A68"/>
    <w:rsid w:val="00071AC6"/>
    <w:rsid w:val="00071B2A"/>
    <w:rsid w:val="00071C7A"/>
    <w:rsid w:val="00071EFE"/>
    <w:rsid w:val="00071F3E"/>
    <w:rsid w:val="00071F98"/>
    <w:rsid w:val="0007227A"/>
    <w:rsid w:val="000722F4"/>
    <w:rsid w:val="00072359"/>
    <w:rsid w:val="000724DD"/>
    <w:rsid w:val="0007265D"/>
    <w:rsid w:val="0007279E"/>
    <w:rsid w:val="000727AC"/>
    <w:rsid w:val="00072806"/>
    <w:rsid w:val="00072849"/>
    <w:rsid w:val="00072D04"/>
    <w:rsid w:val="00072D96"/>
    <w:rsid w:val="00072EF3"/>
    <w:rsid w:val="0007310F"/>
    <w:rsid w:val="0007311E"/>
    <w:rsid w:val="0007316A"/>
    <w:rsid w:val="00073565"/>
    <w:rsid w:val="00073587"/>
    <w:rsid w:val="000735DF"/>
    <w:rsid w:val="00073636"/>
    <w:rsid w:val="000736A4"/>
    <w:rsid w:val="00073DA5"/>
    <w:rsid w:val="00073DE0"/>
    <w:rsid w:val="0007407E"/>
    <w:rsid w:val="00074084"/>
    <w:rsid w:val="000742FA"/>
    <w:rsid w:val="00074370"/>
    <w:rsid w:val="00074390"/>
    <w:rsid w:val="000745AE"/>
    <w:rsid w:val="0007462A"/>
    <w:rsid w:val="00074814"/>
    <w:rsid w:val="000749E1"/>
    <w:rsid w:val="00074B7C"/>
    <w:rsid w:val="00074C70"/>
    <w:rsid w:val="00074E26"/>
    <w:rsid w:val="00074EC2"/>
    <w:rsid w:val="00074F17"/>
    <w:rsid w:val="00075095"/>
    <w:rsid w:val="00075313"/>
    <w:rsid w:val="00075416"/>
    <w:rsid w:val="000754BC"/>
    <w:rsid w:val="000755F2"/>
    <w:rsid w:val="00075657"/>
    <w:rsid w:val="0007585E"/>
    <w:rsid w:val="00075ABA"/>
    <w:rsid w:val="00075CAC"/>
    <w:rsid w:val="000762F4"/>
    <w:rsid w:val="000762FA"/>
    <w:rsid w:val="00076456"/>
    <w:rsid w:val="000765C3"/>
    <w:rsid w:val="0007662F"/>
    <w:rsid w:val="000766C3"/>
    <w:rsid w:val="000768F7"/>
    <w:rsid w:val="000769BE"/>
    <w:rsid w:val="00076C00"/>
    <w:rsid w:val="00076C16"/>
    <w:rsid w:val="00076D6A"/>
    <w:rsid w:val="00076D7C"/>
    <w:rsid w:val="00076E9F"/>
    <w:rsid w:val="00077001"/>
    <w:rsid w:val="000770D8"/>
    <w:rsid w:val="000771A1"/>
    <w:rsid w:val="00077216"/>
    <w:rsid w:val="0007726C"/>
    <w:rsid w:val="000772D7"/>
    <w:rsid w:val="0007730C"/>
    <w:rsid w:val="00077517"/>
    <w:rsid w:val="00077684"/>
    <w:rsid w:val="0007784F"/>
    <w:rsid w:val="00077A1A"/>
    <w:rsid w:val="00077C2E"/>
    <w:rsid w:val="00077CCD"/>
    <w:rsid w:val="00077CDE"/>
    <w:rsid w:val="00077E19"/>
    <w:rsid w:val="000804A1"/>
    <w:rsid w:val="0008054D"/>
    <w:rsid w:val="000805E8"/>
    <w:rsid w:val="00080646"/>
    <w:rsid w:val="000807D2"/>
    <w:rsid w:val="00080907"/>
    <w:rsid w:val="00080A97"/>
    <w:rsid w:val="00080B28"/>
    <w:rsid w:val="00080C27"/>
    <w:rsid w:val="00080ED0"/>
    <w:rsid w:val="00080ED3"/>
    <w:rsid w:val="00080EFC"/>
    <w:rsid w:val="00080F9E"/>
    <w:rsid w:val="000811A1"/>
    <w:rsid w:val="00081609"/>
    <w:rsid w:val="000817A1"/>
    <w:rsid w:val="00081B08"/>
    <w:rsid w:val="00081B96"/>
    <w:rsid w:val="00081BBB"/>
    <w:rsid w:val="00081C1A"/>
    <w:rsid w:val="00081C50"/>
    <w:rsid w:val="00081E0F"/>
    <w:rsid w:val="00081E94"/>
    <w:rsid w:val="00081F51"/>
    <w:rsid w:val="000820EE"/>
    <w:rsid w:val="00082308"/>
    <w:rsid w:val="000823D8"/>
    <w:rsid w:val="000824AB"/>
    <w:rsid w:val="0008253A"/>
    <w:rsid w:val="00082694"/>
    <w:rsid w:val="000826CD"/>
    <w:rsid w:val="00082BBA"/>
    <w:rsid w:val="00082CB7"/>
    <w:rsid w:val="00082DAD"/>
    <w:rsid w:val="00082F16"/>
    <w:rsid w:val="00082F8B"/>
    <w:rsid w:val="00082F90"/>
    <w:rsid w:val="00083028"/>
    <w:rsid w:val="000830D1"/>
    <w:rsid w:val="000832B3"/>
    <w:rsid w:val="000832B4"/>
    <w:rsid w:val="000833D7"/>
    <w:rsid w:val="000834B9"/>
    <w:rsid w:val="0008369E"/>
    <w:rsid w:val="0008372C"/>
    <w:rsid w:val="000838C7"/>
    <w:rsid w:val="000839B2"/>
    <w:rsid w:val="00083ADA"/>
    <w:rsid w:val="00083CA1"/>
    <w:rsid w:val="00083CAC"/>
    <w:rsid w:val="00083D1A"/>
    <w:rsid w:val="00083ED4"/>
    <w:rsid w:val="00083FF3"/>
    <w:rsid w:val="00084042"/>
    <w:rsid w:val="00084334"/>
    <w:rsid w:val="00084573"/>
    <w:rsid w:val="000846BE"/>
    <w:rsid w:val="000846C4"/>
    <w:rsid w:val="00084767"/>
    <w:rsid w:val="00084776"/>
    <w:rsid w:val="000847D7"/>
    <w:rsid w:val="00084842"/>
    <w:rsid w:val="00084925"/>
    <w:rsid w:val="00084AD1"/>
    <w:rsid w:val="00084D8B"/>
    <w:rsid w:val="00084F26"/>
    <w:rsid w:val="00084F60"/>
    <w:rsid w:val="00085090"/>
    <w:rsid w:val="00085092"/>
    <w:rsid w:val="000850FC"/>
    <w:rsid w:val="0008517C"/>
    <w:rsid w:val="000851BD"/>
    <w:rsid w:val="00085436"/>
    <w:rsid w:val="000854B8"/>
    <w:rsid w:val="000858D9"/>
    <w:rsid w:val="0008591D"/>
    <w:rsid w:val="00085A02"/>
    <w:rsid w:val="00085CAD"/>
    <w:rsid w:val="0008610F"/>
    <w:rsid w:val="00086397"/>
    <w:rsid w:val="00086401"/>
    <w:rsid w:val="00086652"/>
    <w:rsid w:val="00086732"/>
    <w:rsid w:val="00086871"/>
    <w:rsid w:val="00086A0C"/>
    <w:rsid w:val="00086E71"/>
    <w:rsid w:val="00086E73"/>
    <w:rsid w:val="00086FF3"/>
    <w:rsid w:val="00087093"/>
    <w:rsid w:val="000870A9"/>
    <w:rsid w:val="00087262"/>
    <w:rsid w:val="000873EF"/>
    <w:rsid w:val="00087647"/>
    <w:rsid w:val="00087B28"/>
    <w:rsid w:val="00087E6E"/>
    <w:rsid w:val="0009006B"/>
    <w:rsid w:val="00090188"/>
    <w:rsid w:val="00090284"/>
    <w:rsid w:val="000903B7"/>
    <w:rsid w:val="0009063C"/>
    <w:rsid w:val="0009082C"/>
    <w:rsid w:val="00090843"/>
    <w:rsid w:val="00090A4A"/>
    <w:rsid w:val="00090B1B"/>
    <w:rsid w:val="00090B25"/>
    <w:rsid w:val="00090DC9"/>
    <w:rsid w:val="00090E23"/>
    <w:rsid w:val="00090E41"/>
    <w:rsid w:val="00090EC6"/>
    <w:rsid w:val="00090EC7"/>
    <w:rsid w:val="00090F9A"/>
    <w:rsid w:val="0009104D"/>
    <w:rsid w:val="0009110C"/>
    <w:rsid w:val="00091112"/>
    <w:rsid w:val="00091183"/>
    <w:rsid w:val="000914B7"/>
    <w:rsid w:val="000916FC"/>
    <w:rsid w:val="0009179D"/>
    <w:rsid w:val="00091890"/>
    <w:rsid w:val="000919FD"/>
    <w:rsid w:val="00091FA3"/>
    <w:rsid w:val="00091FEC"/>
    <w:rsid w:val="00092038"/>
    <w:rsid w:val="00092076"/>
    <w:rsid w:val="0009217A"/>
    <w:rsid w:val="00092196"/>
    <w:rsid w:val="000922D2"/>
    <w:rsid w:val="00092416"/>
    <w:rsid w:val="0009243F"/>
    <w:rsid w:val="000925DE"/>
    <w:rsid w:val="0009268D"/>
    <w:rsid w:val="000926DE"/>
    <w:rsid w:val="0009271D"/>
    <w:rsid w:val="00092797"/>
    <w:rsid w:val="00092827"/>
    <w:rsid w:val="000928E7"/>
    <w:rsid w:val="000929F0"/>
    <w:rsid w:val="00092A9E"/>
    <w:rsid w:val="00092AB9"/>
    <w:rsid w:val="00092C6F"/>
    <w:rsid w:val="00092FAC"/>
    <w:rsid w:val="000931AB"/>
    <w:rsid w:val="00093321"/>
    <w:rsid w:val="0009336A"/>
    <w:rsid w:val="00093570"/>
    <w:rsid w:val="0009369B"/>
    <w:rsid w:val="000938D3"/>
    <w:rsid w:val="000938E9"/>
    <w:rsid w:val="000938F2"/>
    <w:rsid w:val="00093B1B"/>
    <w:rsid w:val="00093BD5"/>
    <w:rsid w:val="00093C18"/>
    <w:rsid w:val="00093C96"/>
    <w:rsid w:val="00093D06"/>
    <w:rsid w:val="00093D5F"/>
    <w:rsid w:val="00094012"/>
    <w:rsid w:val="000940FC"/>
    <w:rsid w:val="000942C4"/>
    <w:rsid w:val="0009440C"/>
    <w:rsid w:val="000944ED"/>
    <w:rsid w:val="000945C8"/>
    <w:rsid w:val="000945C9"/>
    <w:rsid w:val="000945E1"/>
    <w:rsid w:val="000946C4"/>
    <w:rsid w:val="0009477F"/>
    <w:rsid w:val="00094850"/>
    <w:rsid w:val="000949C8"/>
    <w:rsid w:val="00094B3D"/>
    <w:rsid w:val="00094E53"/>
    <w:rsid w:val="00095269"/>
    <w:rsid w:val="00095631"/>
    <w:rsid w:val="00095AB6"/>
    <w:rsid w:val="00095C38"/>
    <w:rsid w:val="00095E73"/>
    <w:rsid w:val="00095FA9"/>
    <w:rsid w:val="00096520"/>
    <w:rsid w:val="00096785"/>
    <w:rsid w:val="000969C2"/>
    <w:rsid w:val="00096AC4"/>
    <w:rsid w:val="00096E55"/>
    <w:rsid w:val="00097008"/>
    <w:rsid w:val="00097020"/>
    <w:rsid w:val="0009712F"/>
    <w:rsid w:val="000971C8"/>
    <w:rsid w:val="000971FE"/>
    <w:rsid w:val="000974D9"/>
    <w:rsid w:val="0009751B"/>
    <w:rsid w:val="00097787"/>
    <w:rsid w:val="0009779A"/>
    <w:rsid w:val="00097AF0"/>
    <w:rsid w:val="00097B55"/>
    <w:rsid w:val="00097C0D"/>
    <w:rsid w:val="00097D65"/>
    <w:rsid w:val="00097DDF"/>
    <w:rsid w:val="00097E31"/>
    <w:rsid w:val="000A0093"/>
    <w:rsid w:val="000A00FB"/>
    <w:rsid w:val="000A02CD"/>
    <w:rsid w:val="000A03E2"/>
    <w:rsid w:val="000A0756"/>
    <w:rsid w:val="000A07A4"/>
    <w:rsid w:val="000A086B"/>
    <w:rsid w:val="000A0A2B"/>
    <w:rsid w:val="000A0AE4"/>
    <w:rsid w:val="000A0BA7"/>
    <w:rsid w:val="000A0BB4"/>
    <w:rsid w:val="000A0C70"/>
    <w:rsid w:val="000A0D9C"/>
    <w:rsid w:val="000A0E60"/>
    <w:rsid w:val="000A0E7C"/>
    <w:rsid w:val="000A114F"/>
    <w:rsid w:val="000A13E4"/>
    <w:rsid w:val="000A143F"/>
    <w:rsid w:val="000A14AB"/>
    <w:rsid w:val="000A1532"/>
    <w:rsid w:val="000A15AC"/>
    <w:rsid w:val="000A1623"/>
    <w:rsid w:val="000A1644"/>
    <w:rsid w:val="000A1796"/>
    <w:rsid w:val="000A1BAF"/>
    <w:rsid w:val="000A1CB8"/>
    <w:rsid w:val="000A1D0D"/>
    <w:rsid w:val="000A1DC0"/>
    <w:rsid w:val="000A1DE1"/>
    <w:rsid w:val="000A1F79"/>
    <w:rsid w:val="000A1FDC"/>
    <w:rsid w:val="000A23EE"/>
    <w:rsid w:val="000A2758"/>
    <w:rsid w:val="000A299A"/>
    <w:rsid w:val="000A29BB"/>
    <w:rsid w:val="000A2ABF"/>
    <w:rsid w:val="000A2EFE"/>
    <w:rsid w:val="000A2F97"/>
    <w:rsid w:val="000A303E"/>
    <w:rsid w:val="000A31FC"/>
    <w:rsid w:val="000A3429"/>
    <w:rsid w:val="000A3460"/>
    <w:rsid w:val="000A35A6"/>
    <w:rsid w:val="000A35C1"/>
    <w:rsid w:val="000A3617"/>
    <w:rsid w:val="000A3699"/>
    <w:rsid w:val="000A3834"/>
    <w:rsid w:val="000A3982"/>
    <w:rsid w:val="000A3A02"/>
    <w:rsid w:val="000A3ABB"/>
    <w:rsid w:val="000A3B82"/>
    <w:rsid w:val="000A3C04"/>
    <w:rsid w:val="000A3C54"/>
    <w:rsid w:val="000A3C60"/>
    <w:rsid w:val="000A3D7A"/>
    <w:rsid w:val="000A3DBF"/>
    <w:rsid w:val="000A3FFE"/>
    <w:rsid w:val="000A406D"/>
    <w:rsid w:val="000A4204"/>
    <w:rsid w:val="000A4238"/>
    <w:rsid w:val="000A4714"/>
    <w:rsid w:val="000A4750"/>
    <w:rsid w:val="000A475D"/>
    <w:rsid w:val="000A49F3"/>
    <w:rsid w:val="000A4D6D"/>
    <w:rsid w:val="000A4DF5"/>
    <w:rsid w:val="000A4E84"/>
    <w:rsid w:val="000A4F3F"/>
    <w:rsid w:val="000A5039"/>
    <w:rsid w:val="000A5087"/>
    <w:rsid w:val="000A51BA"/>
    <w:rsid w:val="000A523C"/>
    <w:rsid w:val="000A5324"/>
    <w:rsid w:val="000A5342"/>
    <w:rsid w:val="000A555A"/>
    <w:rsid w:val="000A5616"/>
    <w:rsid w:val="000A561F"/>
    <w:rsid w:val="000A57A3"/>
    <w:rsid w:val="000A58D6"/>
    <w:rsid w:val="000A5A19"/>
    <w:rsid w:val="000A61A0"/>
    <w:rsid w:val="000A62D9"/>
    <w:rsid w:val="000A6332"/>
    <w:rsid w:val="000A6419"/>
    <w:rsid w:val="000A6434"/>
    <w:rsid w:val="000A6493"/>
    <w:rsid w:val="000A65FD"/>
    <w:rsid w:val="000A6746"/>
    <w:rsid w:val="000A67BB"/>
    <w:rsid w:val="000A681B"/>
    <w:rsid w:val="000A6A32"/>
    <w:rsid w:val="000A6AD4"/>
    <w:rsid w:val="000A6D58"/>
    <w:rsid w:val="000A6EDF"/>
    <w:rsid w:val="000A7110"/>
    <w:rsid w:val="000A7190"/>
    <w:rsid w:val="000A72AC"/>
    <w:rsid w:val="000A72DD"/>
    <w:rsid w:val="000A72FD"/>
    <w:rsid w:val="000A74AD"/>
    <w:rsid w:val="000A752C"/>
    <w:rsid w:val="000A75D4"/>
    <w:rsid w:val="000A7724"/>
    <w:rsid w:val="000A7737"/>
    <w:rsid w:val="000A784A"/>
    <w:rsid w:val="000A7948"/>
    <w:rsid w:val="000A7AC2"/>
    <w:rsid w:val="000A7B5C"/>
    <w:rsid w:val="000A7BD6"/>
    <w:rsid w:val="000A7CAF"/>
    <w:rsid w:val="000A7D47"/>
    <w:rsid w:val="000A7DD0"/>
    <w:rsid w:val="000A7E97"/>
    <w:rsid w:val="000B0050"/>
    <w:rsid w:val="000B0183"/>
    <w:rsid w:val="000B0441"/>
    <w:rsid w:val="000B05D3"/>
    <w:rsid w:val="000B05F5"/>
    <w:rsid w:val="000B0D7F"/>
    <w:rsid w:val="000B1220"/>
    <w:rsid w:val="000B135D"/>
    <w:rsid w:val="000B1467"/>
    <w:rsid w:val="000B1523"/>
    <w:rsid w:val="000B156E"/>
    <w:rsid w:val="000B1633"/>
    <w:rsid w:val="000B18BE"/>
    <w:rsid w:val="000B1925"/>
    <w:rsid w:val="000B1B14"/>
    <w:rsid w:val="000B1C08"/>
    <w:rsid w:val="000B1DE4"/>
    <w:rsid w:val="000B1ED0"/>
    <w:rsid w:val="000B1F51"/>
    <w:rsid w:val="000B1FEE"/>
    <w:rsid w:val="000B2000"/>
    <w:rsid w:val="000B22E1"/>
    <w:rsid w:val="000B22E9"/>
    <w:rsid w:val="000B234E"/>
    <w:rsid w:val="000B23A1"/>
    <w:rsid w:val="000B23D8"/>
    <w:rsid w:val="000B242D"/>
    <w:rsid w:val="000B25B9"/>
    <w:rsid w:val="000B2690"/>
    <w:rsid w:val="000B26ED"/>
    <w:rsid w:val="000B2910"/>
    <w:rsid w:val="000B2A29"/>
    <w:rsid w:val="000B2ACA"/>
    <w:rsid w:val="000B2B9C"/>
    <w:rsid w:val="000B2C8C"/>
    <w:rsid w:val="000B2E11"/>
    <w:rsid w:val="000B2E24"/>
    <w:rsid w:val="000B2F10"/>
    <w:rsid w:val="000B3054"/>
    <w:rsid w:val="000B315A"/>
    <w:rsid w:val="000B31BA"/>
    <w:rsid w:val="000B3224"/>
    <w:rsid w:val="000B348A"/>
    <w:rsid w:val="000B350B"/>
    <w:rsid w:val="000B37E5"/>
    <w:rsid w:val="000B3864"/>
    <w:rsid w:val="000B3905"/>
    <w:rsid w:val="000B3D81"/>
    <w:rsid w:val="000B3D84"/>
    <w:rsid w:val="000B3DB7"/>
    <w:rsid w:val="000B3E21"/>
    <w:rsid w:val="000B3E38"/>
    <w:rsid w:val="000B3F50"/>
    <w:rsid w:val="000B4254"/>
    <w:rsid w:val="000B4399"/>
    <w:rsid w:val="000B43D5"/>
    <w:rsid w:val="000B43EA"/>
    <w:rsid w:val="000B45FE"/>
    <w:rsid w:val="000B4876"/>
    <w:rsid w:val="000B4EA4"/>
    <w:rsid w:val="000B4FEC"/>
    <w:rsid w:val="000B5006"/>
    <w:rsid w:val="000B50D7"/>
    <w:rsid w:val="000B515A"/>
    <w:rsid w:val="000B5283"/>
    <w:rsid w:val="000B540B"/>
    <w:rsid w:val="000B5475"/>
    <w:rsid w:val="000B5482"/>
    <w:rsid w:val="000B55BF"/>
    <w:rsid w:val="000B56C3"/>
    <w:rsid w:val="000B5729"/>
    <w:rsid w:val="000B58D1"/>
    <w:rsid w:val="000B5C4A"/>
    <w:rsid w:val="000B5CAC"/>
    <w:rsid w:val="000B5DAE"/>
    <w:rsid w:val="000B5E41"/>
    <w:rsid w:val="000B5EE8"/>
    <w:rsid w:val="000B5FBD"/>
    <w:rsid w:val="000B6100"/>
    <w:rsid w:val="000B6150"/>
    <w:rsid w:val="000B64C8"/>
    <w:rsid w:val="000B6907"/>
    <w:rsid w:val="000B6950"/>
    <w:rsid w:val="000B6A0E"/>
    <w:rsid w:val="000B6A6E"/>
    <w:rsid w:val="000B6CDE"/>
    <w:rsid w:val="000B704F"/>
    <w:rsid w:val="000B7127"/>
    <w:rsid w:val="000B7361"/>
    <w:rsid w:val="000B740D"/>
    <w:rsid w:val="000B7970"/>
    <w:rsid w:val="000B7D0F"/>
    <w:rsid w:val="000B7D22"/>
    <w:rsid w:val="000C0226"/>
    <w:rsid w:val="000C0499"/>
    <w:rsid w:val="000C0548"/>
    <w:rsid w:val="000C073F"/>
    <w:rsid w:val="000C0777"/>
    <w:rsid w:val="000C0A84"/>
    <w:rsid w:val="000C0B71"/>
    <w:rsid w:val="000C0E48"/>
    <w:rsid w:val="000C0F43"/>
    <w:rsid w:val="000C1007"/>
    <w:rsid w:val="000C1216"/>
    <w:rsid w:val="000C12DE"/>
    <w:rsid w:val="000C1381"/>
    <w:rsid w:val="000C1512"/>
    <w:rsid w:val="000C16AB"/>
    <w:rsid w:val="000C16CE"/>
    <w:rsid w:val="000C1B07"/>
    <w:rsid w:val="000C1B4A"/>
    <w:rsid w:val="000C1C7C"/>
    <w:rsid w:val="000C1D3A"/>
    <w:rsid w:val="000C1DF7"/>
    <w:rsid w:val="000C1E31"/>
    <w:rsid w:val="000C2058"/>
    <w:rsid w:val="000C205C"/>
    <w:rsid w:val="000C216F"/>
    <w:rsid w:val="000C2222"/>
    <w:rsid w:val="000C2268"/>
    <w:rsid w:val="000C2269"/>
    <w:rsid w:val="000C23DD"/>
    <w:rsid w:val="000C2564"/>
    <w:rsid w:val="000C25A4"/>
    <w:rsid w:val="000C2774"/>
    <w:rsid w:val="000C27AC"/>
    <w:rsid w:val="000C27CF"/>
    <w:rsid w:val="000C2907"/>
    <w:rsid w:val="000C2AF0"/>
    <w:rsid w:val="000C2DFA"/>
    <w:rsid w:val="000C2F2B"/>
    <w:rsid w:val="000C300F"/>
    <w:rsid w:val="000C3024"/>
    <w:rsid w:val="000C3369"/>
    <w:rsid w:val="000C341A"/>
    <w:rsid w:val="000C3452"/>
    <w:rsid w:val="000C34F1"/>
    <w:rsid w:val="000C375B"/>
    <w:rsid w:val="000C37C8"/>
    <w:rsid w:val="000C3832"/>
    <w:rsid w:val="000C392F"/>
    <w:rsid w:val="000C3A69"/>
    <w:rsid w:val="000C3B73"/>
    <w:rsid w:val="000C3CAF"/>
    <w:rsid w:val="000C3D19"/>
    <w:rsid w:val="000C3E12"/>
    <w:rsid w:val="000C3ECA"/>
    <w:rsid w:val="000C3F03"/>
    <w:rsid w:val="000C43C0"/>
    <w:rsid w:val="000C46E8"/>
    <w:rsid w:val="000C4702"/>
    <w:rsid w:val="000C4759"/>
    <w:rsid w:val="000C476C"/>
    <w:rsid w:val="000C47F0"/>
    <w:rsid w:val="000C4870"/>
    <w:rsid w:val="000C489B"/>
    <w:rsid w:val="000C48F0"/>
    <w:rsid w:val="000C4989"/>
    <w:rsid w:val="000C4BBD"/>
    <w:rsid w:val="000C4C05"/>
    <w:rsid w:val="000C4CB5"/>
    <w:rsid w:val="000C4F46"/>
    <w:rsid w:val="000C5367"/>
    <w:rsid w:val="000C5548"/>
    <w:rsid w:val="000C5553"/>
    <w:rsid w:val="000C55C4"/>
    <w:rsid w:val="000C5872"/>
    <w:rsid w:val="000C595A"/>
    <w:rsid w:val="000C5A39"/>
    <w:rsid w:val="000C5AB2"/>
    <w:rsid w:val="000C5B35"/>
    <w:rsid w:val="000C5FC9"/>
    <w:rsid w:val="000C5FFE"/>
    <w:rsid w:val="000C608C"/>
    <w:rsid w:val="000C61BF"/>
    <w:rsid w:val="000C6224"/>
    <w:rsid w:val="000C6253"/>
    <w:rsid w:val="000C662D"/>
    <w:rsid w:val="000C671C"/>
    <w:rsid w:val="000C6B57"/>
    <w:rsid w:val="000C6BFD"/>
    <w:rsid w:val="000C6D41"/>
    <w:rsid w:val="000C6D4C"/>
    <w:rsid w:val="000C6DAE"/>
    <w:rsid w:val="000C6EAF"/>
    <w:rsid w:val="000C70DD"/>
    <w:rsid w:val="000C7193"/>
    <w:rsid w:val="000C727F"/>
    <w:rsid w:val="000C777C"/>
    <w:rsid w:val="000C7790"/>
    <w:rsid w:val="000C7845"/>
    <w:rsid w:val="000C7A03"/>
    <w:rsid w:val="000C7A60"/>
    <w:rsid w:val="000C7B11"/>
    <w:rsid w:val="000C7BA6"/>
    <w:rsid w:val="000C7BD8"/>
    <w:rsid w:val="000C7E5B"/>
    <w:rsid w:val="000C7E68"/>
    <w:rsid w:val="000D0043"/>
    <w:rsid w:val="000D020E"/>
    <w:rsid w:val="000D035F"/>
    <w:rsid w:val="000D03CC"/>
    <w:rsid w:val="000D06B6"/>
    <w:rsid w:val="000D0718"/>
    <w:rsid w:val="000D0894"/>
    <w:rsid w:val="000D0941"/>
    <w:rsid w:val="000D0D61"/>
    <w:rsid w:val="000D0E6F"/>
    <w:rsid w:val="000D100A"/>
    <w:rsid w:val="000D1124"/>
    <w:rsid w:val="000D1132"/>
    <w:rsid w:val="000D11B7"/>
    <w:rsid w:val="000D1206"/>
    <w:rsid w:val="000D1267"/>
    <w:rsid w:val="000D1333"/>
    <w:rsid w:val="000D133A"/>
    <w:rsid w:val="000D140F"/>
    <w:rsid w:val="000D1709"/>
    <w:rsid w:val="000D18E7"/>
    <w:rsid w:val="000D193E"/>
    <w:rsid w:val="000D19CA"/>
    <w:rsid w:val="000D1A48"/>
    <w:rsid w:val="000D1E0E"/>
    <w:rsid w:val="000D1E5C"/>
    <w:rsid w:val="000D2287"/>
    <w:rsid w:val="000D2322"/>
    <w:rsid w:val="000D2398"/>
    <w:rsid w:val="000D2404"/>
    <w:rsid w:val="000D25E9"/>
    <w:rsid w:val="000D25F2"/>
    <w:rsid w:val="000D269A"/>
    <w:rsid w:val="000D2710"/>
    <w:rsid w:val="000D290A"/>
    <w:rsid w:val="000D294E"/>
    <w:rsid w:val="000D29BB"/>
    <w:rsid w:val="000D29E6"/>
    <w:rsid w:val="000D2B56"/>
    <w:rsid w:val="000D2D0F"/>
    <w:rsid w:val="000D2EF1"/>
    <w:rsid w:val="000D2F03"/>
    <w:rsid w:val="000D2F56"/>
    <w:rsid w:val="000D2FAE"/>
    <w:rsid w:val="000D3434"/>
    <w:rsid w:val="000D34AF"/>
    <w:rsid w:val="000D3552"/>
    <w:rsid w:val="000D36F5"/>
    <w:rsid w:val="000D3910"/>
    <w:rsid w:val="000D3ACA"/>
    <w:rsid w:val="000D3B42"/>
    <w:rsid w:val="000D3B62"/>
    <w:rsid w:val="000D3D47"/>
    <w:rsid w:val="000D3D75"/>
    <w:rsid w:val="000D3D98"/>
    <w:rsid w:val="000D3E8A"/>
    <w:rsid w:val="000D3F80"/>
    <w:rsid w:val="000D3F94"/>
    <w:rsid w:val="000D4002"/>
    <w:rsid w:val="000D417F"/>
    <w:rsid w:val="000D4192"/>
    <w:rsid w:val="000D41D6"/>
    <w:rsid w:val="000D4427"/>
    <w:rsid w:val="000D4492"/>
    <w:rsid w:val="000D450F"/>
    <w:rsid w:val="000D4526"/>
    <w:rsid w:val="000D46B2"/>
    <w:rsid w:val="000D46C8"/>
    <w:rsid w:val="000D47A9"/>
    <w:rsid w:val="000D48D5"/>
    <w:rsid w:val="000D4BF3"/>
    <w:rsid w:val="000D4C56"/>
    <w:rsid w:val="000D4D08"/>
    <w:rsid w:val="000D4DA1"/>
    <w:rsid w:val="000D4F74"/>
    <w:rsid w:val="000D50D2"/>
    <w:rsid w:val="000D5149"/>
    <w:rsid w:val="000D514B"/>
    <w:rsid w:val="000D5163"/>
    <w:rsid w:val="000D52AD"/>
    <w:rsid w:val="000D52E7"/>
    <w:rsid w:val="000D559F"/>
    <w:rsid w:val="000D5BF8"/>
    <w:rsid w:val="000D5C1C"/>
    <w:rsid w:val="000D5C50"/>
    <w:rsid w:val="000D5D04"/>
    <w:rsid w:val="000D5DEB"/>
    <w:rsid w:val="000D5E12"/>
    <w:rsid w:val="000D5E57"/>
    <w:rsid w:val="000D618B"/>
    <w:rsid w:val="000D61C2"/>
    <w:rsid w:val="000D6329"/>
    <w:rsid w:val="000D6582"/>
    <w:rsid w:val="000D6727"/>
    <w:rsid w:val="000D67FF"/>
    <w:rsid w:val="000D6A44"/>
    <w:rsid w:val="000D6ABE"/>
    <w:rsid w:val="000D70D5"/>
    <w:rsid w:val="000D70F3"/>
    <w:rsid w:val="000D7237"/>
    <w:rsid w:val="000D725A"/>
    <w:rsid w:val="000D72CD"/>
    <w:rsid w:val="000D7328"/>
    <w:rsid w:val="000D747E"/>
    <w:rsid w:val="000D776B"/>
    <w:rsid w:val="000D77B2"/>
    <w:rsid w:val="000D7820"/>
    <w:rsid w:val="000D7A1B"/>
    <w:rsid w:val="000D7C52"/>
    <w:rsid w:val="000D7D3D"/>
    <w:rsid w:val="000D7D3E"/>
    <w:rsid w:val="000D7F1F"/>
    <w:rsid w:val="000E0029"/>
    <w:rsid w:val="000E0048"/>
    <w:rsid w:val="000E01F2"/>
    <w:rsid w:val="000E0300"/>
    <w:rsid w:val="000E03B5"/>
    <w:rsid w:val="000E03EA"/>
    <w:rsid w:val="000E058A"/>
    <w:rsid w:val="000E06FB"/>
    <w:rsid w:val="000E0774"/>
    <w:rsid w:val="000E08B6"/>
    <w:rsid w:val="000E09AD"/>
    <w:rsid w:val="000E0C9F"/>
    <w:rsid w:val="000E0E06"/>
    <w:rsid w:val="000E0E86"/>
    <w:rsid w:val="000E0F34"/>
    <w:rsid w:val="000E0F6B"/>
    <w:rsid w:val="000E1349"/>
    <w:rsid w:val="000E1397"/>
    <w:rsid w:val="000E1446"/>
    <w:rsid w:val="000E1473"/>
    <w:rsid w:val="000E15D9"/>
    <w:rsid w:val="000E1644"/>
    <w:rsid w:val="000E16A3"/>
    <w:rsid w:val="000E16C9"/>
    <w:rsid w:val="000E19C8"/>
    <w:rsid w:val="000E1B74"/>
    <w:rsid w:val="000E1BAF"/>
    <w:rsid w:val="000E1BEF"/>
    <w:rsid w:val="000E1D55"/>
    <w:rsid w:val="000E1EA9"/>
    <w:rsid w:val="000E1F1B"/>
    <w:rsid w:val="000E1F7D"/>
    <w:rsid w:val="000E1FD6"/>
    <w:rsid w:val="000E1FDE"/>
    <w:rsid w:val="000E204E"/>
    <w:rsid w:val="000E23F2"/>
    <w:rsid w:val="000E2445"/>
    <w:rsid w:val="000E24F8"/>
    <w:rsid w:val="000E24FB"/>
    <w:rsid w:val="000E26D4"/>
    <w:rsid w:val="000E2930"/>
    <w:rsid w:val="000E2986"/>
    <w:rsid w:val="000E2996"/>
    <w:rsid w:val="000E2B2A"/>
    <w:rsid w:val="000E34ED"/>
    <w:rsid w:val="000E352A"/>
    <w:rsid w:val="000E3643"/>
    <w:rsid w:val="000E377E"/>
    <w:rsid w:val="000E37EE"/>
    <w:rsid w:val="000E385B"/>
    <w:rsid w:val="000E3897"/>
    <w:rsid w:val="000E39FE"/>
    <w:rsid w:val="000E3AB2"/>
    <w:rsid w:val="000E3B3F"/>
    <w:rsid w:val="000E3E4E"/>
    <w:rsid w:val="000E3F43"/>
    <w:rsid w:val="000E3FD9"/>
    <w:rsid w:val="000E400D"/>
    <w:rsid w:val="000E412F"/>
    <w:rsid w:val="000E42BC"/>
    <w:rsid w:val="000E4758"/>
    <w:rsid w:val="000E47EB"/>
    <w:rsid w:val="000E48B9"/>
    <w:rsid w:val="000E48FA"/>
    <w:rsid w:val="000E4B40"/>
    <w:rsid w:val="000E4B4C"/>
    <w:rsid w:val="000E4D5B"/>
    <w:rsid w:val="000E4E29"/>
    <w:rsid w:val="000E4ED3"/>
    <w:rsid w:val="000E502D"/>
    <w:rsid w:val="000E5153"/>
    <w:rsid w:val="000E51C2"/>
    <w:rsid w:val="000E5644"/>
    <w:rsid w:val="000E5783"/>
    <w:rsid w:val="000E595E"/>
    <w:rsid w:val="000E59C1"/>
    <w:rsid w:val="000E5AB4"/>
    <w:rsid w:val="000E5BFF"/>
    <w:rsid w:val="000E5CD9"/>
    <w:rsid w:val="000E5FF9"/>
    <w:rsid w:val="000E6309"/>
    <w:rsid w:val="000E6721"/>
    <w:rsid w:val="000E6901"/>
    <w:rsid w:val="000E6984"/>
    <w:rsid w:val="000E69B2"/>
    <w:rsid w:val="000E6B14"/>
    <w:rsid w:val="000E6EF8"/>
    <w:rsid w:val="000E6F9B"/>
    <w:rsid w:val="000E70A6"/>
    <w:rsid w:val="000E710D"/>
    <w:rsid w:val="000E7240"/>
    <w:rsid w:val="000E730E"/>
    <w:rsid w:val="000E73FE"/>
    <w:rsid w:val="000E7431"/>
    <w:rsid w:val="000E75E1"/>
    <w:rsid w:val="000E761B"/>
    <w:rsid w:val="000E7644"/>
    <w:rsid w:val="000E76CA"/>
    <w:rsid w:val="000E76D7"/>
    <w:rsid w:val="000E7762"/>
    <w:rsid w:val="000E7BB8"/>
    <w:rsid w:val="000E7CEC"/>
    <w:rsid w:val="000E7E45"/>
    <w:rsid w:val="000F0078"/>
    <w:rsid w:val="000F0191"/>
    <w:rsid w:val="000F0360"/>
    <w:rsid w:val="000F0385"/>
    <w:rsid w:val="000F0441"/>
    <w:rsid w:val="000F04E4"/>
    <w:rsid w:val="000F06AD"/>
    <w:rsid w:val="000F07B6"/>
    <w:rsid w:val="000F07D8"/>
    <w:rsid w:val="000F083B"/>
    <w:rsid w:val="000F0954"/>
    <w:rsid w:val="000F0B91"/>
    <w:rsid w:val="000F0BA6"/>
    <w:rsid w:val="000F0E0A"/>
    <w:rsid w:val="000F1590"/>
    <w:rsid w:val="000F15A6"/>
    <w:rsid w:val="000F1675"/>
    <w:rsid w:val="000F1901"/>
    <w:rsid w:val="000F1926"/>
    <w:rsid w:val="000F1D6F"/>
    <w:rsid w:val="000F1E93"/>
    <w:rsid w:val="000F225E"/>
    <w:rsid w:val="000F24E7"/>
    <w:rsid w:val="000F24FB"/>
    <w:rsid w:val="000F2C61"/>
    <w:rsid w:val="000F2D07"/>
    <w:rsid w:val="000F2E33"/>
    <w:rsid w:val="000F2FC0"/>
    <w:rsid w:val="000F3081"/>
    <w:rsid w:val="000F30EA"/>
    <w:rsid w:val="000F31C5"/>
    <w:rsid w:val="000F31DA"/>
    <w:rsid w:val="000F3418"/>
    <w:rsid w:val="000F341A"/>
    <w:rsid w:val="000F3464"/>
    <w:rsid w:val="000F3536"/>
    <w:rsid w:val="000F37E2"/>
    <w:rsid w:val="000F3851"/>
    <w:rsid w:val="000F3AC2"/>
    <w:rsid w:val="000F3BB1"/>
    <w:rsid w:val="000F3BD4"/>
    <w:rsid w:val="000F3E47"/>
    <w:rsid w:val="000F4119"/>
    <w:rsid w:val="000F4124"/>
    <w:rsid w:val="000F41BB"/>
    <w:rsid w:val="000F44E1"/>
    <w:rsid w:val="000F453C"/>
    <w:rsid w:val="000F4654"/>
    <w:rsid w:val="000F46C3"/>
    <w:rsid w:val="000F4788"/>
    <w:rsid w:val="000F48BB"/>
    <w:rsid w:val="000F4967"/>
    <w:rsid w:val="000F4BA6"/>
    <w:rsid w:val="000F4E54"/>
    <w:rsid w:val="000F4F3D"/>
    <w:rsid w:val="000F5698"/>
    <w:rsid w:val="000F591C"/>
    <w:rsid w:val="000F5979"/>
    <w:rsid w:val="000F5983"/>
    <w:rsid w:val="000F5A21"/>
    <w:rsid w:val="000F5A51"/>
    <w:rsid w:val="000F5A9F"/>
    <w:rsid w:val="000F5B8C"/>
    <w:rsid w:val="000F5D35"/>
    <w:rsid w:val="000F5E0C"/>
    <w:rsid w:val="000F5E32"/>
    <w:rsid w:val="000F5F21"/>
    <w:rsid w:val="000F6080"/>
    <w:rsid w:val="000F6091"/>
    <w:rsid w:val="000F63D7"/>
    <w:rsid w:val="000F6509"/>
    <w:rsid w:val="000F6596"/>
    <w:rsid w:val="000F65EC"/>
    <w:rsid w:val="000F667F"/>
    <w:rsid w:val="000F695E"/>
    <w:rsid w:val="000F6AA2"/>
    <w:rsid w:val="000F6C16"/>
    <w:rsid w:val="000F6CEA"/>
    <w:rsid w:val="000F6D7F"/>
    <w:rsid w:val="000F6E24"/>
    <w:rsid w:val="000F6FE2"/>
    <w:rsid w:val="000F708E"/>
    <w:rsid w:val="000F70A6"/>
    <w:rsid w:val="000F7113"/>
    <w:rsid w:val="000F71EC"/>
    <w:rsid w:val="000F72DC"/>
    <w:rsid w:val="000F76A2"/>
    <w:rsid w:val="000F79DF"/>
    <w:rsid w:val="000F7B92"/>
    <w:rsid w:val="000F7CBF"/>
    <w:rsid w:val="000F7D37"/>
    <w:rsid w:val="00100170"/>
    <w:rsid w:val="00100176"/>
    <w:rsid w:val="00100180"/>
    <w:rsid w:val="00100184"/>
    <w:rsid w:val="001002B6"/>
    <w:rsid w:val="001002FD"/>
    <w:rsid w:val="001003A1"/>
    <w:rsid w:val="001006B2"/>
    <w:rsid w:val="0010077C"/>
    <w:rsid w:val="00100801"/>
    <w:rsid w:val="0010089A"/>
    <w:rsid w:val="001008FF"/>
    <w:rsid w:val="00100C16"/>
    <w:rsid w:val="00100C4E"/>
    <w:rsid w:val="00100EA6"/>
    <w:rsid w:val="00100F13"/>
    <w:rsid w:val="00100F74"/>
    <w:rsid w:val="00100F8C"/>
    <w:rsid w:val="00101487"/>
    <w:rsid w:val="00101533"/>
    <w:rsid w:val="001015B9"/>
    <w:rsid w:val="00101616"/>
    <w:rsid w:val="00101874"/>
    <w:rsid w:val="00101A42"/>
    <w:rsid w:val="00101A94"/>
    <w:rsid w:val="00101A9F"/>
    <w:rsid w:val="00101ACF"/>
    <w:rsid w:val="00101AFC"/>
    <w:rsid w:val="00101B20"/>
    <w:rsid w:val="00101B24"/>
    <w:rsid w:val="00101CA6"/>
    <w:rsid w:val="00101DE2"/>
    <w:rsid w:val="00101E1C"/>
    <w:rsid w:val="00101FAC"/>
    <w:rsid w:val="00102058"/>
    <w:rsid w:val="0010218D"/>
    <w:rsid w:val="001021E0"/>
    <w:rsid w:val="00102255"/>
    <w:rsid w:val="001022C1"/>
    <w:rsid w:val="0010239A"/>
    <w:rsid w:val="0010240B"/>
    <w:rsid w:val="0010256F"/>
    <w:rsid w:val="001028C3"/>
    <w:rsid w:val="00102933"/>
    <w:rsid w:val="0010296F"/>
    <w:rsid w:val="00102DF1"/>
    <w:rsid w:val="00102E27"/>
    <w:rsid w:val="00102E70"/>
    <w:rsid w:val="00102EC1"/>
    <w:rsid w:val="00102F84"/>
    <w:rsid w:val="001031D9"/>
    <w:rsid w:val="0010338D"/>
    <w:rsid w:val="001034C8"/>
    <w:rsid w:val="001036E5"/>
    <w:rsid w:val="001037B7"/>
    <w:rsid w:val="00103803"/>
    <w:rsid w:val="001039E4"/>
    <w:rsid w:val="00103AEB"/>
    <w:rsid w:val="00103BC8"/>
    <w:rsid w:val="00103C32"/>
    <w:rsid w:val="00103D57"/>
    <w:rsid w:val="00103DE3"/>
    <w:rsid w:val="00103EDD"/>
    <w:rsid w:val="00103F0F"/>
    <w:rsid w:val="00103FBB"/>
    <w:rsid w:val="00104018"/>
    <w:rsid w:val="0010437A"/>
    <w:rsid w:val="00104519"/>
    <w:rsid w:val="00104702"/>
    <w:rsid w:val="001047C5"/>
    <w:rsid w:val="001048D6"/>
    <w:rsid w:val="00104BAD"/>
    <w:rsid w:val="00104C6F"/>
    <w:rsid w:val="00104F10"/>
    <w:rsid w:val="00104FD7"/>
    <w:rsid w:val="00105033"/>
    <w:rsid w:val="00105035"/>
    <w:rsid w:val="0010514B"/>
    <w:rsid w:val="00105287"/>
    <w:rsid w:val="0010579D"/>
    <w:rsid w:val="00105CA0"/>
    <w:rsid w:val="00105F01"/>
    <w:rsid w:val="00105F29"/>
    <w:rsid w:val="00106301"/>
    <w:rsid w:val="00106316"/>
    <w:rsid w:val="00106458"/>
    <w:rsid w:val="001064B1"/>
    <w:rsid w:val="0010656D"/>
    <w:rsid w:val="00106860"/>
    <w:rsid w:val="001069EB"/>
    <w:rsid w:val="00106A15"/>
    <w:rsid w:val="00106A1F"/>
    <w:rsid w:val="00106B6C"/>
    <w:rsid w:val="00106BF7"/>
    <w:rsid w:val="00106E62"/>
    <w:rsid w:val="00106E90"/>
    <w:rsid w:val="0010700E"/>
    <w:rsid w:val="0010702B"/>
    <w:rsid w:val="00107170"/>
    <w:rsid w:val="001071B4"/>
    <w:rsid w:val="0010732D"/>
    <w:rsid w:val="001073DE"/>
    <w:rsid w:val="00107483"/>
    <w:rsid w:val="001074E7"/>
    <w:rsid w:val="001076B5"/>
    <w:rsid w:val="00107952"/>
    <w:rsid w:val="00107AB0"/>
    <w:rsid w:val="00107BD1"/>
    <w:rsid w:val="00107C03"/>
    <w:rsid w:val="00107CAE"/>
    <w:rsid w:val="00107CDA"/>
    <w:rsid w:val="00107E04"/>
    <w:rsid w:val="00110029"/>
    <w:rsid w:val="001100C3"/>
    <w:rsid w:val="001100CE"/>
    <w:rsid w:val="001101D1"/>
    <w:rsid w:val="00110548"/>
    <w:rsid w:val="001107BC"/>
    <w:rsid w:val="001107CA"/>
    <w:rsid w:val="001108BB"/>
    <w:rsid w:val="00110A93"/>
    <w:rsid w:val="00110B58"/>
    <w:rsid w:val="00110C38"/>
    <w:rsid w:val="00110C57"/>
    <w:rsid w:val="00110E41"/>
    <w:rsid w:val="00110E64"/>
    <w:rsid w:val="00110EA6"/>
    <w:rsid w:val="001110A7"/>
    <w:rsid w:val="001112A5"/>
    <w:rsid w:val="0011132F"/>
    <w:rsid w:val="00111377"/>
    <w:rsid w:val="001113E0"/>
    <w:rsid w:val="00111425"/>
    <w:rsid w:val="0011150D"/>
    <w:rsid w:val="0011154B"/>
    <w:rsid w:val="0011165A"/>
    <w:rsid w:val="0011167D"/>
    <w:rsid w:val="0011172F"/>
    <w:rsid w:val="0011186C"/>
    <w:rsid w:val="00111A79"/>
    <w:rsid w:val="00111BF9"/>
    <w:rsid w:val="00111D63"/>
    <w:rsid w:val="00111DE0"/>
    <w:rsid w:val="00111ECE"/>
    <w:rsid w:val="0011213E"/>
    <w:rsid w:val="00112160"/>
    <w:rsid w:val="00112416"/>
    <w:rsid w:val="001124ED"/>
    <w:rsid w:val="001126C2"/>
    <w:rsid w:val="00112777"/>
    <w:rsid w:val="00112780"/>
    <w:rsid w:val="00112850"/>
    <w:rsid w:val="00112A7B"/>
    <w:rsid w:val="00112CD6"/>
    <w:rsid w:val="00112EA7"/>
    <w:rsid w:val="00112F00"/>
    <w:rsid w:val="00112F06"/>
    <w:rsid w:val="00113030"/>
    <w:rsid w:val="00113127"/>
    <w:rsid w:val="001131A4"/>
    <w:rsid w:val="001132A4"/>
    <w:rsid w:val="0011339C"/>
    <w:rsid w:val="001133C2"/>
    <w:rsid w:val="0011347D"/>
    <w:rsid w:val="001137F6"/>
    <w:rsid w:val="001138AC"/>
    <w:rsid w:val="001139C6"/>
    <w:rsid w:val="00113B12"/>
    <w:rsid w:val="00113B6A"/>
    <w:rsid w:val="00113D96"/>
    <w:rsid w:val="00113DB3"/>
    <w:rsid w:val="00113E8D"/>
    <w:rsid w:val="00113FFD"/>
    <w:rsid w:val="00114182"/>
    <w:rsid w:val="001143BE"/>
    <w:rsid w:val="001143C1"/>
    <w:rsid w:val="001143CF"/>
    <w:rsid w:val="00114447"/>
    <w:rsid w:val="00114550"/>
    <w:rsid w:val="00114572"/>
    <w:rsid w:val="00114599"/>
    <w:rsid w:val="00114826"/>
    <w:rsid w:val="00114AC9"/>
    <w:rsid w:val="00114C3E"/>
    <w:rsid w:val="00114DE0"/>
    <w:rsid w:val="00114DFF"/>
    <w:rsid w:val="00114FA6"/>
    <w:rsid w:val="0011511E"/>
    <w:rsid w:val="0011522A"/>
    <w:rsid w:val="00115264"/>
    <w:rsid w:val="001154D6"/>
    <w:rsid w:val="00115595"/>
    <w:rsid w:val="0011559D"/>
    <w:rsid w:val="001157DB"/>
    <w:rsid w:val="0011584E"/>
    <w:rsid w:val="00115E8B"/>
    <w:rsid w:val="00115EB4"/>
    <w:rsid w:val="00115EFF"/>
    <w:rsid w:val="0011610C"/>
    <w:rsid w:val="0011625A"/>
    <w:rsid w:val="0011626B"/>
    <w:rsid w:val="00116287"/>
    <w:rsid w:val="001162B3"/>
    <w:rsid w:val="001162B6"/>
    <w:rsid w:val="001163DF"/>
    <w:rsid w:val="001164E4"/>
    <w:rsid w:val="0011655D"/>
    <w:rsid w:val="001165FC"/>
    <w:rsid w:val="00116844"/>
    <w:rsid w:val="00116C18"/>
    <w:rsid w:val="00116F95"/>
    <w:rsid w:val="00117021"/>
    <w:rsid w:val="001170B9"/>
    <w:rsid w:val="0011719C"/>
    <w:rsid w:val="00117202"/>
    <w:rsid w:val="0011726A"/>
    <w:rsid w:val="001172B0"/>
    <w:rsid w:val="001175C5"/>
    <w:rsid w:val="00117684"/>
    <w:rsid w:val="0011768A"/>
    <w:rsid w:val="0011769E"/>
    <w:rsid w:val="001178A3"/>
    <w:rsid w:val="00117A2F"/>
    <w:rsid w:val="00117BA4"/>
    <w:rsid w:val="00117CB6"/>
    <w:rsid w:val="00117D11"/>
    <w:rsid w:val="0012003E"/>
    <w:rsid w:val="00120042"/>
    <w:rsid w:val="001200DC"/>
    <w:rsid w:val="00120139"/>
    <w:rsid w:val="0012027F"/>
    <w:rsid w:val="001202DA"/>
    <w:rsid w:val="001204B8"/>
    <w:rsid w:val="00120579"/>
    <w:rsid w:val="001205FA"/>
    <w:rsid w:val="001206F2"/>
    <w:rsid w:val="001207DF"/>
    <w:rsid w:val="00120955"/>
    <w:rsid w:val="001209DF"/>
    <w:rsid w:val="00120B23"/>
    <w:rsid w:val="00120B52"/>
    <w:rsid w:val="00120CAF"/>
    <w:rsid w:val="00120FBD"/>
    <w:rsid w:val="00121014"/>
    <w:rsid w:val="00121415"/>
    <w:rsid w:val="0012170B"/>
    <w:rsid w:val="00121755"/>
    <w:rsid w:val="00121A1D"/>
    <w:rsid w:val="00121CEA"/>
    <w:rsid w:val="00121E85"/>
    <w:rsid w:val="00121E8B"/>
    <w:rsid w:val="0012222A"/>
    <w:rsid w:val="00122244"/>
    <w:rsid w:val="0012279A"/>
    <w:rsid w:val="001227B1"/>
    <w:rsid w:val="00122829"/>
    <w:rsid w:val="0012288F"/>
    <w:rsid w:val="001228DE"/>
    <w:rsid w:val="001229F9"/>
    <w:rsid w:val="00122E7E"/>
    <w:rsid w:val="00122E9C"/>
    <w:rsid w:val="00122F89"/>
    <w:rsid w:val="001230BA"/>
    <w:rsid w:val="00123122"/>
    <w:rsid w:val="001231AC"/>
    <w:rsid w:val="001231D3"/>
    <w:rsid w:val="00123201"/>
    <w:rsid w:val="0012327E"/>
    <w:rsid w:val="001232EA"/>
    <w:rsid w:val="0012357B"/>
    <w:rsid w:val="00123636"/>
    <w:rsid w:val="001236EC"/>
    <w:rsid w:val="0012372A"/>
    <w:rsid w:val="001237EA"/>
    <w:rsid w:val="00123847"/>
    <w:rsid w:val="001238F9"/>
    <w:rsid w:val="00123A08"/>
    <w:rsid w:val="00123ABA"/>
    <w:rsid w:val="00123B40"/>
    <w:rsid w:val="00123BC6"/>
    <w:rsid w:val="00123BF6"/>
    <w:rsid w:val="00123C5C"/>
    <w:rsid w:val="00123D21"/>
    <w:rsid w:val="00123D40"/>
    <w:rsid w:val="001240F9"/>
    <w:rsid w:val="00124135"/>
    <w:rsid w:val="0012415F"/>
    <w:rsid w:val="00124170"/>
    <w:rsid w:val="001241A3"/>
    <w:rsid w:val="00124269"/>
    <w:rsid w:val="0012437B"/>
    <w:rsid w:val="001243B2"/>
    <w:rsid w:val="001243C8"/>
    <w:rsid w:val="00124456"/>
    <w:rsid w:val="00124584"/>
    <w:rsid w:val="0012466C"/>
    <w:rsid w:val="0012467E"/>
    <w:rsid w:val="0012484E"/>
    <w:rsid w:val="00124858"/>
    <w:rsid w:val="0012499A"/>
    <w:rsid w:val="001249F8"/>
    <w:rsid w:val="00124A43"/>
    <w:rsid w:val="00124C66"/>
    <w:rsid w:val="00124D03"/>
    <w:rsid w:val="00124EF5"/>
    <w:rsid w:val="0012529B"/>
    <w:rsid w:val="001252DB"/>
    <w:rsid w:val="00125371"/>
    <w:rsid w:val="001253F9"/>
    <w:rsid w:val="00125483"/>
    <w:rsid w:val="001254A2"/>
    <w:rsid w:val="001255BB"/>
    <w:rsid w:val="001257CE"/>
    <w:rsid w:val="0012587E"/>
    <w:rsid w:val="0012596E"/>
    <w:rsid w:val="0012597A"/>
    <w:rsid w:val="00125A4C"/>
    <w:rsid w:val="00125E6C"/>
    <w:rsid w:val="001260C1"/>
    <w:rsid w:val="001260F4"/>
    <w:rsid w:val="00126187"/>
    <w:rsid w:val="00126239"/>
    <w:rsid w:val="00126490"/>
    <w:rsid w:val="001266E0"/>
    <w:rsid w:val="0012679B"/>
    <w:rsid w:val="00126AC6"/>
    <w:rsid w:val="00126B67"/>
    <w:rsid w:val="00127196"/>
    <w:rsid w:val="001271CB"/>
    <w:rsid w:val="00127491"/>
    <w:rsid w:val="0012750F"/>
    <w:rsid w:val="00127587"/>
    <w:rsid w:val="00127657"/>
    <w:rsid w:val="001276B7"/>
    <w:rsid w:val="001276E7"/>
    <w:rsid w:val="0012771D"/>
    <w:rsid w:val="00127789"/>
    <w:rsid w:val="0012779F"/>
    <w:rsid w:val="001277F5"/>
    <w:rsid w:val="00127821"/>
    <w:rsid w:val="0012784F"/>
    <w:rsid w:val="00127891"/>
    <w:rsid w:val="001278B3"/>
    <w:rsid w:val="00127ACB"/>
    <w:rsid w:val="00127B3F"/>
    <w:rsid w:val="00127C42"/>
    <w:rsid w:val="00127CD2"/>
    <w:rsid w:val="00127D86"/>
    <w:rsid w:val="00127E95"/>
    <w:rsid w:val="00127ECA"/>
    <w:rsid w:val="00127FBC"/>
    <w:rsid w:val="001301CB"/>
    <w:rsid w:val="00130220"/>
    <w:rsid w:val="001303CB"/>
    <w:rsid w:val="001304BB"/>
    <w:rsid w:val="0013059C"/>
    <w:rsid w:val="001306C6"/>
    <w:rsid w:val="00130707"/>
    <w:rsid w:val="0013076C"/>
    <w:rsid w:val="001307DC"/>
    <w:rsid w:val="00130861"/>
    <w:rsid w:val="00130A45"/>
    <w:rsid w:val="00130B3E"/>
    <w:rsid w:val="00130B4F"/>
    <w:rsid w:val="00130D7C"/>
    <w:rsid w:val="00130F07"/>
    <w:rsid w:val="00130FC6"/>
    <w:rsid w:val="00130FDF"/>
    <w:rsid w:val="00131029"/>
    <w:rsid w:val="001310F6"/>
    <w:rsid w:val="001310FF"/>
    <w:rsid w:val="001311EA"/>
    <w:rsid w:val="00131292"/>
    <w:rsid w:val="0013175A"/>
    <w:rsid w:val="0013178E"/>
    <w:rsid w:val="001317BE"/>
    <w:rsid w:val="001317D5"/>
    <w:rsid w:val="001318FC"/>
    <w:rsid w:val="00131B96"/>
    <w:rsid w:val="00131F0B"/>
    <w:rsid w:val="00131F31"/>
    <w:rsid w:val="00132063"/>
    <w:rsid w:val="001320F5"/>
    <w:rsid w:val="001321EC"/>
    <w:rsid w:val="00132274"/>
    <w:rsid w:val="0013255A"/>
    <w:rsid w:val="001327EB"/>
    <w:rsid w:val="00132ACB"/>
    <w:rsid w:val="00132B6D"/>
    <w:rsid w:val="00132B76"/>
    <w:rsid w:val="00132BB8"/>
    <w:rsid w:val="00132CFF"/>
    <w:rsid w:val="00132D6C"/>
    <w:rsid w:val="00132D84"/>
    <w:rsid w:val="00132E51"/>
    <w:rsid w:val="001330EB"/>
    <w:rsid w:val="0013319F"/>
    <w:rsid w:val="00133278"/>
    <w:rsid w:val="0013331A"/>
    <w:rsid w:val="0013358B"/>
    <w:rsid w:val="001335F9"/>
    <w:rsid w:val="00133657"/>
    <w:rsid w:val="001336E8"/>
    <w:rsid w:val="00133866"/>
    <w:rsid w:val="001339B4"/>
    <w:rsid w:val="00133B39"/>
    <w:rsid w:val="00133B69"/>
    <w:rsid w:val="00133B9E"/>
    <w:rsid w:val="00133BFB"/>
    <w:rsid w:val="00133D51"/>
    <w:rsid w:val="00133D52"/>
    <w:rsid w:val="00133FB3"/>
    <w:rsid w:val="00134052"/>
    <w:rsid w:val="001340F9"/>
    <w:rsid w:val="001342A1"/>
    <w:rsid w:val="00134457"/>
    <w:rsid w:val="00134468"/>
    <w:rsid w:val="00134513"/>
    <w:rsid w:val="0013471E"/>
    <w:rsid w:val="001347B5"/>
    <w:rsid w:val="00134AE8"/>
    <w:rsid w:val="00134C61"/>
    <w:rsid w:val="00134F0D"/>
    <w:rsid w:val="00135103"/>
    <w:rsid w:val="0013510D"/>
    <w:rsid w:val="00135174"/>
    <w:rsid w:val="00135403"/>
    <w:rsid w:val="001355B1"/>
    <w:rsid w:val="001357C1"/>
    <w:rsid w:val="0013587E"/>
    <w:rsid w:val="0013592D"/>
    <w:rsid w:val="0013593A"/>
    <w:rsid w:val="00135966"/>
    <w:rsid w:val="001359B9"/>
    <w:rsid w:val="001359C8"/>
    <w:rsid w:val="00135A0D"/>
    <w:rsid w:val="00135A23"/>
    <w:rsid w:val="00135B96"/>
    <w:rsid w:val="00135BAA"/>
    <w:rsid w:val="00135C49"/>
    <w:rsid w:val="00135DE2"/>
    <w:rsid w:val="00135EB6"/>
    <w:rsid w:val="001362AA"/>
    <w:rsid w:val="001364CE"/>
    <w:rsid w:val="001364CF"/>
    <w:rsid w:val="00136516"/>
    <w:rsid w:val="0013665F"/>
    <w:rsid w:val="00136856"/>
    <w:rsid w:val="0013685A"/>
    <w:rsid w:val="00136B9D"/>
    <w:rsid w:val="00136BC7"/>
    <w:rsid w:val="00136C1A"/>
    <w:rsid w:val="00136C4D"/>
    <w:rsid w:val="00136C9F"/>
    <w:rsid w:val="00137230"/>
    <w:rsid w:val="00137354"/>
    <w:rsid w:val="00137432"/>
    <w:rsid w:val="001374ED"/>
    <w:rsid w:val="0013759D"/>
    <w:rsid w:val="00137600"/>
    <w:rsid w:val="0013778D"/>
    <w:rsid w:val="001377A5"/>
    <w:rsid w:val="001377BA"/>
    <w:rsid w:val="001377F1"/>
    <w:rsid w:val="001379C3"/>
    <w:rsid w:val="00137AFC"/>
    <w:rsid w:val="00137C29"/>
    <w:rsid w:val="00137C96"/>
    <w:rsid w:val="00137EA4"/>
    <w:rsid w:val="00137F97"/>
    <w:rsid w:val="00137FD4"/>
    <w:rsid w:val="00140089"/>
    <w:rsid w:val="001400C9"/>
    <w:rsid w:val="00140112"/>
    <w:rsid w:val="0014022B"/>
    <w:rsid w:val="00140320"/>
    <w:rsid w:val="00140467"/>
    <w:rsid w:val="001404B5"/>
    <w:rsid w:val="001406F1"/>
    <w:rsid w:val="001407AD"/>
    <w:rsid w:val="001407F8"/>
    <w:rsid w:val="0014095C"/>
    <w:rsid w:val="00140A61"/>
    <w:rsid w:val="00140B14"/>
    <w:rsid w:val="00140C16"/>
    <w:rsid w:val="00140C67"/>
    <w:rsid w:val="00140CF6"/>
    <w:rsid w:val="00140D0A"/>
    <w:rsid w:val="00140E26"/>
    <w:rsid w:val="00141050"/>
    <w:rsid w:val="00141100"/>
    <w:rsid w:val="001411BA"/>
    <w:rsid w:val="0014120D"/>
    <w:rsid w:val="00141481"/>
    <w:rsid w:val="00141501"/>
    <w:rsid w:val="00141660"/>
    <w:rsid w:val="00141697"/>
    <w:rsid w:val="001417A3"/>
    <w:rsid w:val="001418F0"/>
    <w:rsid w:val="00141B76"/>
    <w:rsid w:val="00141BC7"/>
    <w:rsid w:val="00141C9B"/>
    <w:rsid w:val="00141D09"/>
    <w:rsid w:val="00141DA9"/>
    <w:rsid w:val="00141DCD"/>
    <w:rsid w:val="00141FD8"/>
    <w:rsid w:val="001420C4"/>
    <w:rsid w:val="001421E7"/>
    <w:rsid w:val="001422E3"/>
    <w:rsid w:val="00142377"/>
    <w:rsid w:val="001423A5"/>
    <w:rsid w:val="00142602"/>
    <w:rsid w:val="001426B5"/>
    <w:rsid w:val="0014297F"/>
    <w:rsid w:val="00142CD0"/>
    <w:rsid w:val="00142F8D"/>
    <w:rsid w:val="001431A4"/>
    <w:rsid w:val="001431CA"/>
    <w:rsid w:val="001432C3"/>
    <w:rsid w:val="001432FB"/>
    <w:rsid w:val="00143440"/>
    <w:rsid w:val="0014379C"/>
    <w:rsid w:val="001437D9"/>
    <w:rsid w:val="001438E8"/>
    <w:rsid w:val="001439C8"/>
    <w:rsid w:val="00143A24"/>
    <w:rsid w:val="00143F8F"/>
    <w:rsid w:val="001440E1"/>
    <w:rsid w:val="00144203"/>
    <w:rsid w:val="00144231"/>
    <w:rsid w:val="001442BE"/>
    <w:rsid w:val="001443DD"/>
    <w:rsid w:val="001446D5"/>
    <w:rsid w:val="001447CC"/>
    <w:rsid w:val="00144943"/>
    <w:rsid w:val="00144954"/>
    <w:rsid w:val="001449D8"/>
    <w:rsid w:val="00144AE9"/>
    <w:rsid w:val="00144B0D"/>
    <w:rsid w:val="00144BF0"/>
    <w:rsid w:val="00144D2D"/>
    <w:rsid w:val="00144D2F"/>
    <w:rsid w:val="00144DCC"/>
    <w:rsid w:val="00144E4A"/>
    <w:rsid w:val="00144F71"/>
    <w:rsid w:val="00145066"/>
    <w:rsid w:val="001450D5"/>
    <w:rsid w:val="00145243"/>
    <w:rsid w:val="00145252"/>
    <w:rsid w:val="001455C0"/>
    <w:rsid w:val="00145860"/>
    <w:rsid w:val="001459B0"/>
    <w:rsid w:val="00145B04"/>
    <w:rsid w:val="00145DB4"/>
    <w:rsid w:val="00145DC1"/>
    <w:rsid w:val="00145DD5"/>
    <w:rsid w:val="00145E50"/>
    <w:rsid w:val="00145EA7"/>
    <w:rsid w:val="00145F3B"/>
    <w:rsid w:val="00145FD4"/>
    <w:rsid w:val="0014601F"/>
    <w:rsid w:val="001461B9"/>
    <w:rsid w:val="001464F8"/>
    <w:rsid w:val="0014650B"/>
    <w:rsid w:val="0014651A"/>
    <w:rsid w:val="00146670"/>
    <w:rsid w:val="00146795"/>
    <w:rsid w:val="001467EA"/>
    <w:rsid w:val="00146845"/>
    <w:rsid w:val="00146975"/>
    <w:rsid w:val="001469DB"/>
    <w:rsid w:val="00146A8B"/>
    <w:rsid w:val="00146B83"/>
    <w:rsid w:val="00146C2E"/>
    <w:rsid w:val="00146D6C"/>
    <w:rsid w:val="0014703C"/>
    <w:rsid w:val="00147120"/>
    <w:rsid w:val="00147136"/>
    <w:rsid w:val="0014729F"/>
    <w:rsid w:val="001472B1"/>
    <w:rsid w:val="0014742E"/>
    <w:rsid w:val="0014743F"/>
    <w:rsid w:val="001474B2"/>
    <w:rsid w:val="001476FC"/>
    <w:rsid w:val="001477D9"/>
    <w:rsid w:val="0014784F"/>
    <w:rsid w:val="00147A65"/>
    <w:rsid w:val="00147B3B"/>
    <w:rsid w:val="00147C58"/>
    <w:rsid w:val="00147DBF"/>
    <w:rsid w:val="00147E13"/>
    <w:rsid w:val="00147E98"/>
    <w:rsid w:val="00147ECD"/>
    <w:rsid w:val="001500BE"/>
    <w:rsid w:val="0015012B"/>
    <w:rsid w:val="00150296"/>
    <w:rsid w:val="001502F1"/>
    <w:rsid w:val="00150348"/>
    <w:rsid w:val="001503CA"/>
    <w:rsid w:val="0015040E"/>
    <w:rsid w:val="001504FE"/>
    <w:rsid w:val="001505E9"/>
    <w:rsid w:val="001505FC"/>
    <w:rsid w:val="0015069F"/>
    <w:rsid w:val="00150770"/>
    <w:rsid w:val="001508F1"/>
    <w:rsid w:val="00150980"/>
    <w:rsid w:val="001509AB"/>
    <w:rsid w:val="00150B0D"/>
    <w:rsid w:val="00150BCE"/>
    <w:rsid w:val="00150C21"/>
    <w:rsid w:val="00150C52"/>
    <w:rsid w:val="00150D8D"/>
    <w:rsid w:val="00150DF5"/>
    <w:rsid w:val="00151057"/>
    <w:rsid w:val="0015127A"/>
    <w:rsid w:val="001512D0"/>
    <w:rsid w:val="001513F5"/>
    <w:rsid w:val="00151534"/>
    <w:rsid w:val="00151910"/>
    <w:rsid w:val="00151979"/>
    <w:rsid w:val="0015198F"/>
    <w:rsid w:val="001519D1"/>
    <w:rsid w:val="00151B0B"/>
    <w:rsid w:val="00151D36"/>
    <w:rsid w:val="00151DD4"/>
    <w:rsid w:val="0015206B"/>
    <w:rsid w:val="00152172"/>
    <w:rsid w:val="0015238E"/>
    <w:rsid w:val="001523E0"/>
    <w:rsid w:val="00152414"/>
    <w:rsid w:val="001524A5"/>
    <w:rsid w:val="001525A2"/>
    <w:rsid w:val="001525B5"/>
    <w:rsid w:val="001525F2"/>
    <w:rsid w:val="0015274F"/>
    <w:rsid w:val="00152836"/>
    <w:rsid w:val="00152862"/>
    <w:rsid w:val="001528A0"/>
    <w:rsid w:val="00152955"/>
    <w:rsid w:val="001529BB"/>
    <w:rsid w:val="00152B40"/>
    <w:rsid w:val="00152C67"/>
    <w:rsid w:val="00152C76"/>
    <w:rsid w:val="00152CD9"/>
    <w:rsid w:val="00152EA4"/>
    <w:rsid w:val="00152ED8"/>
    <w:rsid w:val="00152FD8"/>
    <w:rsid w:val="00152FF1"/>
    <w:rsid w:val="0015302F"/>
    <w:rsid w:val="00153240"/>
    <w:rsid w:val="00153534"/>
    <w:rsid w:val="001535A9"/>
    <w:rsid w:val="00153685"/>
    <w:rsid w:val="00153B35"/>
    <w:rsid w:val="00153B5C"/>
    <w:rsid w:val="00153BD8"/>
    <w:rsid w:val="00153C1B"/>
    <w:rsid w:val="00154156"/>
    <w:rsid w:val="001541D4"/>
    <w:rsid w:val="0015433F"/>
    <w:rsid w:val="00154384"/>
    <w:rsid w:val="0015438B"/>
    <w:rsid w:val="001545E0"/>
    <w:rsid w:val="00154642"/>
    <w:rsid w:val="001546F9"/>
    <w:rsid w:val="00154755"/>
    <w:rsid w:val="00154838"/>
    <w:rsid w:val="00154A6C"/>
    <w:rsid w:val="00154AD1"/>
    <w:rsid w:val="00154C1D"/>
    <w:rsid w:val="00154D7E"/>
    <w:rsid w:val="00154EA9"/>
    <w:rsid w:val="00154F4F"/>
    <w:rsid w:val="00154FB3"/>
    <w:rsid w:val="00154FF8"/>
    <w:rsid w:val="00155109"/>
    <w:rsid w:val="00155230"/>
    <w:rsid w:val="001553D4"/>
    <w:rsid w:val="001554CC"/>
    <w:rsid w:val="00155676"/>
    <w:rsid w:val="001556EF"/>
    <w:rsid w:val="001557B4"/>
    <w:rsid w:val="00155B02"/>
    <w:rsid w:val="00155B3C"/>
    <w:rsid w:val="00155B57"/>
    <w:rsid w:val="00155BFB"/>
    <w:rsid w:val="00155D39"/>
    <w:rsid w:val="00155F24"/>
    <w:rsid w:val="00155FB1"/>
    <w:rsid w:val="00155FCE"/>
    <w:rsid w:val="0015600C"/>
    <w:rsid w:val="001561F1"/>
    <w:rsid w:val="001564A4"/>
    <w:rsid w:val="001564E1"/>
    <w:rsid w:val="001564EF"/>
    <w:rsid w:val="0015656B"/>
    <w:rsid w:val="0015665B"/>
    <w:rsid w:val="00156918"/>
    <w:rsid w:val="00156946"/>
    <w:rsid w:val="00156982"/>
    <w:rsid w:val="00156A02"/>
    <w:rsid w:val="00156A46"/>
    <w:rsid w:val="00156B52"/>
    <w:rsid w:val="00156BB5"/>
    <w:rsid w:val="00156C69"/>
    <w:rsid w:val="00156D5D"/>
    <w:rsid w:val="00156E69"/>
    <w:rsid w:val="00156F8E"/>
    <w:rsid w:val="00156FC1"/>
    <w:rsid w:val="001570AC"/>
    <w:rsid w:val="0015719E"/>
    <w:rsid w:val="001574CA"/>
    <w:rsid w:val="00157813"/>
    <w:rsid w:val="001579D5"/>
    <w:rsid w:val="00157AD9"/>
    <w:rsid w:val="00157B04"/>
    <w:rsid w:val="00157B49"/>
    <w:rsid w:val="00157B66"/>
    <w:rsid w:val="00157C42"/>
    <w:rsid w:val="00157C60"/>
    <w:rsid w:val="00157CDA"/>
    <w:rsid w:val="00157CFF"/>
    <w:rsid w:val="00157FC5"/>
    <w:rsid w:val="00160020"/>
    <w:rsid w:val="0016007B"/>
    <w:rsid w:val="001600CB"/>
    <w:rsid w:val="001600F9"/>
    <w:rsid w:val="0016015D"/>
    <w:rsid w:val="0016015E"/>
    <w:rsid w:val="001601C7"/>
    <w:rsid w:val="001603AF"/>
    <w:rsid w:val="001603B5"/>
    <w:rsid w:val="0016055A"/>
    <w:rsid w:val="0016056B"/>
    <w:rsid w:val="001605E0"/>
    <w:rsid w:val="001605F4"/>
    <w:rsid w:val="001607B3"/>
    <w:rsid w:val="00160820"/>
    <w:rsid w:val="00160829"/>
    <w:rsid w:val="00160984"/>
    <w:rsid w:val="00160B37"/>
    <w:rsid w:val="00160B41"/>
    <w:rsid w:val="00160D85"/>
    <w:rsid w:val="00160EB8"/>
    <w:rsid w:val="00160F75"/>
    <w:rsid w:val="00161017"/>
    <w:rsid w:val="00161073"/>
    <w:rsid w:val="00161152"/>
    <w:rsid w:val="001613A3"/>
    <w:rsid w:val="00161542"/>
    <w:rsid w:val="001615CF"/>
    <w:rsid w:val="0016179F"/>
    <w:rsid w:val="001617F6"/>
    <w:rsid w:val="00161B6F"/>
    <w:rsid w:val="00161E52"/>
    <w:rsid w:val="00162094"/>
    <w:rsid w:val="00162115"/>
    <w:rsid w:val="0016213D"/>
    <w:rsid w:val="0016233B"/>
    <w:rsid w:val="001623A3"/>
    <w:rsid w:val="00162417"/>
    <w:rsid w:val="00162436"/>
    <w:rsid w:val="00162544"/>
    <w:rsid w:val="001625D2"/>
    <w:rsid w:val="00162607"/>
    <w:rsid w:val="00162A76"/>
    <w:rsid w:val="00162B75"/>
    <w:rsid w:val="00162BA8"/>
    <w:rsid w:val="00162C3C"/>
    <w:rsid w:val="00162CA8"/>
    <w:rsid w:val="00162D8E"/>
    <w:rsid w:val="00163027"/>
    <w:rsid w:val="00163094"/>
    <w:rsid w:val="00163277"/>
    <w:rsid w:val="00163290"/>
    <w:rsid w:val="00163477"/>
    <w:rsid w:val="0016376F"/>
    <w:rsid w:val="00163920"/>
    <w:rsid w:val="00163AF9"/>
    <w:rsid w:val="00163BC2"/>
    <w:rsid w:val="00163EAE"/>
    <w:rsid w:val="00163F53"/>
    <w:rsid w:val="00164290"/>
    <w:rsid w:val="001643F3"/>
    <w:rsid w:val="00164421"/>
    <w:rsid w:val="001645AD"/>
    <w:rsid w:val="0016468B"/>
    <w:rsid w:val="001646DF"/>
    <w:rsid w:val="0016480F"/>
    <w:rsid w:val="00164872"/>
    <w:rsid w:val="0016489C"/>
    <w:rsid w:val="00164928"/>
    <w:rsid w:val="001649AD"/>
    <w:rsid w:val="00164A4B"/>
    <w:rsid w:val="00164B54"/>
    <w:rsid w:val="00164C0D"/>
    <w:rsid w:val="00164FC1"/>
    <w:rsid w:val="00165027"/>
    <w:rsid w:val="001650AB"/>
    <w:rsid w:val="0016519B"/>
    <w:rsid w:val="001651CF"/>
    <w:rsid w:val="0016531C"/>
    <w:rsid w:val="0016532B"/>
    <w:rsid w:val="0016534F"/>
    <w:rsid w:val="001653B2"/>
    <w:rsid w:val="00165429"/>
    <w:rsid w:val="001654FA"/>
    <w:rsid w:val="00165524"/>
    <w:rsid w:val="00165587"/>
    <w:rsid w:val="0016558A"/>
    <w:rsid w:val="00165722"/>
    <w:rsid w:val="001657F7"/>
    <w:rsid w:val="001657FF"/>
    <w:rsid w:val="00165A21"/>
    <w:rsid w:val="00165C0D"/>
    <w:rsid w:val="00165D4B"/>
    <w:rsid w:val="00165D6A"/>
    <w:rsid w:val="00165E5A"/>
    <w:rsid w:val="00165E73"/>
    <w:rsid w:val="00165F24"/>
    <w:rsid w:val="00166400"/>
    <w:rsid w:val="001665A6"/>
    <w:rsid w:val="001666BA"/>
    <w:rsid w:val="00166764"/>
    <w:rsid w:val="001668D2"/>
    <w:rsid w:val="00166AA0"/>
    <w:rsid w:val="00166B92"/>
    <w:rsid w:val="00166BA2"/>
    <w:rsid w:val="00166CBC"/>
    <w:rsid w:val="00166D53"/>
    <w:rsid w:val="00166E19"/>
    <w:rsid w:val="00166E97"/>
    <w:rsid w:val="00166EE1"/>
    <w:rsid w:val="0016725F"/>
    <w:rsid w:val="001672C8"/>
    <w:rsid w:val="0016758E"/>
    <w:rsid w:val="00167623"/>
    <w:rsid w:val="00167801"/>
    <w:rsid w:val="00167885"/>
    <w:rsid w:val="00167932"/>
    <w:rsid w:val="00167977"/>
    <w:rsid w:val="00167983"/>
    <w:rsid w:val="001679DE"/>
    <w:rsid w:val="00167A3B"/>
    <w:rsid w:val="00167A68"/>
    <w:rsid w:val="00167AC9"/>
    <w:rsid w:val="00167B11"/>
    <w:rsid w:val="00167B3F"/>
    <w:rsid w:val="00167C01"/>
    <w:rsid w:val="00167EBB"/>
    <w:rsid w:val="00167F00"/>
    <w:rsid w:val="00167F21"/>
    <w:rsid w:val="00167F96"/>
    <w:rsid w:val="0017017D"/>
    <w:rsid w:val="0017022A"/>
    <w:rsid w:val="001704F0"/>
    <w:rsid w:val="0017072F"/>
    <w:rsid w:val="001707BE"/>
    <w:rsid w:val="00170987"/>
    <w:rsid w:val="00170C4F"/>
    <w:rsid w:val="00170CE7"/>
    <w:rsid w:val="00170D99"/>
    <w:rsid w:val="00170DAE"/>
    <w:rsid w:val="00170F7E"/>
    <w:rsid w:val="0017129B"/>
    <w:rsid w:val="0017132E"/>
    <w:rsid w:val="00171550"/>
    <w:rsid w:val="0017165B"/>
    <w:rsid w:val="00171774"/>
    <w:rsid w:val="00171942"/>
    <w:rsid w:val="00171BE4"/>
    <w:rsid w:val="00171EC3"/>
    <w:rsid w:val="00171FC6"/>
    <w:rsid w:val="001720EE"/>
    <w:rsid w:val="001721A3"/>
    <w:rsid w:val="0017221C"/>
    <w:rsid w:val="001722BA"/>
    <w:rsid w:val="001724A9"/>
    <w:rsid w:val="0017272D"/>
    <w:rsid w:val="001727C5"/>
    <w:rsid w:val="00172A06"/>
    <w:rsid w:val="00172A15"/>
    <w:rsid w:val="00172A18"/>
    <w:rsid w:val="00172A32"/>
    <w:rsid w:val="00172AB1"/>
    <w:rsid w:val="00172AC0"/>
    <w:rsid w:val="00172BDA"/>
    <w:rsid w:val="00172E15"/>
    <w:rsid w:val="00172E1B"/>
    <w:rsid w:val="00172EEA"/>
    <w:rsid w:val="0017313E"/>
    <w:rsid w:val="00173279"/>
    <w:rsid w:val="00173290"/>
    <w:rsid w:val="0017331E"/>
    <w:rsid w:val="0017333B"/>
    <w:rsid w:val="001733E4"/>
    <w:rsid w:val="001737D6"/>
    <w:rsid w:val="00173812"/>
    <w:rsid w:val="0017383E"/>
    <w:rsid w:val="00173A0F"/>
    <w:rsid w:val="00173C06"/>
    <w:rsid w:val="00173C93"/>
    <w:rsid w:val="00173D3A"/>
    <w:rsid w:val="00173E8C"/>
    <w:rsid w:val="00173FC3"/>
    <w:rsid w:val="00173FDE"/>
    <w:rsid w:val="00173FE2"/>
    <w:rsid w:val="0017415B"/>
    <w:rsid w:val="001742F5"/>
    <w:rsid w:val="00174325"/>
    <w:rsid w:val="001743C3"/>
    <w:rsid w:val="0017444E"/>
    <w:rsid w:val="001745D7"/>
    <w:rsid w:val="00174974"/>
    <w:rsid w:val="00174AAB"/>
    <w:rsid w:val="00174C8F"/>
    <w:rsid w:val="00174FAA"/>
    <w:rsid w:val="001750DD"/>
    <w:rsid w:val="00175117"/>
    <w:rsid w:val="001751EF"/>
    <w:rsid w:val="001752FE"/>
    <w:rsid w:val="0017560C"/>
    <w:rsid w:val="00175617"/>
    <w:rsid w:val="001756F3"/>
    <w:rsid w:val="0017570F"/>
    <w:rsid w:val="00175748"/>
    <w:rsid w:val="00175792"/>
    <w:rsid w:val="00175842"/>
    <w:rsid w:val="001758E2"/>
    <w:rsid w:val="00175A73"/>
    <w:rsid w:val="00175CE6"/>
    <w:rsid w:val="00175D86"/>
    <w:rsid w:val="00175DC3"/>
    <w:rsid w:val="00175F17"/>
    <w:rsid w:val="0017605F"/>
    <w:rsid w:val="001762D1"/>
    <w:rsid w:val="00176364"/>
    <w:rsid w:val="001763B6"/>
    <w:rsid w:val="00176441"/>
    <w:rsid w:val="00176457"/>
    <w:rsid w:val="0017660C"/>
    <w:rsid w:val="00176640"/>
    <w:rsid w:val="00176771"/>
    <w:rsid w:val="00176855"/>
    <w:rsid w:val="00176856"/>
    <w:rsid w:val="0017689F"/>
    <w:rsid w:val="00176DDD"/>
    <w:rsid w:val="001770B7"/>
    <w:rsid w:val="00177246"/>
    <w:rsid w:val="001774BE"/>
    <w:rsid w:val="0017752F"/>
    <w:rsid w:val="0017759B"/>
    <w:rsid w:val="001775FF"/>
    <w:rsid w:val="00177629"/>
    <w:rsid w:val="0017771C"/>
    <w:rsid w:val="0017775C"/>
    <w:rsid w:val="001779A1"/>
    <w:rsid w:val="00177A51"/>
    <w:rsid w:val="00177AF3"/>
    <w:rsid w:val="00177C1F"/>
    <w:rsid w:val="00177DB8"/>
    <w:rsid w:val="00177E25"/>
    <w:rsid w:val="00177E54"/>
    <w:rsid w:val="00177F34"/>
    <w:rsid w:val="00177F44"/>
    <w:rsid w:val="00180130"/>
    <w:rsid w:val="00180220"/>
    <w:rsid w:val="0018025E"/>
    <w:rsid w:val="0018034A"/>
    <w:rsid w:val="00180372"/>
    <w:rsid w:val="001803F8"/>
    <w:rsid w:val="00180419"/>
    <w:rsid w:val="00180434"/>
    <w:rsid w:val="001804FC"/>
    <w:rsid w:val="00180500"/>
    <w:rsid w:val="00180573"/>
    <w:rsid w:val="00180599"/>
    <w:rsid w:val="00180620"/>
    <w:rsid w:val="00180680"/>
    <w:rsid w:val="001809A5"/>
    <w:rsid w:val="001809BF"/>
    <w:rsid w:val="001809D5"/>
    <w:rsid w:val="00180C81"/>
    <w:rsid w:val="00180C84"/>
    <w:rsid w:val="00180EBF"/>
    <w:rsid w:val="00180FB0"/>
    <w:rsid w:val="00180FB8"/>
    <w:rsid w:val="00181323"/>
    <w:rsid w:val="0018141D"/>
    <w:rsid w:val="00181455"/>
    <w:rsid w:val="00181528"/>
    <w:rsid w:val="00181650"/>
    <w:rsid w:val="001817A1"/>
    <w:rsid w:val="001817FE"/>
    <w:rsid w:val="00181C02"/>
    <w:rsid w:val="00181CAB"/>
    <w:rsid w:val="00181F45"/>
    <w:rsid w:val="00181F7C"/>
    <w:rsid w:val="00182052"/>
    <w:rsid w:val="00182053"/>
    <w:rsid w:val="00182153"/>
    <w:rsid w:val="00182448"/>
    <w:rsid w:val="001825BA"/>
    <w:rsid w:val="0018269C"/>
    <w:rsid w:val="0018276F"/>
    <w:rsid w:val="0018289F"/>
    <w:rsid w:val="00182912"/>
    <w:rsid w:val="00182A52"/>
    <w:rsid w:val="00182A5A"/>
    <w:rsid w:val="00182B55"/>
    <w:rsid w:val="00182CE4"/>
    <w:rsid w:val="00182DE1"/>
    <w:rsid w:val="00182DFB"/>
    <w:rsid w:val="0018315B"/>
    <w:rsid w:val="00183299"/>
    <w:rsid w:val="001836D3"/>
    <w:rsid w:val="001837DD"/>
    <w:rsid w:val="0018394B"/>
    <w:rsid w:val="00183D06"/>
    <w:rsid w:val="00183D0F"/>
    <w:rsid w:val="00183E89"/>
    <w:rsid w:val="00183F4D"/>
    <w:rsid w:val="00183F66"/>
    <w:rsid w:val="00184129"/>
    <w:rsid w:val="00184260"/>
    <w:rsid w:val="00184321"/>
    <w:rsid w:val="001843FB"/>
    <w:rsid w:val="0018467A"/>
    <w:rsid w:val="00184805"/>
    <w:rsid w:val="00184964"/>
    <w:rsid w:val="0018498B"/>
    <w:rsid w:val="00184ACC"/>
    <w:rsid w:val="00184ACF"/>
    <w:rsid w:val="00184AF8"/>
    <w:rsid w:val="00184C2C"/>
    <w:rsid w:val="00184C79"/>
    <w:rsid w:val="00184F75"/>
    <w:rsid w:val="00184F93"/>
    <w:rsid w:val="001850F4"/>
    <w:rsid w:val="001853F5"/>
    <w:rsid w:val="0018551C"/>
    <w:rsid w:val="001855FA"/>
    <w:rsid w:val="0018570B"/>
    <w:rsid w:val="00185731"/>
    <w:rsid w:val="00185951"/>
    <w:rsid w:val="00185E88"/>
    <w:rsid w:val="00185F39"/>
    <w:rsid w:val="00186019"/>
    <w:rsid w:val="00186061"/>
    <w:rsid w:val="00186222"/>
    <w:rsid w:val="00186256"/>
    <w:rsid w:val="00186364"/>
    <w:rsid w:val="001863CF"/>
    <w:rsid w:val="001865FA"/>
    <w:rsid w:val="001866A6"/>
    <w:rsid w:val="0018683D"/>
    <w:rsid w:val="0018687D"/>
    <w:rsid w:val="0018697A"/>
    <w:rsid w:val="001869AA"/>
    <w:rsid w:val="00186A1F"/>
    <w:rsid w:val="00186C3D"/>
    <w:rsid w:val="00186DBD"/>
    <w:rsid w:val="00186E0E"/>
    <w:rsid w:val="00186E0F"/>
    <w:rsid w:val="00186F92"/>
    <w:rsid w:val="001870A0"/>
    <w:rsid w:val="001870E1"/>
    <w:rsid w:val="0018716B"/>
    <w:rsid w:val="001871D9"/>
    <w:rsid w:val="0018730C"/>
    <w:rsid w:val="0018768D"/>
    <w:rsid w:val="00187772"/>
    <w:rsid w:val="0018783C"/>
    <w:rsid w:val="00187995"/>
    <w:rsid w:val="00187BA0"/>
    <w:rsid w:val="00187C41"/>
    <w:rsid w:val="00187C60"/>
    <w:rsid w:val="00187CCB"/>
    <w:rsid w:val="00187D01"/>
    <w:rsid w:val="00187EB3"/>
    <w:rsid w:val="00187F35"/>
    <w:rsid w:val="00187F4C"/>
    <w:rsid w:val="00187FAC"/>
    <w:rsid w:val="0019009F"/>
    <w:rsid w:val="001900D5"/>
    <w:rsid w:val="0019013B"/>
    <w:rsid w:val="001902A3"/>
    <w:rsid w:val="0019047D"/>
    <w:rsid w:val="00190490"/>
    <w:rsid w:val="00190570"/>
    <w:rsid w:val="00190726"/>
    <w:rsid w:val="00190984"/>
    <w:rsid w:val="00190A4C"/>
    <w:rsid w:val="00190CF9"/>
    <w:rsid w:val="00190DBD"/>
    <w:rsid w:val="00190E83"/>
    <w:rsid w:val="00190FD5"/>
    <w:rsid w:val="00191205"/>
    <w:rsid w:val="00191362"/>
    <w:rsid w:val="00191490"/>
    <w:rsid w:val="00191566"/>
    <w:rsid w:val="001915D1"/>
    <w:rsid w:val="00191670"/>
    <w:rsid w:val="001916D0"/>
    <w:rsid w:val="001916EF"/>
    <w:rsid w:val="00191982"/>
    <w:rsid w:val="00191A10"/>
    <w:rsid w:val="00191A62"/>
    <w:rsid w:val="00191AC5"/>
    <w:rsid w:val="00191B0E"/>
    <w:rsid w:val="00191B93"/>
    <w:rsid w:val="00191C56"/>
    <w:rsid w:val="00191E3D"/>
    <w:rsid w:val="00192051"/>
    <w:rsid w:val="00192119"/>
    <w:rsid w:val="001921BE"/>
    <w:rsid w:val="0019272E"/>
    <w:rsid w:val="00192895"/>
    <w:rsid w:val="00192C53"/>
    <w:rsid w:val="00192CC2"/>
    <w:rsid w:val="00192E42"/>
    <w:rsid w:val="00192F4C"/>
    <w:rsid w:val="00193089"/>
    <w:rsid w:val="0019310C"/>
    <w:rsid w:val="00193157"/>
    <w:rsid w:val="00193267"/>
    <w:rsid w:val="001934D8"/>
    <w:rsid w:val="00193571"/>
    <w:rsid w:val="00193710"/>
    <w:rsid w:val="0019391C"/>
    <w:rsid w:val="00193973"/>
    <w:rsid w:val="00193A71"/>
    <w:rsid w:val="00193B6A"/>
    <w:rsid w:val="00193F19"/>
    <w:rsid w:val="0019401F"/>
    <w:rsid w:val="00194066"/>
    <w:rsid w:val="001941C0"/>
    <w:rsid w:val="001942EF"/>
    <w:rsid w:val="0019432E"/>
    <w:rsid w:val="00194438"/>
    <w:rsid w:val="0019453C"/>
    <w:rsid w:val="00194669"/>
    <w:rsid w:val="00194733"/>
    <w:rsid w:val="00194739"/>
    <w:rsid w:val="0019477B"/>
    <w:rsid w:val="00194847"/>
    <w:rsid w:val="00194926"/>
    <w:rsid w:val="00194C6B"/>
    <w:rsid w:val="00194CBC"/>
    <w:rsid w:val="00194EA5"/>
    <w:rsid w:val="00194ED4"/>
    <w:rsid w:val="00194FAA"/>
    <w:rsid w:val="00195026"/>
    <w:rsid w:val="001952CD"/>
    <w:rsid w:val="001952F1"/>
    <w:rsid w:val="0019537E"/>
    <w:rsid w:val="001954D4"/>
    <w:rsid w:val="0019557E"/>
    <w:rsid w:val="00195685"/>
    <w:rsid w:val="001957EC"/>
    <w:rsid w:val="00195841"/>
    <w:rsid w:val="00195923"/>
    <w:rsid w:val="00195A71"/>
    <w:rsid w:val="00195AF1"/>
    <w:rsid w:val="00195BE5"/>
    <w:rsid w:val="00195C48"/>
    <w:rsid w:val="00195CA5"/>
    <w:rsid w:val="00195CCE"/>
    <w:rsid w:val="00195EB4"/>
    <w:rsid w:val="00196132"/>
    <w:rsid w:val="001962EE"/>
    <w:rsid w:val="001965FB"/>
    <w:rsid w:val="00196936"/>
    <w:rsid w:val="0019695E"/>
    <w:rsid w:val="00196999"/>
    <w:rsid w:val="001969AA"/>
    <w:rsid w:val="001969D2"/>
    <w:rsid w:val="00196BE0"/>
    <w:rsid w:val="00196C3C"/>
    <w:rsid w:val="00196CDC"/>
    <w:rsid w:val="00196D0E"/>
    <w:rsid w:val="00196F5E"/>
    <w:rsid w:val="00197054"/>
    <w:rsid w:val="0019707F"/>
    <w:rsid w:val="001970FB"/>
    <w:rsid w:val="00197187"/>
    <w:rsid w:val="00197195"/>
    <w:rsid w:val="0019726D"/>
    <w:rsid w:val="0019729C"/>
    <w:rsid w:val="001972FD"/>
    <w:rsid w:val="0019783D"/>
    <w:rsid w:val="001978F2"/>
    <w:rsid w:val="00197958"/>
    <w:rsid w:val="001979A4"/>
    <w:rsid w:val="00197A6A"/>
    <w:rsid w:val="00197D1F"/>
    <w:rsid w:val="00197D99"/>
    <w:rsid w:val="00197E6D"/>
    <w:rsid w:val="001A00D7"/>
    <w:rsid w:val="001A059F"/>
    <w:rsid w:val="001A05E9"/>
    <w:rsid w:val="001A073B"/>
    <w:rsid w:val="001A0A6F"/>
    <w:rsid w:val="001A0ADC"/>
    <w:rsid w:val="001A0CA0"/>
    <w:rsid w:val="001A0D5F"/>
    <w:rsid w:val="001A0D8C"/>
    <w:rsid w:val="001A0D9E"/>
    <w:rsid w:val="001A10B5"/>
    <w:rsid w:val="001A1102"/>
    <w:rsid w:val="001A119D"/>
    <w:rsid w:val="001A1435"/>
    <w:rsid w:val="001A14E9"/>
    <w:rsid w:val="001A15A0"/>
    <w:rsid w:val="001A15E2"/>
    <w:rsid w:val="001A1648"/>
    <w:rsid w:val="001A16BE"/>
    <w:rsid w:val="001A170B"/>
    <w:rsid w:val="001A1734"/>
    <w:rsid w:val="001A173D"/>
    <w:rsid w:val="001A1796"/>
    <w:rsid w:val="001A1A12"/>
    <w:rsid w:val="001A1A4F"/>
    <w:rsid w:val="001A1A71"/>
    <w:rsid w:val="001A1BFF"/>
    <w:rsid w:val="001A1C85"/>
    <w:rsid w:val="001A1CB9"/>
    <w:rsid w:val="001A1CF7"/>
    <w:rsid w:val="001A1E1E"/>
    <w:rsid w:val="001A1E71"/>
    <w:rsid w:val="001A1F96"/>
    <w:rsid w:val="001A2109"/>
    <w:rsid w:val="001A2140"/>
    <w:rsid w:val="001A2198"/>
    <w:rsid w:val="001A21D7"/>
    <w:rsid w:val="001A22D7"/>
    <w:rsid w:val="001A22E2"/>
    <w:rsid w:val="001A22F6"/>
    <w:rsid w:val="001A2592"/>
    <w:rsid w:val="001A25A6"/>
    <w:rsid w:val="001A2711"/>
    <w:rsid w:val="001A2B16"/>
    <w:rsid w:val="001A2B54"/>
    <w:rsid w:val="001A2BFD"/>
    <w:rsid w:val="001A2C1A"/>
    <w:rsid w:val="001A2D1B"/>
    <w:rsid w:val="001A2EDC"/>
    <w:rsid w:val="001A307C"/>
    <w:rsid w:val="001A3419"/>
    <w:rsid w:val="001A3463"/>
    <w:rsid w:val="001A3639"/>
    <w:rsid w:val="001A3757"/>
    <w:rsid w:val="001A3A71"/>
    <w:rsid w:val="001A3B72"/>
    <w:rsid w:val="001A3DFA"/>
    <w:rsid w:val="001A3E3A"/>
    <w:rsid w:val="001A4030"/>
    <w:rsid w:val="001A41B4"/>
    <w:rsid w:val="001A4409"/>
    <w:rsid w:val="001A442D"/>
    <w:rsid w:val="001A44F9"/>
    <w:rsid w:val="001A4796"/>
    <w:rsid w:val="001A4AF7"/>
    <w:rsid w:val="001A4B40"/>
    <w:rsid w:val="001A4B49"/>
    <w:rsid w:val="001A4FCF"/>
    <w:rsid w:val="001A5190"/>
    <w:rsid w:val="001A522D"/>
    <w:rsid w:val="001A5849"/>
    <w:rsid w:val="001A5930"/>
    <w:rsid w:val="001A5D0A"/>
    <w:rsid w:val="001A5D45"/>
    <w:rsid w:val="001A5E27"/>
    <w:rsid w:val="001A604E"/>
    <w:rsid w:val="001A606B"/>
    <w:rsid w:val="001A6073"/>
    <w:rsid w:val="001A61BB"/>
    <w:rsid w:val="001A6389"/>
    <w:rsid w:val="001A639A"/>
    <w:rsid w:val="001A648B"/>
    <w:rsid w:val="001A64BB"/>
    <w:rsid w:val="001A6642"/>
    <w:rsid w:val="001A67D1"/>
    <w:rsid w:val="001A67D7"/>
    <w:rsid w:val="001A67F9"/>
    <w:rsid w:val="001A6934"/>
    <w:rsid w:val="001A6F55"/>
    <w:rsid w:val="001A722A"/>
    <w:rsid w:val="001A742E"/>
    <w:rsid w:val="001A74FA"/>
    <w:rsid w:val="001A7829"/>
    <w:rsid w:val="001A7893"/>
    <w:rsid w:val="001A78E1"/>
    <w:rsid w:val="001A79F6"/>
    <w:rsid w:val="001A7CA8"/>
    <w:rsid w:val="001B0289"/>
    <w:rsid w:val="001B02BE"/>
    <w:rsid w:val="001B0515"/>
    <w:rsid w:val="001B07B6"/>
    <w:rsid w:val="001B07BD"/>
    <w:rsid w:val="001B091B"/>
    <w:rsid w:val="001B09CE"/>
    <w:rsid w:val="001B0A74"/>
    <w:rsid w:val="001B0B13"/>
    <w:rsid w:val="001B0B77"/>
    <w:rsid w:val="001B0BD1"/>
    <w:rsid w:val="001B0BE7"/>
    <w:rsid w:val="001B0C3D"/>
    <w:rsid w:val="001B0CA5"/>
    <w:rsid w:val="001B0E39"/>
    <w:rsid w:val="001B0E6B"/>
    <w:rsid w:val="001B0EDC"/>
    <w:rsid w:val="001B0F9C"/>
    <w:rsid w:val="001B1184"/>
    <w:rsid w:val="001B145C"/>
    <w:rsid w:val="001B152F"/>
    <w:rsid w:val="001B156C"/>
    <w:rsid w:val="001B1954"/>
    <w:rsid w:val="001B19FB"/>
    <w:rsid w:val="001B1B69"/>
    <w:rsid w:val="001B1B89"/>
    <w:rsid w:val="001B1BB5"/>
    <w:rsid w:val="001B1C7E"/>
    <w:rsid w:val="001B1C85"/>
    <w:rsid w:val="001B1F3D"/>
    <w:rsid w:val="001B1F4F"/>
    <w:rsid w:val="001B1FC1"/>
    <w:rsid w:val="001B200D"/>
    <w:rsid w:val="001B20D5"/>
    <w:rsid w:val="001B25DA"/>
    <w:rsid w:val="001B2901"/>
    <w:rsid w:val="001B2902"/>
    <w:rsid w:val="001B2938"/>
    <w:rsid w:val="001B2948"/>
    <w:rsid w:val="001B29F0"/>
    <w:rsid w:val="001B2A38"/>
    <w:rsid w:val="001B2BF4"/>
    <w:rsid w:val="001B2CFE"/>
    <w:rsid w:val="001B2F7C"/>
    <w:rsid w:val="001B30C7"/>
    <w:rsid w:val="001B313E"/>
    <w:rsid w:val="001B322E"/>
    <w:rsid w:val="001B3243"/>
    <w:rsid w:val="001B3395"/>
    <w:rsid w:val="001B33D7"/>
    <w:rsid w:val="001B3646"/>
    <w:rsid w:val="001B368B"/>
    <w:rsid w:val="001B3726"/>
    <w:rsid w:val="001B3946"/>
    <w:rsid w:val="001B39A2"/>
    <w:rsid w:val="001B39E2"/>
    <w:rsid w:val="001B3BE9"/>
    <w:rsid w:val="001B3C8F"/>
    <w:rsid w:val="001B3CBD"/>
    <w:rsid w:val="001B3CC5"/>
    <w:rsid w:val="001B3DD8"/>
    <w:rsid w:val="001B3F34"/>
    <w:rsid w:val="001B403E"/>
    <w:rsid w:val="001B414E"/>
    <w:rsid w:val="001B426B"/>
    <w:rsid w:val="001B435D"/>
    <w:rsid w:val="001B43E6"/>
    <w:rsid w:val="001B442A"/>
    <w:rsid w:val="001B44E3"/>
    <w:rsid w:val="001B4563"/>
    <w:rsid w:val="001B4596"/>
    <w:rsid w:val="001B45B6"/>
    <w:rsid w:val="001B45B9"/>
    <w:rsid w:val="001B47EA"/>
    <w:rsid w:val="001B4836"/>
    <w:rsid w:val="001B48BC"/>
    <w:rsid w:val="001B499C"/>
    <w:rsid w:val="001B4A7D"/>
    <w:rsid w:val="001B4A8D"/>
    <w:rsid w:val="001B4B98"/>
    <w:rsid w:val="001B4BA8"/>
    <w:rsid w:val="001B4F57"/>
    <w:rsid w:val="001B5332"/>
    <w:rsid w:val="001B541B"/>
    <w:rsid w:val="001B544D"/>
    <w:rsid w:val="001B55BB"/>
    <w:rsid w:val="001B568B"/>
    <w:rsid w:val="001B56F2"/>
    <w:rsid w:val="001B5720"/>
    <w:rsid w:val="001B5839"/>
    <w:rsid w:val="001B5854"/>
    <w:rsid w:val="001B59B0"/>
    <w:rsid w:val="001B5A9E"/>
    <w:rsid w:val="001B5D0F"/>
    <w:rsid w:val="001B5D7E"/>
    <w:rsid w:val="001B6018"/>
    <w:rsid w:val="001B6076"/>
    <w:rsid w:val="001B61AE"/>
    <w:rsid w:val="001B6238"/>
    <w:rsid w:val="001B6258"/>
    <w:rsid w:val="001B631D"/>
    <w:rsid w:val="001B6542"/>
    <w:rsid w:val="001B6593"/>
    <w:rsid w:val="001B6670"/>
    <w:rsid w:val="001B66D0"/>
    <w:rsid w:val="001B6782"/>
    <w:rsid w:val="001B67AB"/>
    <w:rsid w:val="001B6885"/>
    <w:rsid w:val="001B6980"/>
    <w:rsid w:val="001B69D5"/>
    <w:rsid w:val="001B6A99"/>
    <w:rsid w:val="001B6B69"/>
    <w:rsid w:val="001B6B94"/>
    <w:rsid w:val="001B6C4F"/>
    <w:rsid w:val="001B6C96"/>
    <w:rsid w:val="001B6D50"/>
    <w:rsid w:val="001B6DA2"/>
    <w:rsid w:val="001B6E01"/>
    <w:rsid w:val="001B6F0B"/>
    <w:rsid w:val="001B6FC1"/>
    <w:rsid w:val="001B6FC7"/>
    <w:rsid w:val="001B712F"/>
    <w:rsid w:val="001B7541"/>
    <w:rsid w:val="001B76CE"/>
    <w:rsid w:val="001B7786"/>
    <w:rsid w:val="001B77C9"/>
    <w:rsid w:val="001B793D"/>
    <w:rsid w:val="001B7953"/>
    <w:rsid w:val="001B7A4A"/>
    <w:rsid w:val="001B7B26"/>
    <w:rsid w:val="001B7E50"/>
    <w:rsid w:val="001C0045"/>
    <w:rsid w:val="001C01B3"/>
    <w:rsid w:val="001C02B9"/>
    <w:rsid w:val="001C02E7"/>
    <w:rsid w:val="001C046D"/>
    <w:rsid w:val="001C0522"/>
    <w:rsid w:val="001C0533"/>
    <w:rsid w:val="001C0594"/>
    <w:rsid w:val="001C065C"/>
    <w:rsid w:val="001C0688"/>
    <w:rsid w:val="001C0879"/>
    <w:rsid w:val="001C08B5"/>
    <w:rsid w:val="001C08EF"/>
    <w:rsid w:val="001C0963"/>
    <w:rsid w:val="001C0A93"/>
    <w:rsid w:val="001C0AEF"/>
    <w:rsid w:val="001C0BE4"/>
    <w:rsid w:val="001C0C83"/>
    <w:rsid w:val="001C0E61"/>
    <w:rsid w:val="001C107E"/>
    <w:rsid w:val="001C10CF"/>
    <w:rsid w:val="001C1261"/>
    <w:rsid w:val="001C14CE"/>
    <w:rsid w:val="001C191A"/>
    <w:rsid w:val="001C1B51"/>
    <w:rsid w:val="001C1D5A"/>
    <w:rsid w:val="001C1FB1"/>
    <w:rsid w:val="001C203C"/>
    <w:rsid w:val="001C213D"/>
    <w:rsid w:val="001C24FC"/>
    <w:rsid w:val="001C267C"/>
    <w:rsid w:val="001C26F9"/>
    <w:rsid w:val="001C27EA"/>
    <w:rsid w:val="001C290A"/>
    <w:rsid w:val="001C29E2"/>
    <w:rsid w:val="001C2BEA"/>
    <w:rsid w:val="001C2C0E"/>
    <w:rsid w:val="001C2E98"/>
    <w:rsid w:val="001C3471"/>
    <w:rsid w:val="001C3663"/>
    <w:rsid w:val="001C36B1"/>
    <w:rsid w:val="001C3727"/>
    <w:rsid w:val="001C38C9"/>
    <w:rsid w:val="001C3950"/>
    <w:rsid w:val="001C39D7"/>
    <w:rsid w:val="001C3B39"/>
    <w:rsid w:val="001C3D71"/>
    <w:rsid w:val="001C3D76"/>
    <w:rsid w:val="001C3DA7"/>
    <w:rsid w:val="001C3E0F"/>
    <w:rsid w:val="001C3FA9"/>
    <w:rsid w:val="001C4215"/>
    <w:rsid w:val="001C42E3"/>
    <w:rsid w:val="001C4367"/>
    <w:rsid w:val="001C4422"/>
    <w:rsid w:val="001C44DB"/>
    <w:rsid w:val="001C453E"/>
    <w:rsid w:val="001C4587"/>
    <w:rsid w:val="001C45AD"/>
    <w:rsid w:val="001C45B5"/>
    <w:rsid w:val="001C4673"/>
    <w:rsid w:val="001C4687"/>
    <w:rsid w:val="001C4738"/>
    <w:rsid w:val="001C4813"/>
    <w:rsid w:val="001C4A3D"/>
    <w:rsid w:val="001C4B1A"/>
    <w:rsid w:val="001C4DD3"/>
    <w:rsid w:val="001C4E33"/>
    <w:rsid w:val="001C4EBB"/>
    <w:rsid w:val="001C507F"/>
    <w:rsid w:val="001C52B5"/>
    <w:rsid w:val="001C5381"/>
    <w:rsid w:val="001C53BD"/>
    <w:rsid w:val="001C54FF"/>
    <w:rsid w:val="001C56CA"/>
    <w:rsid w:val="001C5732"/>
    <w:rsid w:val="001C5769"/>
    <w:rsid w:val="001C586A"/>
    <w:rsid w:val="001C5913"/>
    <w:rsid w:val="001C5AC0"/>
    <w:rsid w:val="001C5AE7"/>
    <w:rsid w:val="001C5BAC"/>
    <w:rsid w:val="001C5BBE"/>
    <w:rsid w:val="001C5CC6"/>
    <w:rsid w:val="001C5E0B"/>
    <w:rsid w:val="001C6069"/>
    <w:rsid w:val="001C60B2"/>
    <w:rsid w:val="001C60F8"/>
    <w:rsid w:val="001C6136"/>
    <w:rsid w:val="001C64A9"/>
    <w:rsid w:val="001C6695"/>
    <w:rsid w:val="001C67C5"/>
    <w:rsid w:val="001C68CD"/>
    <w:rsid w:val="001C69DD"/>
    <w:rsid w:val="001C6B03"/>
    <w:rsid w:val="001C6B54"/>
    <w:rsid w:val="001C6BDB"/>
    <w:rsid w:val="001C6C95"/>
    <w:rsid w:val="001C6E50"/>
    <w:rsid w:val="001C6E72"/>
    <w:rsid w:val="001C6F10"/>
    <w:rsid w:val="001C6F2A"/>
    <w:rsid w:val="001C6F2E"/>
    <w:rsid w:val="001C6FF3"/>
    <w:rsid w:val="001C707D"/>
    <w:rsid w:val="001C721B"/>
    <w:rsid w:val="001C7240"/>
    <w:rsid w:val="001C75CB"/>
    <w:rsid w:val="001C77EA"/>
    <w:rsid w:val="001C7946"/>
    <w:rsid w:val="001C7D79"/>
    <w:rsid w:val="001C7E50"/>
    <w:rsid w:val="001C7F76"/>
    <w:rsid w:val="001C7FC2"/>
    <w:rsid w:val="001D026F"/>
    <w:rsid w:val="001D02D5"/>
    <w:rsid w:val="001D049C"/>
    <w:rsid w:val="001D06C9"/>
    <w:rsid w:val="001D0897"/>
    <w:rsid w:val="001D0B7D"/>
    <w:rsid w:val="001D0B7F"/>
    <w:rsid w:val="001D0CF0"/>
    <w:rsid w:val="001D0D88"/>
    <w:rsid w:val="001D0E72"/>
    <w:rsid w:val="001D0EE6"/>
    <w:rsid w:val="001D0F25"/>
    <w:rsid w:val="001D0FC0"/>
    <w:rsid w:val="001D11B8"/>
    <w:rsid w:val="001D11BA"/>
    <w:rsid w:val="001D11D8"/>
    <w:rsid w:val="001D1205"/>
    <w:rsid w:val="001D1335"/>
    <w:rsid w:val="001D1348"/>
    <w:rsid w:val="001D1398"/>
    <w:rsid w:val="001D13EE"/>
    <w:rsid w:val="001D1488"/>
    <w:rsid w:val="001D1545"/>
    <w:rsid w:val="001D1551"/>
    <w:rsid w:val="001D1732"/>
    <w:rsid w:val="001D1851"/>
    <w:rsid w:val="001D1877"/>
    <w:rsid w:val="001D1964"/>
    <w:rsid w:val="001D198E"/>
    <w:rsid w:val="001D198F"/>
    <w:rsid w:val="001D1990"/>
    <w:rsid w:val="001D1A9A"/>
    <w:rsid w:val="001D1B60"/>
    <w:rsid w:val="001D1BA3"/>
    <w:rsid w:val="001D1BC7"/>
    <w:rsid w:val="001D1C27"/>
    <w:rsid w:val="001D1EDA"/>
    <w:rsid w:val="001D1F7C"/>
    <w:rsid w:val="001D1FBB"/>
    <w:rsid w:val="001D234D"/>
    <w:rsid w:val="001D2427"/>
    <w:rsid w:val="001D255B"/>
    <w:rsid w:val="001D2824"/>
    <w:rsid w:val="001D28E0"/>
    <w:rsid w:val="001D2928"/>
    <w:rsid w:val="001D2A2C"/>
    <w:rsid w:val="001D2B57"/>
    <w:rsid w:val="001D2D02"/>
    <w:rsid w:val="001D2EC4"/>
    <w:rsid w:val="001D2ED4"/>
    <w:rsid w:val="001D3161"/>
    <w:rsid w:val="001D3278"/>
    <w:rsid w:val="001D32F5"/>
    <w:rsid w:val="001D33A5"/>
    <w:rsid w:val="001D346E"/>
    <w:rsid w:val="001D3577"/>
    <w:rsid w:val="001D39FA"/>
    <w:rsid w:val="001D3A78"/>
    <w:rsid w:val="001D3B0A"/>
    <w:rsid w:val="001D3C50"/>
    <w:rsid w:val="001D3C91"/>
    <w:rsid w:val="001D3CED"/>
    <w:rsid w:val="001D3D69"/>
    <w:rsid w:val="001D3D8A"/>
    <w:rsid w:val="001D3DF4"/>
    <w:rsid w:val="001D435C"/>
    <w:rsid w:val="001D440A"/>
    <w:rsid w:val="001D44C2"/>
    <w:rsid w:val="001D4502"/>
    <w:rsid w:val="001D47A4"/>
    <w:rsid w:val="001D49DD"/>
    <w:rsid w:val="001D4BAA"/>
    <w:rsid w:val="001D4E32"/>
    <w:rsid w:val="001D4FC2"/>
    <w:rsid w:val="001D500E"/>
    <w:rsid w:val="001D51ED"/>
    <w:rsid w:val="001D53B6"/>
    <w:rsid w:val="001D56FE"/>
    <w:rsid w:val="001D5718"/>
    <w:rsid w:val="001D5932"/>
    <w:rsid w:val="001D5C63"/>
    <w:rsid w:val="001D5D7F"/>
    <w:rsid w:val="001D5F4D"/>
    <w:rsid w:val="001D5F86"/>
    <w:rsid w:val="001D6126"/>
    <w:rsid w:val="001D6154"/>
    <w:rsid w:val="001D6273"/>
    <w:rsid w:val="001D62F1"/>
    <w:rsid w:val="001D63DD"/>
    <w:rsid w:val="001D6751"/>
    <w:rsid w:val="001D692F"/>
    <w:rsid w:val="001D6A5D"/>
    <w:rsid w:val="001D6A5E"/>
    <w:rsid w:val="001D6AD9"/>
    <w:rsid w:val="001D6D45"/>
    <w:rsid w:val="001D6D98"/>
    <w:rsid w:val="001D6E76"/>
    <w:rsid w:val="001D71C1"/>
    <w:rsid w:val="001D724E"/>
    <w:rsid w:val="001D74EB"/>
    <w:rsid w:val="001D76AF"/>
    <w:rsid w:val="001D76B8"/>
    <w:rsid w:val="001D76F7"/>
    <w:rsid w:val="001D7884"/>
    <w:rsid w:val="001D79A8"/>
    <w:rsid w:val="001D7A15"/>
    <w:rsid w:val="001D7A38"/>
    <w:rsid w:val="001D7A83"/>
    <w:rsid w:val="001D7B06"/>
    <w:rsid w:val="001D7BA1"/>
    <w:rsid w:val="001D7CCA"/>
    <w:rsid w:val="001D7CDF"/>
    <w:rsid w:val="001D7E80"/>
    <w:rsid w:val="001E007E"/>
    <w:rsid w:val="001E0266"/>
    <w:rsid w:val="001E03F7"/>
    <w:rsid w:val="001E070E"/>
    <w:rsid w:val="001E096E"/>
    <w:rsid w:val="001E0AAA"/>
    <w:rsid w:val="001E0CE3"/>
    <w:rsid w:val="001E0CEC"/>
    <w:rsid w:val="001E0D75"/>
    <w:rsid w:val="001E0DDC"/>
    <w:rsid w:val="001E0E95"/>
    <w:rsid w:val="001E0EE2"/>
    <w:rsid w:val="001E10D7"/>
    <w:rsid w:val="001E1452"/>
    <w:rsid w:val="001E166C"/>
    <w:rsid w:val="001E1720"/>
    <w:rsid w:val="001E173F"/>
    <w:rsid w:val="001E1751"/>
    <w:rsid w:val="001E18E8"/>
    <w:rsid w:val="001E1C08"/>
    <w:rsid w:val="001E1D7B"/>
    <w:rsid w:val="001E1DBB"/>
    <w:rsid w:val="001E1FB5"/>
    <w:rsid w:val="001E1FD2"/>
    <w:rsid w:val="001E1FFC"/>
    <w:rsid w:val="001E2135"/>
    <w:rsid w:val="001E23EB"/>
    <w:rsid w:val="001E25D3"/>
    <w:rsid w:val="001E2773"/>
    <w:rsid w:val="001E27B3"/>
    <w:rsid w:val="001E28AE"/>
    <w:rsid w:val="001E292D"/>
    <w:rsid w:val="001E29B8"/>
    <w:rsid w:val="001E29D7"/>
    <w:rsid w:val="001E2A31"/>
    <w:rsid w:val="001E2D75"/>
    <w:rsid w:val="001E3045"/>
    <w:rsid w:val="001E3183"/>
    <w:rsid w:val="001E335F"/>
    <w:rsid w:val="001E3484"/>
    <w:rsid w:val="001E34C4"/>
    <w:rsid w:val="001E393C"/>
    <w:rsid w:val="001E39ED"/>
    <w:rsid w:val="001E3ACC"/>
    <w:rsid w:val="001E3CA3"/>
    <w:rsid w:val="001E3D15"/>
    <w:rsid w:val="001E3ECF"/>
    <w:rsid w:val="001E40FB"/>
    <w:rsid w:val="001E416C"/>
    <w:rsid w:val="001E4232"/>
    <w:rsid w:val="001E4463"/>
    <w:rsid w:val="001E44D2"/>
    <w:rsid w:val="001E46CB"/>
    <w:rsid w:val="001E47C8"/>
    <w:rsid w:val="001E48CE"/>
    <w:rsid w:val="001E48F1"/>
    <w:rsid w:val="001E4906"/>
    <w:rsid w:val="001E492A"/>
    <w:rsid w:val="001E4CA4"/>
    <w:rsid w:val="001E4CDD"/>
    <w:rsid w:val="001E4E22"/>
    <w:rsid w:val="001E4E3B"/>
    <w:rsid w:val="001E51B9"/>
    <w:rsid w:val="001E5306"/>
    <w:rsid w:val="001E553D"/>
    <w:rsid w:val="001E5557"/>
    <w:rsid w:val="001E55F0"/>
    <w:rsid w:val="001E57AE"/>
    <w:rsid w:val="001E590E"/>
    <w:rsid w:val="001E59F1"/>
    <w:rsid w:val="001E5B7C"/>
    <w:rsid w:val="001E5D83"/>
    <w:rsid w:val="001E5DD9"/>
    <w:rsid w:val="001E5DE7"/>
    <w:rsid w:val="001E5FC7"/>
    <w:rsid w:val="001E5FE5"/>
    <w:rsid w:val="001E6048"/>
    <w:rsid w:val="001E617E"/>
    <w:rsid w:val="001E61F5"/>
    <w:rsid w:val="001E62D4"/>
    <w:rsid w:val="001E63FF"/>
    <w:rsid w:val="001E65DA"/>
    <w:rsid w:val="001E665A"/>
    <w:rsid w:val="001E66BB"/>
    <w:rsid w:val="001E6707"/>
    <w:rsid w:val="001E6780"/>
    <w:rsid w:val="001E685A"/>
    <w:rsid w:val="001E68FF"/>
    <w:rsid w:val="001E69B3"/>
    <w:rsid w:val="001E6F92"/>
    <w:rsid w:val="001E700E"/>
    <w:rsid w:val="001E7028"/>
    <w:rsid w:val="001E7049"/>
    <w:rsid w:val="001E71D5"/>
    <w:rsid w:val="001E7473"/>
    <w:rsid w:val="001E74A2"/>
    <w:rsid w:val="001E7634"/>
    <w:rsid w:val="001E777A"/>
    <w:rsid w:val="001E7834"/>
    <w:rsid w:val="001E78B9"/>
    <w:rsid w:val="001E78EE"/>
    <w:rsid w:val="001E7A93"/>
    <w:rsid w:val="001E7C37"/>
    <w:rsid w:val="001E7D47"/>
    <w:rsid w:val="001E7DC9"/>
    <w:rsid w:val="001E7EAF"/>
    <w:rsid w:val="001E7F70"/>
    <w:rsid w:val="001E7F71"/>
    <w:rsid w:val="001E7F8C"/>
    <w:rsid w:val="001F023E"/>
    <w:rsid w:val="001F028D"/>
    <w:rsid w:val="001F037E"/>
    <w:rsid w:val="001F0BFF"/>
    <w:rsid w:val="001F0EBD"/>
    <w:rsid w:val="001F0F54"/>
    <w:rsid w:val="001F0FBF"/>
    <w:rsid w:val="001F0FE3"/>
    <w:rsid w:val="001F1095"/>
    <w:rsid w:val="001F109E"/>
    <w:rsid w:val="001F118C"/>
    <w:rsid w:val="001F1215"/>
    <w:rsid w:val="001F13AD"/>
    <w:rsid w:val="001F1479"/>
    <w:rsid w:val="001F148F"/>
    <w:rsid w:val="001F18D2"/>
    <w:rsid w:val="001F1AD2"/>
    <w:rsid w:val="001F1B53"/>
    <w:rsid w:val="001F1BA3"/>
    <w:rsid w:val="001F1D88"/>
    <w:rsid w:val="001F1DA1"/>
    <w:rsid w:val="001F1FF8"/>
    <w:rsid w:val="001F210F"/>
    <w:rsid w:val="001F227B"/>
    <w:rsid w:val="001F2350"/>
    <w:rsid w:val="001F2674"/>
    <w:rsid w:val="001F2C95"/>
    <w:rsid w:val="001F2CB6"/>
    <w:rsid w:val="001F2E70"/>
    <w:rsid w:val="001F30A6"/>
    <w:rsid w:val="001F30C8"/>
    <w:rsid w:val="001F3155"/>
    <w:rsid w:val="001F315A"/>
    <w:rsid w:val="001F319D"/>
    <w:rsid w:val="001F3315"/>
    <w:rsid w:val="001F3600"/>
    <w:rsid w:val="001F3655"/>
    <w:rsid w:val="001F378E"/>
    <w:rsid w:val="001F37C2"/>
    <w:rsid w:val="001F3A55"/>
    <w:rsid w:val="001F3A56"/>
    <w:rsid w:val="001F3B19"/>
    <w:rsid w:val="001F3B3E"/>
    <w:rsid w:val="001F3CD9"/>
    <w:rsid w:val="001F3DA9"/>
    <w:rsid w:val="001F3F9B"/>
    <w:rsid w:val="001F40F0"/>
    <w:rsid w:val="001F4300"/>
    <w:rsid w:val="001F4441"/>
    <w:rsid w:val="001F4444"/>
    <w:rsid w:val="001F45AD"/>
    <w:rsid w:val="001F45F2"/>
    <w:rsid w:val="001F46DE"/>
    <w:rsid w:val="001F4768"/>
    <w:rsid w:val="001F4814"/>
    <w:rsid w:val="001F48FA"/>
    <w:rsid w:val="001F493D"/>
    <w:rsid w:val="001F49C0"/>
    <w:rsid w:val="001F4D78"/>
    <w:rsid w:val="001F4DAE"/>
    <w:rsid w:val="001F4E99"/>
    <w:rsid w:val="001F4ECD"/>
    <w:rsid w:val="001F50F8"/>
    <w:rsid w:val="001F5373"/>
    <w:rsid w:val="001F555B"/>
    <w:rsid w:val="001F5564"/>
    <w:rsid w:val="001F55BD"/>
    <w:rsid w:val="001F55FD"/>
    <w:rsid w:val="001F5680"/>
    <w:rsid w:val="001F5ADA"/>
    <w:rsid w:val="001F5FCF"/>
    <w:rsid w:val="001F6128"/>
    <w:rsid w:val="001F6266"/>
    <w:rsid w:val="001F629F"/>
    <w:rsid w:val="001F6413"/>
    <w:rsid w:val="001F6571"/>
    <w:rsid w:val="001F6695"/>
    <w:rsid w:val="001F669A"/>
    <w:rsid w:val="001F6746"/>
    <w:rsid w:val="001F677E"/>
    <w:rsid w:val="001F67A5"/>
    <w:rsid w:val="001F68B6"/>
    <w:rsid w:val="001F68E2"/>
    <w:rsid w:val="001F6967"/>
    <w:rsid w:val="001F69CE"/>
    <w:rsid w:val="001F6B9B"/>
    <w:rsid w:val="001F6BBF"/>
    <w:rsid w:val="001F6BD9"/>
    <w:rsid w:val="001F6E34"/>
    <w:rsid w:val="001F6F14"/>
    <w:rsid w:val="001F7071"/>
    <w:rsid w:val="001F73A7"/>
    <w:rsid w:val="001F7465"/>
    <w:rsid w:val="001F74CF"/>
    <w:rsid w:val="001F74F0"/>
    <w:rsid w:val="001F7593"/>
    <w:rsid w:val="001F75D5"/>
    <w:rsid w:val="001F760D"/>
    <w:rsid w:val="001F76EC"/>
    <w:rsid w:val="001F77D8"/>
    <w:rsid w:val="001F7A5B"/>
    <w:rsid w:val="001F7AB3"/>
    <w:rsid w:val="001F7ABD"/>
    <w:rsid w:val="001F7ABE"/>
    <w:rsid w:val="001F7B07"/>
    <w:rsid w:val="001F7BB6"/>
    <w:rsid w:val="001F7DEE"/>
    <w:rsid w:val="00200024"/>
    <w:rsid w:val="002000D4"/>
    <w:rsid w:val="002000ED"/>
    <w:rsid w:val="002002F1"/>
    <w:rsid w:val="0020031A"/>
    <w:rsid w:val="002003B6"/>
    <w:rsid w:val="002003F4"/>
    <w:rsid w:val="00200762"/>
    <w:rsid w:val="002007FB"/>
    <w:rsid w:val="0020088D"/>
    <w:rsid w:val="002008D2"/>
    <w:rsid w:val="00200ABF"/>
    <w:rsid w:val="00200B9E"/>
    <w:rsid w:val="00200C0A"/>
    <w:rsid w:val="00200C19"/>
    <w:rsid w:val="00200DA8"/>
    <w:rsid w:val="00200E4D"/>
    <w:rsid w:val="00200E6C"/>
    <w:rsid w:val="00200EF1"/>
    <w:rsid w:val="00200F2A"/>
    <w:rsid w:val="002010C0"/>
    <w:rsid w:val="0020116E"/>
    <w:rsid w:val="0020119C"/>
    <w:rsid w:val="00201561"/>
    <w:rsid w:val="00201792"/>
    <w:rsid w:val="00201831"/>
    <w:rsid w:val="00201A2B"/>
    <w:rsid w:val="00201A8B"/>
    <w:rsid w:val="00201F34"/>
    <w:rsid w:val="00201FC8"/>
    <w:rsid w:val="00202206"/>
    <w:rsid w:val="00202267"/>
    <w:rsid w:val="002022D5"/>
    <w:rsid w:val="0020257B"/>
    <w:rsid w:val="00202698"/>
    <w:rsid w:val="002026C5"/>
    <w:rsid w:val="00202725"/>
    <w:rsid w:val="002028E8"/>
    <w:rsid w:val="002029FA"/>
    <w:rsid w:val="00202A72"/>
    <w:rsid w:val="00202AC8"/>
    <w:rsid w:val="00202B1B"/>
    <w:rsid w:val="00202B21"/>
    <w:rsid w:val="00202CF7"/>
    <w:rsid w:val="00202E44"/>
    <w:rsid w:val="00202F03"/>
    <w:rsid w:val="00202F79"/>
    <w:rsid w:val="002033BA"/>
    <w:rsid w:val="0020340C"/>
    <w:rsid w:val="00203493"/>
    <w:rsid w:val="00203794"/>
    <w:rsid w:val="002038A5"/>
    <w:rsid w:val="00203A0F"/>
    <w:rsid w:val="00203BB9"/>
    <w:rsid w:val="00203C11"/>
    <w:rsid w:val="00203C24"/>
    <w:rsid w:val="00203C33"/>
    <w:rsid w:val="00203D09"/>
    <w:rsid w:val="00203D13"/>
    <w:rsid w:val="00203D57"/>
    <w:rsid w:val="00203F67"/>
    <w:rsid w:val="00203FA3"/>
    <w:rsid w:val="00204038"/>
    <w:rsid w:val="00204071"/>
    <w:rsid w:val="00204086"/>
    <w:rsid w:val="002040D0"/>
    <w:rsid w:val="00204255"/>
    <w:rsid w:val="002042E6"/>
    <w:rsid w:val="00204489"/>
    <w:rsid w:val="002044AA"/>
    <w:rsid w:val="00204573"/>
    <w:rsid w:val="002045FE"/>
    <w:rsid w:val="0020465F"/>
    <w:rsid w:val="0020498A"/>
    <w:rsid w:val="002049D6"/>
    <w:rsid w:val="00204D42"/>
    <w:rsid w:val="00204D87"/>
    <w:rsid w:val="00204D95"/>
    <w:rsid w:val="00204DD7"/>
    <w:rsid w:val="00204E73"/>
    <w:rsid w:val="002051B0"/>
    <w:rsid w:val="0020521D"/>
    <w:rsid w:val="00205240"/>
    <w:rsid w:val="00205325"/>
    <w:rsid w:val="0020554E"/>
    <w:rsid w:val="0020562A"/>
    <w:rsid w:val="002058BF"/>
    <w:rsid w:val="00205993"/>
    <w:rsid w:val="00205B01"/>
    <w:rsid w:val="00205BB4"/>
    <w:rsid w:val="00205D3B"/>
    <w:rsid w:val="00205E7D"/>
    <w:rsid w:val="0020610D"/>
    <w:rsid w:val="00206269"/>
    <w:rsid w:val="002062D2"/>
    <w:rsid w:val="0020632C"/>
    <w:rsid w:val="002064C1"/>
    <w:rsid w:val="00206596"/>
    <w:rsid w:val="002065B3"/>
    <w:rsid w:val="0020660F"/>
    <w:rsid w:val="0020666D"/>
    <w:rsid w:val="002066F0"/>
    <w:rsid w:val="00206809"/>
    <w:rsid w:val="0020693E"/>
    <w:rsid w:val="00206B29"/>
    <w:rsid w:val="00206B59"/>
    <w:rsid w:val="00206C3A"/>
    <w:rsid w:val="00206C99"/>
    <w:rsid w:val="00206CED"/>
    <w:rsid w:val="00206F2C"/>
    <w:rsid w:val="00206F3F"/>
    <w:rsid w:val="00207006"/>
    <w:rsid w:val="0020701D"/>
    <w:rsid w:val="002070F0"/>
    <w:rsid w:val="0020727F"/>
    <w:rsid w:val="002072BA"/>
    <w:rsid w:val="0020741F"/>
    <w:rsid w:val="00207700"/>
    <w:rsid w:val="0020771A"/>
    <w:rsid w:val="00207A08"/>
    <w:rsid w:val="00207A11"/>
    <w:rsid w:val="00207AA3"/>
    <w:rsid w:val="00207BB5"/>
    <w:rsid w:val="00207CAF"/>
    <w:rsid w:val="00207D01"/>
    <w:rsid w:val="00207DBF"/>
    <w:rsid w:val="00210026"/>
    <w:rsid w:val="002100B9"/>
    <w:rsid w:val="00210487"/>
    <w:rsid w:val="00210491"/>
    <w:rsid w:val="002105B9"/>
    <w:rsid w:val="002105CE"/>
    <w:rsid w:val="00210656"/>
    <w:rsid w:val="002106AE"/>
    <w:rsid w:val="0021072C"/>
    <w:rsid w:val="00210AED"/>
    <w:rsid w:val="00210CB9"/>
    <w:rsid w:val="00210D95"/>
    <w:rsid w:val="00210DDF"/>
    <w:rsid w:val="00210F79"/>
    <w:rsid w:val="00210FA2"/>
    <w:rsid w:val="002112A5"/>
    <w:rsid w:val="002113A6"/>
    <w:rsid w:val="002114AF"/>
    <w:rsid w:val="0021161D"/>
    <w:rsid w:val="0021174E"/>
    <w:rsid w:val="002118C3"/>
    <w:rsid w:val="002119F8"/>
    <w:rsid w:val="00211A32"/>
    <w:rsid w:val="00211A80"/>
    <w:rsid w:val="00211A8D"/>
    <w:rsid w:val="00211AC1"/>
    <w:rsid w:val="00211B08"/>
    <w:rsid w:val="00211B30"/>
    <w:rsid w:val="00211C50"/>
    <w:rsid w:val="00211C87"/>
    <w:rsid w:val="00211D18"/>
    <w:rsid w:val="00211F51"/>
    <w:rsid w:val="00211F84"/>
    <w:rsid w:val="00211FE3"/>
    <w:rsid w:val="0021205A"/>
    <w:rsid w:val="0021207F"/>
    <w:rsid w:val="0021228E"/>
    <w:rsid w:val="002123CD"/>
    <w:rsid w:val="0021248D"/>
    <w:rsid w:val="002125AD"/>
    <w:rsid w:val="0021275A"/>
    <w:rsid w:val="0021289F"/>
    <w:rsid w:val="00212D8A"/>
    <w:rsid w:val="00212D93"/>
    <w:rsid w:val="00212F8A"/>
    <w:rsid w:val="0021308A"/>
    <w:rsid w:val="002131E6"/>
    <w:rsid w:val="00213593"/>
    <w:rsid w:val="002135E1"/>
    <w:rsid w:val="00213714"/>
    <w:rsid w:val="00213827"/>
    <w:rsid w:val="00213969"/>
    <w:rsid w:val="002139CD"/>
    <w:rsid w:val="00213BAF"/>
    <w:rsid w:val="00213BC1"/>
    <w:rsid w:val="00213BE3"/>
    <w:rsid w:val="00213FE4"/>
    <w:rsid w:val="002140DA"/>
    <w:rsid w:val="00214295"/>
    <w:rsid w:val="002142E1"/>
    <w:rsid w:val="002142EE"/>
    <w:rsid w:val="0021431B"/>
    <w:rsid w:val="00214510"/>
    <w:rsid w:val="00214692"/>
    <w:rsid w:val="002146B2"/>
    <w:rsid w:val="002147E3"/>
    <w:rsid w:val="0021490E"/>
    <w:rsid w:val="0021495C"/>
    <w:rsid w:val="00214A11"/>
    <w:rsid w:val="00214A8F"/>
    <w:rsid w:val="00214C7A"/>
    <w:rsid w:val="00214C7F"/>
    <w:rsid w:val="00214E5B"/>
    <w:rsid w:val="00214EFA"/>
    <w:rsid w:val="00214EFB"/>
    <w:rsid w:val="00214FC9"/>
    <w:rsid w:val="002150A6"/>
    <w:rsid w:val="002150AC"/>
    <w:rsid w:val="002150EB"/>
    <w:rsid w:val="00215178"/>
    <w:rsid w:val="0021528B"/>
    <w:rsid w:val="0021536C"/>
    <w:rsid w:val="00215413"/>
    <w:rsid w:val="00215430"/>
    <w:rsid w:val="00215559"/>
    <w:rsid w:val="00215884"/>
    <w:rsid w:val="00215962"/>
    <w:rsid w:val="00215DC7"/>
    <w:rsid w:val="00215E6A"/>
    <w:rsid w:val="00215F76"/>
    <w:rsid w:val="00215FFD"/>
    <w:rsid w:val="00216034"/>
    <w:rsid w:val="002160EF"/>
    <w:rsid w:val="00216393"/>
    <w:rsid w:val="002164E3"/>
    <w:rsid w:val="00216571"/>
    <w:rsid w:val="00216679"/>
    <w:rsid w:val="00216762"/>
    <w:rsid w:val="00216851"/>
    <w:rsid w:val="00216869"/>
    <w:rsid w:val="0021692C"/>
    <w:rsid w:val="00216B88"/>
    <w:rsid w:val="00216BA2"/>
    <w:rsid w:val="00216D5C"/>
    <w:rsid w:val="00216D65"/>
    <w:rsid w:val="00216E13"/>
    <w:rsid w:val="00216EB6"/>
    <w:rsid w:val="0021707E"/>
    <w:rsid w:val="00217294"/>
    <w:rsid w:val="00217400"/>
    <w:rsid w:val="002175B9"/>
    <w:rsid w:val="0021780A"/>
    <w:rsid w:val="002178C5"/>
    <w:rsid w:val="002179C4"/>
    <w:rsid w:val="00217B9D"/>
    <w:rsid w:val="00217CA6"/>
    <w:rsid w:val="00217E02"/>
    <w:rsid w:val="00217ECE"/>
    <w:rsid w:val="00217EFF"/>
    <w:rsid w:val="00217FB0"/>
    <w:rsid w:val="00220048"/>
    <w:rsid w:val="0022020B"/>
    <w:rsid w:val="002203BE"/>
    <w:rsid w:val="00220735"/>
    <w:rsid w:val="0022096C"/>
    <w:rsid w:val="0022099E"/>
    <w:rsid w:val="00220ACA"/>
    <w:rsid w:val="00220AF5"/>
    <w:rsid w:val="00220B14"/>
    <w:rsid w:val="00220C0F"/>
    <w:rsid w:val="00220C71"/>
    <w:rsid w:val="00220C81"/>
    <w:rsid w:val="00220D37"/>
    <w:rsid w:val="00220ED4"/>
    <w:rsid w:val="0022158A"/>
    <w:rsid w:val="00221690"/>
    <w:rsid w:val="0022172B"/>
    <w:rsid w:val="00221797"/>
    <w:rsid w:val="00221B82"/>
    <w:rsid w:val="00221C7C"/>
    <w:rsid w:val="00221D23"/>
    <w:rsid w:val="00221D59"/>
    <w:rsid w:val="00221DDB"/>
    <w:rsid w:val="00221DE1"/>
    <w:rsid w:val="00221E91"/>
    <w:rsid w:val="002221FC"/>
    <w:rsid w:val="0022225D"/>
    <w:rsid w:val="002224CF"/>
    <w:rsid w:val="00222555"/>
    <w:rsid w:val="00222664"/>
    <w:rsid w:val="0022274F"/>
    <w:rsid w:val="00222789"/>
    <w:rsid w:val="00222897"/>
    <w:rsid w:val="002228B5"/>
    <w:rsid w:val="002229EB"/>
    <w:rsid w:val="00222A7B"/>
    <w:rsid w:val="00222AFB"/>
    <w:rsid w:val="0022328B"/>
    <w:rsid w:val="002233A1"/>
    <w:rsid w:val="002235AC"/>
    <w:rsid w:val="00223650"/>
    <w:rsid w:val="00223668"/>
    <w:rsid w:val="00223740"/>
    <w:rsid w:val="00223911"/>
    <w:rsid w:val="00223A08"/>
    <w:rsid w:val="00223B3D"/>
    <w:rsid w:val="00223B4A"/>
    <w:rsid w:val="00223B4B"/>
    <w:rsid w:val="00223E69"/>
    <w:rsid w:val="00223F59"/>
    <w:rsid w:val="00223F7E"/>
    <w:rsid w:val="00224001"/>
    <w:rsid w:val="00224080"/>
    <w:rsid w:val="00224221"/>
    <w:rsid w:val="00224289"/>
    <w:rsid w:val="002242C2"/>
    <w:rsid w:val="00224317"/>
    <w:rsid w:val="00224442"/>
    <w:rsid w:val="002244CD"/>
    <w:rsid w:val="002247B6"/>
    <w:rsid w:val="002249FD"/>
    <w:rsid w:val="00224A14"/>
    <w:rsid w:val="00224A1C"/>
    <w:rsid w:val="00224C06"/>
    <w:rsid w:val="00224E51"/>
    <w:rsid w:val="00224E57"/>
    <w:rsid w:val="00224EE5"/>
    <w:rsid w:val="002251E7"/>
    <w:rsid w:val="00225356"/>
    <w:rsid w:val="0022568B"/>
    <w:rsid w:val="002256BF"/>
    <w:rsid w:val="0022594C"/>
    <w:rsid w:val="00225CD8"/>
    <w:rsid w:val="00225F69"/>
    <w:rsid w:val="00226084"/>
    <w:rsid w:val="002260D3"/>
    <w:rsid w:val="00226310"/>
    <w:rsid w:val="002263A9"/>
    <w:rsid w:val="002263C1"/>
    <w:rsid w:val="002264EE"/>
    <w:rsid w:val="00226552"/>
    <w:rsid w:val="00226572"/>
    <w:rsid w:val="002265B4"/>
    <w:rsid w:val="002265E2"/>
    <w:rsid w:val="0022660F"/>
    <w:rsid w:val="00226704"/>
    <w:rsid w:val="002267EC"/>
    <w:rsid w:val="00226989"/>
    <w:rsid w:val="002269ED"/>
    <w:rsid w:val="00226A19"/>
    <w:rsid w:val="00226B75"/>
    <w:rsid w:val="00226DB1"/>
    <w:rsid w:val="0022701B"/>
    <w:rsid w:val="0022716E"/>
    <w:rsid w:val="0022724F"/>
    <w:rsid w:val="0022736F"/>
    <w:rsid w:val="002273CE"/>
    <w:rsid w:val="00227410"/>
    <w:rsid w:val="00227521"/>
    <w:rsid w:val="002275D7"/>
    <w:rsid w:val="002277E9"/>
    <w:rsid w:val="00227816"/>
    <w:rsid w:val="002279A5"/>
    <w:rsid w:val="002279F2"/>
    <w:rsid w:val="00227A54"/>
    <w:rsid w:val="00227AEE"/>
    <w:rsid w:val="00227CC0"/>
    <w:rsid w:val="00227EB8"/>
    <w:rsid w:val="00227F11"/>
    <w:rsid w:val="00227FBD"/>
    <w:rsid w:val="002301BB"/>
    <w:rsid w:val="0023031C"/>
    <w:rsid w:val="00230321"/>
    <w:rsid w:val="00230395"/>
    <w:rsid w:val="002307A4"/>
    <w:rsid w:val="0023091C"/>
    <w:rsid w:val="00230951"/>
    <w:rsid w:val="00230958"/>
    <w:rsid w:val="00230A28"/>
    <w:rsid w:val="00230A6F"/>
    <w:rsid w:val="00230AB1"/>
    <w:rsid w:val="00230AE9"/>
    <w:rsid w:val="00230B91"/>
    <w:rsid w:val="00230DC8"/>
    <w:rsid w:val="00230EA3"/>
    <w:rsid w:val="00230FB6"/>
    <w:rsid w:val="00230FD8"/>
    <w:rsid w:val="00231044"/>
    <w:rsid w:val="00231425"/>
    <w:rsid w:val="00231520"/>
    <w:rsid w:val="00231574"/>
    <w:rsid w:val="00231757"/>
    <w:rsid w:val="0023175E"/>
    <w:rsid w:val="00231B14"/>
    <w:rsid w:val="00231B1C"/>
    <w:rsid w:val="00232331"/>
    <w:rsid w:val="002327D9"/>
    <w:rsid w:val="00232AB5"/>
    <w:rsid w:val="00232C8B"/>
    <w:rsid w:val="00232D92"/>
    <w:rsid w:val="00232E6C"/>
    <w:rsid w:val="00232E9B"/>
    <w:rsid w:val="00232F6A"/>
    <w:rsid w:val="00232F9E"/>
    <w:rsid w:val="002331A9"/>
    <w:rsid w:val="002331EF"/>
    <w:rsid w:val="0023350F"/>
    <w:rsid w:val="00233609"/>
    <w:rsid w:val="002336DD"/>
    <w:rsid w:val="0023371D"/>
    <w:rsid w:val="002339F7"/>
    <w:rsid w:val="00233A3B"/>
    <w:rsid w:val="00233A84"/>
    <w:rsid w:val="00233C29"/>
    <w:rsid w:val="002340A4"/>
    <w:rsid w:val="00234384"/>
    <w:rsid w:val="0023438B"/>
    <w:rsid w:val="002343C7"/>
    <w:rsid w:val="00234428"/>
    <w:rsid w:val="002344CC"/>
    <w:rsid w:val="002344EF"/>
    <w:rsid w:val="00234528"/>
    <w:rsid w:val="002345F9"/>
    <w:rsid w:val="00234621"/>
    <w:rsid w:val="00234801"/>
    <w:rsid w:val="0023495E"/>
    <w:rsid w:val="00234A77"/>
    <w:rsid w:val="00234C1A"/>
    <w:rsid w:val="00234E4C"/>
    <w:rsid w:val="002350B0"/>
    <w:rsid w:val="002351DA"/>
    <w:rsid w:val="0023548C"/>
    <w:rsid w:val="002354C5"/>
    <w:rsid w:val="00235621"/>
    <w:rsid w:val="0023571E"/>
    <w:rsid w:val="00235769"/>
    <w:rsid w:val="0023577C"/>
    <w:rsid w:val="002357DA"/>
    <w:rsid w:val="00235951"/>
    <w:rsid w:val="00235A78"/>
    <w:rsid w:val="00235AA1"/>
    <w:rsid w:val="00235AB1"/>
    <w:rsid w:val="00235E4C"/>
    <w:rsid w:val="00235EAD"/>
    <w:rsid w:val="00235EC0"/>
    <w:rsid w:val="00235EF1"/>
    <w:rsid w:val="00235FA5"/>
    <w:rsid w:val="002360DF"/>
    <w:rsid w:val="00236145"/>
    <w:rsid w:val="002361B1"/>
    <w:rsid w:val="00236469"/>
    <w:rsid w:val="00236569"/>
    <w:rsid w:val="00236609"/>
    <w:rsid w:val="0023677D"/>
    <w:rsid w:val="0023678A"/>
    <w:rsid w:val="002368D1"/>
    <w:rsid w:val="002369E0"/>
    <w:rsid w:val="00236A3D"/>
    <w:rsid w:val="00236C4D"/>
    <w:rsid w:val="00236C9A"/>
    <w:rsid w:val="00236CEA"/>
    <w:rsid w:val="00236F85"/>
    <w:rsid w:val="00236FAA"/>
    <w:rsid w:val="00237276"/>
    <w:rsid w:val="002373E4"/>
    <w:rsid w:val="00237403"/>
    <w:rsid w:val="00237499"/>
    <w:rsid w:val="00237548"/>
    <w:rsid w:val="00237597"/>
    <w:rsid w:val="00237606"/>
    <w:rsid w:val="00237867"/>
    <w:rsid w:val="002378EE"/>
    <w:rsid w:val="00237978"/>
    <w:rsid w:val="00237B2C"/>
    <w:rsid w:val="00237B6F"/>
    <w:rsid w:val="00237B8D"/>
    <w:rsid w:val="00237CC3"/>
    <w:rsid w:val="00237E10"/>
    <w:rsid w:val="00237F45"/>
    <w:rsid w:val="00237F7F"/>
    <w:rsid w:val="00240203"/>
    <w:rsid w:val="00240224"/>
    <w:rsid w:val="0024035A"/>
    <w:rsid w:val="00240382"/>
    <w:rsid w:val="00240412"/>
    <w:rsid w:val="00240420"/>
    <w:rsid w:val="00240568"/>
    <w:rsid w:val="002405A9"/>
    <w:rsid w:val="002405F9"/>
    <w:rsid w:val="00240895"/>
    <w:rsid w:val="00240AA3"/>
    <w:rsid w:val="00240BAF"/>
    <w:rsid w:val="00240C4D"/>
    <w:rsid w:val="00240C94"/>
    <w:rsid w:val="00240D6B"/>
    <w:rsid w:val="00240E03"/>
    <w:rsid w:val="00240E0E"/>
    <w:rsid w:val="00240EC3"/>
    <w:rsid w:val="002411C6"/>
    <w:rsid w:val="002411F0"/>
    <w:rsid w:val="00241253"/>
    <w:rsid w:val="0024150C"/>
    <w:rsid w:val="00241564"/>
    <w:rsid w:val="00241657"/>
    <w:rsid w:val="0024169A"/>
    <w:rsid w:val="002416D4"/>
    <w:rsid w:val="00241801"/>
    <w:rsid w:val="002418A0"/>
    <w:rsid w:val="00241907"/>
    <w:rsid w:val="00241AC9"/>
    <w:rsid w:val="00241DF1"/>
    <w:rsid w:val="00241EB0"/>
    <w:rsid w:val="00241FC3"/>
    <w:rsid w:val="002420B5"/>
    <w:rsid w:val="00242118"/>
    <w:rsid w:val="00242169"/>
    <w:rsid w:val="00242183"/>
    <w:rsid w:val="002421BB"/>
    <w:rsid w:val="00242233"/>
    <w:rsid w:val="00242292"/>
    <w:rsid w:val="002422DB"/>
    <w:rsid w:val="00242379"/>
    <w:rsid w:val="00242414"/>
    <w:rsid w:val="0024268E"/>
    <w:rsid w:val="002426C0"/>
    <w:rsid w:val="002426D7"/>
    <w:rsid w:val="0024281C"/>
    <w:rsid w:val="0024288E"/>
    <w:rsid w:val="002428E7"/>
    <w:rsid w:val="002429FC"/>
    <w:rsid w:val="00242A74"/>
    <w:rsid w:val="00242AA7"/>
    <w:rsid w:val="00242AFD"/>
    <w:rsid w:val="00242B31"/>
    <w:rsid w:val="00242B7C"/>
    <w:rsid w:val="00242BD9"/>
    <w:rsid w:val="00242EAB"/>
    <w:rsid w:val="00242F86"/>
    <w:rsid w:val="00242F8D"/>
    <w:rsid w:val="00243097"/>
    <w:rsid w:val="002430C2"/>
    <w:rsid w:val="0024310C"/>
    <w:rsid w:val="002431FD"/>
    <w:rsid w:val="002432B2"/>
    <w:rsid w:val="002433FB"/>
    <w:rsid w:val="00243418"/>
    <w:rsid w:val="00243589"/>
    <w:rsid w:val="002435A5"/>
    <w:rsid w:val="00243915"/>
    <w:rsid w:val="00243945"/>
    <w:rsid w:val="00243967"/>
    <w:rsid w:val="002439A8"/>
    <w:rsid w:val="00243A89"/>
    <w:rsid w:val="00243B5C"/>
    <w:rsid w:val="00243B65"/>
    <w:rsid w:val="00243BDC"/>
    <w:rsid w:val="00243C25"/>
    <w:rsid w:val="00243C59"/>
    <w:rsid w:val="00243D1F"/>
    <w:rsid w:val="00243D3D"/>
    <w:rsid w:val="00244233"/>
    <w:rsid w:val="00244299"/>
    <w:rsid w:val="0024434D"/>
    <w:rsid w:val="00244376"/>
    <w:rsid w:val="002443B3"/>
    <w:rsid w:val="00244561"/>
    <w:rsid w:val="00244829"/>
    <w:rsid w:val="00244921"/>
    <w:rsid w:val="0024495D"/>
    <w:rsid w:val="00244A5D"/>
    <w:rsid w:val="00244A6F"/>
    <w:rsid w:val="00244B71"/>
    <w:rsid w:val="00244E15"/>
    <w:rsid w:val="00244E7C"/>
    <w:rsid w:val="00244EF5"/>
    <w:rsid w:val="00244F3B"/>
    <w:rsid w:val="002450D7"/>
    <w:rsid w:val="002450DD"/>
    <w:rsid w:val="0024521D"/>
    <w:rsid w:val="002452EB"/>
    <w:rsid w:val="002453B3"/>
    <w:rsid w:val="002455CA"/>
    <w:rsid w:val="002455CE"/>
    <w:rsid w:val="002456ED"/>
    <w:rsid w:val="00245A42"/>
    <w:rsid w:val="00245A5E"/>
    <w:rsid w:val="00245A7B"/>
    <w:rsid w:val="00245B8F"/>
    <w:rsid w:val="00245BFB"/>
    <w:rsid w:val="00245D76"/>
    <w:rsid w:val="00245E66"/>
    <w:rsid w:val="00245E79"/>
    <w:rsid w:val="00245F5B"/>
    <w:rsid w:val="00245FE3"/>
    <w:rsid w:val="0024606E"/>
    <w:rsid w:val="002460A9"/>
    <w:rsid w:val="00246154"/>
    <w:rsid w:val="00246279"/>
    <w:rsid w:val="002463E4"/>
    <w:rsid w:val="00246419"/>
    <w:rsid w:val="002464A3"/>
    <w:rsid w:val="0024653D"/>
    <w:rsid w:val="0024669F"/>
    <w:rsid w:val="00246874"/>
    <w:rsid w:val="002469B0"/>
    <w:rsid w:val="00246A4C"/>
    <w:rsid w:val="00246C91"/>
    <w:rsid w:val="00246D10"/>
    <w:rsid w:val="0024758E"/>
    <w:rsid w:val="002475DF"/>
    <w:rsid w:val="00247688"/>
    <w:rsid w:val="002476E3"/>
    <w:rsid w:val="0024776C"/>
    <w:rsid w:val="0024785D"/>
    <w:rsid w:val="002478B7"/>
    <w:rsid w:val="00247A14"/>
    <w:rsid w:val="00247A64"/>
    <w:rsid w:val="00247A91"/>
    <w:rsid w:val="00247ABC"/>
    <w:rsid w:val="00247B89"/>
    <w:rsid w:val="00247E58"/>
    <w:rsid w:val="0025004B"/>
    <w:rsid w:val="00250066"/>
    <w:rsid w:val="002500B1"/>
    <w:rsid w:val="002500C8"/>
    <w:rsid w:val="002501B7"/>
    <w:rsid w:val="002501CA"/>
    <w:rsid w:val="0025073A"/>
    <w:rsid w:val="002508FD"/>
    <w:rsid w:val="002509BF"/>
    <w:rsid w:val="00250BA8"/>
    <w:rsid w:val="00250DDF"/>
    <w:rsid w:val="00250E34"/>
    <w:rsid w:val="00250F4F"/>
    <w:rsid w:val="00251148"/>
    <w:rsid w:val="002512F2"/>
    <w:rsid w:val="00251394"/>
    <w:rsid w:val="00251480"/>
    <w:rsid w:val="00251537"/>
    <w:rsid w:val="0025173B"/>
    <w:rsid w:val="002518BD"/>
    <w:rsid w:val="002518C4"/>
    <w:rsid w:val="00251960"/>
    <w:rsid w:val="00251AE7"/>
    <w:rsid w:val="00251D8A"/>
    <w:rsid w:val="00251E58"/>
    <w:rsid w:val="00252096"/>
    <w:rsid w:val="002521B0"/>
    <w:rsid w:val="00252444"/>
    <w:rsid w:val="002524E6"/>
    <w:rsid w:val="0025268C"/>
    <w:rsid w:val="002528B9"/>
    <w:rsid w:val="002528E1"/>
    <w:rsid w:val="00252E23"/>
    <w:rsid w:val="002530B4"/>
    <w:rsid w:val="002530C0"/>
    <w:rsid w:val="00253495"/>
    <w:rsid w:val="002534E5"/>
    <w:rsid w:val="002535B9"/>
    <w:rsid w:val="002535F6"/>
    <w:rsid w:val="00253671"/>
    <w:rsid w:val="002536ED"/>
    <w:rsid w:val="00253C90"/>
    <w:rsid w:val="00253DAD"/>
    <w:rsid w:val="00253DC1"/>
    <w:rsid w:val="00253DFE"/>
    <w:rsid w:val="00253F8E"/>
    <w:rsid w:val="00253F91"/>
    <w:rsid w:val="00254032"/>
    <w:rsid w:val="00254082"/>
    <w:rsid w:val="002542F6"/>
    <w:rsid w:val="0025433F"/>
    <w:rsid w:val="00254556"/>
    <w:rsid w:val="00254719"/>
    <w:rsid w:val="0025495E"/>
    <w:rsid w:val="00254B0D"/>
    <w:rsid w:val="00254C1E"/>
    <w:rsid w:val="00254C3A"/>
    <w:rsid w:val="00254EF9"/>
    <w:rsid w:val="002553EE"/>
    <w:rsid w:val="002554C3"/>
    <w:rsid w:val="002555BC"/>
    <w:rsid w:val="002556A7"/>
    <w:rsid w:val="0025577C"/>
    <w:rsid w:val="0025583A"/>
    <w:rsid w:val="00255B99"/>
    <w:rsid w:val="00255C78"/>
    <w:rsid w:val="00255C96"/>
    <w:rsid w:val="00255D73"/>
    <w:rsid w:val="00255DD9"/>
    <w:rsid w:val="00255E7F"/>
    <w:rsid w:val="00255E91"/>
    <w:rsid w:val="00255FD8"/>
    <w:rsid w:val="00256000"/>
    <w:rsid w:val="00256091"/>
    <w:rsid w:val="00256114"/>
    <w:rsid w:val="00256159"/>
    <w:rsid w:val="002565CF"/>
    <w:rsid w:val="00256976"/>
    <w:rsid w:val="00256D48"/>
    <w:rsid w:val="00256D5F"/>
    <w:rsid w:val="00256E4B"/>
    <w:rsid w:val="00256ECC"/>
    <w:rsid w:val="00257032"/>
    <w:rsid w:val="0025705E"/>
    <w:rsid w:val="002570A4"/>
    <w:rsid w:val="00257173"/>
    <w:rsid w:val="00257198"/>
    <w:rsid w:val="0025731F"/>
    <w:rsid w:val="0025737D"/>
    <w:rsid w:val="0025759E"/>
    <w:rsid w:val="002575F0"/>
    <w:rsid w:val="00257670"/>
    <w:rsid w:val="002576ED"/>
    <w:rsid w:val="0025796B"/>
    <w:rsid w:val="00257AF0"/>
    <w:rsid w:val="00257B33"/>
    <w:rsid w:val="00257B4E"/>
    <w:rsid w:val="00257D39"/>
    <w:rsid w:val="00257DB0"/>
    <w:rsid w:val="00260313"/>
    <w:rsid w:val="00260459"/>
    <w:rsid w:val="0026064C"/>
    <w:rsid w:val="002607F2"/>
    <w:rsid w:val="00260888"/>
    <w:rsid w:val="00260A07"/>
    <w:rsid w:val="00260BB7"/>
    <w:rsid w:val="00260C54"/>
    <w:rsid w:val="00260D5B"/>
    <w:rsid w:val="00260F9B"/>
    <w:rsid w:val="00261137"/>
    <w:rsid w:val="00261535"/>
    <w:rsid w:val="002617DC"/>
    <w:rsid w:val="00261811"/>
    <w:rsid w:val="0026196C"/>
    <w:rsid w:val="00261CF6"/>
    <w:rsid w:val="00261DAD"/>
    <w:rsid w:val="00261EDB"/>
    <w:rsid w:val="002622DE"/>
    <w:rsid w:val="002622F2"/>
    <w:rsid w:val="00262322"/>
    <w:rsid w:val="0026235C"/>
    <w:rsid w:val="00262387"/>
    <w:rsid w:val="002624E2"/>
    <w:rsid w:val="00262581"/>
    <w:rsid w:val="002626AD"/>
    <w:rsid w:val="002626EA"/>
    <w:rsid w:val="00262812"/>
    <w:rsid w:val="00262865"/>
    <w:rsid w:val="002628C4"/>
    <w:rsid w:val="00262A65"/>
    <w:rsid w:val="00262CB4"/>
    <w:rsid w:val="00262E12"/>
    <w:rsid w:val="00262FA0"/>
    <w:rsid w:val="00263000"/>
    <w:rsid w:val="0026311B"/>
    <w:rsid w:val="002631FB"/>
    <w:rsid w:val="002632D8"/>
    <w:rsid w:val="00263423"/>
    <w:rsid w:val="00263469"/>
    <w:rsid w:val="0026350E"/>
    <w:rsid w:val="00263688"/>
    <w:rsid w:val="0026385A"/>
    <w:rsid w:val="00263A72"/>
    <w:rsid w:val="00263AB3"/>
    <w:rsid w:val="00263AFB"/>
    <w:rsid w:val="00263CF0"/>
    <w:rsid w:val="00263D7D"/>
    <w:rsid w:val="00263E70"/>
    <w:rsid w:val="00263F9D"/>
    <w:rsid w:val="002640A5"/>
    <w:rsid w:val="00264125"/>
    <w:rsid w:val="00264126"/>
    <w:rsid w:val="0026414F"/>
    <w:rsid w:val="002643A3"/>
    <w:rsid w:val="00264A36"/>
    <w:rsid w:val="00264B79"/>
    <w:rsid w:val="00264BED"/>
    <w:rsid w:val="00264BF9"/>
    <w:rsid w:val="00264C74"/>
    <w:rsid w:val="00264CFF"/>
    <w:rsid w:val="00264FD5"/>
    <w:rsid w:val="00264FEC"/>
    <w:rsid w:val="002651E5"/>
    <w:rsid w:val="002653AC"/>
    <w:rsid w:val="0026561B"/>
    <w:rsid w:val="002656FD"/>
    <w:rsid w:val="0026570A"/>
    <w:rsid w:val="0026573C"/>
    <w:rsid w:val="00265744"/>
    <w:rsid w:val="002657C6"/>
    <w:rsid w:val="0026591B"/>
    <w:rsid w:val="00265A40"/>
    <w:rsid w:val="00265BA8"/>
    <w:rsid w:val="00265C70"/>
    <w:rsid w:val="00265D52"/>
    <w:rsid w:val="00265D6D"/>
    <w:rsid w:val="00265D74"/>
    <w:rsid w:val="00265E55"/>
    <w:rsid w:val="00265ECB"/>
    <w:rsid w:val="00265F87"/>
    <w:rsid w:val="00265FCE"/>
    <w:rsid w:val="002660E8"/>
    <w:rsid w:val="002661B2"/>
    <w:rsid w:val="00266446"/>
    <w:rsid w:val="00266522"/>
    <w:rsid w:val="00266649"/>
    <w:rsid w:val="002668B3"/>
    <w:rsid w:val="002669A4"/>
    <w:rsid w:val="00266A46"/>
    <w:rsid w:val="00266A7C"/>
    <w:rsid w:val="00266C04"/>
    <w:rsid w:val="00266D91"/>
    <w:rsid w:val="00266E0C"/>
    <w:rsid w:val="00266F11"/>
    <w:rsid w:val="002670C5"/>
    <w:rsid w:val="002671B6"/>
    <w:rsid w:val="00267318"/>
    <w:rsid w:val="002674F6"/>
    <w:rsid w:val="0026751F"/>
    <w:rsid w:val="0026756C"/>
    <w:rsid w:val="002676C0"/>
    <w:rsid w:val="00267959"/>
    <w:rsid w:val="00267A6A"/>
    <w:rsid w:val="00267BC6"/>
    <w:rsid w:val="00267BFF"/>
    <w:rsid w:val="00267E81"/>
    <w:rsid w:val="00267EEE"/>
    <w:rsid w:val="00270130"/>
    <w:rsid w:val="0027026D"/>
    <w:rsid w:val="002702C7"/>
    <w:rsid w:val="00270448"/>
    <w:rsid w:val="002704C3"/>
    <w:rsid w:val="0027081A"/>
    <w:rsid w:val="0027098F"/>
    <w:rsid w:val="00270B0A"/>
    <w:rsid w:val="00270D24"/>
    <w:rsid w:val="00270FA5"/>
    <w:rsid w:val="0027107A"/>
    <w:rsid w:val="0027134C"/>
    <w:rsid w:val="0027136E"/>
    <w:rsid w:val="00271404"/>
    <w:rsid w:val="00271415"/>
    <w:rsid w:val="0027143A"/>
    <w:rsid w:val="0027143D"/>
    <w:rsid w:val="00271725"/>
    <w:rsid w:val="00271743"/>
    <w:rsid w:val="00271802"/>
    <w:rsid w:val="0027192C"/>
    <w:rsid w:val="00271947"/>
    <w:rsid w:val="002719CB"/>
    <w:rsid w:val="002719F5"/>
    <w:rsid w:val="00271A71"/>
    <w:rsid w:val="00271BAB"/>
    <w:rsid w:val="00271D06"/>
    <w:rsid w:val="00271DF5"/>
    <w:rsid w:val="00271E3A"/>
    <w:rsid w:val="00271E89"/>
    <w:rsid w:val="00271FF1"/>
    <w:rsid w:val="0027242E"/>
    <w:rsid w:val="00272574"/>
    <w:rsid w:val="00272589"/>
    <w:rsid w:val="002726C8"/>
    <w:rsid w:val="002726E4"/>
    <w:rsid w:val="00272735"/>
    <w:rsid w:val="00272748"/>
    <w:rsid w:val="00272751"/>
    <w:rsid w:val="0027292B"/>
    <w:rsid w:val="00272948"/>
    <w:rsid w:val="00272A31"/>
    <w:rsid w:val="00272AD2"/>
    <w:rsid w:val="00272B3A"/>
    <w:rsid w:val="00272E5C"/>
    <w:rsid w:val="00272FC3"/>
    <w:rsid w:val="00273035"/>
    <w:rsid w:val="00273044"/>
    <w:rsid w:val="00273092"/>
    <w:rsid w:val="00273098"/>
    <w:rsid w:val="0027315A"/>
    <w:rsid w:val="002732A4"/>
    <w:rsid w:val="00273463"/>
    <w:rsid w:val="00273592"/>
    <w:rsid w:val="00273618"/>
    <w:rsid w:val="00273625"/>
    <w:rsid w:val="002738B1"/>
    <w:rsid w:val="002739F5"/>
    <w:rsid w:val="00273A8A"/>
    <w:rsid w:val="00273BDF"/>
    <w:rsid w:val="00273C8C"/>
    <w:rsid w:val="00273CC1"/>
    <w:rsid w:val="00273ECE"/>
    <w:rsid w:val="002741F4"/>
    <w:rsid w:val="002741F7"/>
    <w:rsid w:val="00274207"/>
    <w:rsid w:val="002743D1"/>
    <w:rsid w:val="002743D8"/>
    <w:rsid w:val="00274C21"/>
    <w:rsid w:val="00274C61"/>
    <w:rsid w:val="00274C77"/>
    <w:rsid w:val="00274CD9"/>
    <w:rsid w:val="00274D3D"/>
    <w:rsid w:val="00274D51"/>
    <w:rsid w:val="00274E30"/>
    <w:rsid w:val="0027508B"/>
    <w:rsid w:val="002750AD"/>
    <w:rsid w:val="00275130"/>
    <w:rsid w:val="002752D2"/>
    <w:rsid w:val="002753ED"/>
    <w:rsid w:val="00275564"/>
    <w:rsid w:val="00275565"/>
    <w:rsid w:val="00275676"/>
    <w:rsid w:val="0027567B"/>
    <w:rsid w:val="00275727"/>
    <w:rsid w:val="002758E1"/>
    <w:rsid w:val="002759ED"/>
    <w:rsid w:val="00275AF7"/>
    <w:rsid w:val="00275D6D"/>
    <w:rsid w:val="00275F51"/>
    <w:rsid w:val="0027600F"/>
    <w:rsid w:val="0027619E"/>
    <w:rsid w:val="002761F4"/>
    <w:rsid w:val="0027630D"/>
    <w:rsid w:val="0027655D"/>
    <w:rsid w:val="00276565"/>
    <w:rsid w:val="00276609"/>
    <w:rsid w:val="002766C9"/>
    <w:rsid w:val="00276836"/>
    <w:rsid w:val="002769CE"/>
    <w:rsid w:val="00276A01"/>
    <w:rsid w:val="00276C20"/>
    <w:rsid w:val="00276C38"/>
    <w:rsid w:val="00276C8C"/>
    <w:rsid w:val="002771CB"/>
    <w:rsid w:val="00277522"/>
    <w:rsid w:val="00277577"/>
    <w:rsid w:val="002776DE"/>
    <w:rsid w:val="00277766"/>
    <w:rsid w:val="002777BE"/>
    <w:rsid w:val="002778CE"/>
    <w:rsid w:val="00277C24"/>
    <w:rsid w:val="00277C5F"/>
    <w:rsid w:val="00277E25"/>
    <w:rsid w:val="00277E9D"/>
    <w:rsid w:val="00277FDA"/>
    <w:rsid w:val="00280259"/>
    <w:rsid w:val="002803E9"/>
    <w:rsid w:val="00280507"/>
    <w:rsid w:val="00280662"/>
    <w:rsid w:val="00280A67"/>
    <w:rsid w:val="00280B68"/>
    <w:rsid w:val="002810CA"/>
    <w:rsid w:val="002811A1"/>
    <w:rsid w:val="002811DF"/>
    <w:rsid w:val="0028138D"/>
    <w:rsid w:val="0028178C"/>
    <w:rsid w:val="002817A2"/>
    <w:rsid w:val="00281873"/>
    <w:rsid w:val="00281950"/>
    <w:rsid w:val="00281BE2"/>
    <w:rsid w:val="00281D7C"/>
    <w:rsid w:val="00281EA4"/>
    <w:rsid w:val="00281FD0"/>
    <w:rsid w:val="00281FEA"/>
    <w:rsid w:val="00282007"/>
    <w:rsid w:val="0028202C"/>
    <w:rsid w:val="00282100"/>
    <w:rsid w:val="00282346"/>
    <w:rsid w:val="0028258D"/>
    <w:rsid w:val="00282606"/>
    <w:rsid w:val="0028261A"/>
    <w:rsid w:val="002827A9"/>
    <w:rsid w:val="002828A4"/>
    <w:rsid w:val="00282954"/>
    <w:rsid w:val="0028298E"/>
    <w:rsid w:val="00282A3C"/>
    <w:rsid w:val="00282A96"/>
    <w:rsid w:val="00282B9C"/>
    <w:rsid w:val="00282EFE"/>
    <w:rsid w:val="00282F1B"/>
    <w:rsid w:val="002830FE"/>
    <w:rsid w:val="00283221"/>
    <w:rsid w:val="0028327E"/>
    <w:rsid w:val="00283330"/>
    <w:rsid w:val="0028347A"/>
    <w:rsid w:val="002834A8"/>
    <w:rsid w:val="002834C8"/>
    <w:rsid w:val="00283655"/>
    <w:rsid w:val="002837A6"/>
    <w:rsid w:val="00283860"/>
    <w:rsid w:val="002838E1"/>
    <w:rsid w:val="00283996"/>
    <w:rsid w:val="00283B0D"/>
    <w:rsid w:val="00283BAC"/>
    <w:rsid w:val="00283D89"/>
    <w:rsid w:val="002841BC"/>
    <w:rsid w:val="0028437D"/>
    <w:rsid w:val="00284428"/>
    <w:rsid w:val="002845C7"/>
    <w:rsid w:val="00284602"/>
    <w:rsid w:val="00284660"/>
    <w:rsid w:val="0028472E"/>
    <w:rsid w:val="0028476A"/>
    <w:rsid w:val="00284A50"/>
    <w:rsid w:val="00284B88"/>
    <w:rsid w:val="00284BEA"/>
    <w:rsid w:val="00284E44"/>
    <w:rsid w:val="002851AC"/>
    <w:rsid w:val="002852C3"/>
    <w:rsid w:val="0028531A"/>
    <w:rsid w:val="002853D0"/>
    <w:rsid w:val="0028542E"/>
    <w:rsid w:val="0028551E"/>
    <w:rsid w:val="00285528"/>
    <w:rsid w:val="00285591"/>
    <w:rsid w:val="0028596B"/>
    <w:rsid w:val="0028598E"/>
    <w:rsid w:val="00285A32"/>
    <w:rsid w:val="00285A56"/>
    <w:rsid w:val="00285ABA"/>
    <w:rsid w:val="00285AF9"/>
    <w:rsid w:val="00285BCE"/>
    <w:rsid w:val="00285C50"/>
    <w:rsid w:val="00285CAB"/>
    <w:rsid w:val="00285DCF"/>
    <w:rsid w:val="00285F4A"/>
    <w:rsid w:val="00285F56"/>
    <w:rsid w:val="002860B2"/>
    <w:rsid w:val="002862FB"/>
    <w:rsid w:val="00286356"/>
    <w:rsid w:val="002864FA"/>
    <w:rsid w:val="00286638"/>
    <w:rsid w:val="00286864"/>
    <w:rsid w:val="002868F0"/>
    <w:rsid w:val="0028690A"/>
    <w:rsid w:val="00286AB4"/>
    <w:rsid w:val="00286B4B"/>
    <w:rsid w:val="00286D6F"/>
    <w:rsid w:val="00286D82"/>
    <w:rsid w:val="00286E94"/>
    <w:rsid w:val="00286FE3"/>
    <w:rsid w:val="0028706F"/>
    <w:rsid w:val="002870A1"/>
    <w:rsid w:val="002870DB"/>
    <w:rsid w:val="00287125"/>
    <w:rsid w:val="002872BE"/>
    <w:rsid w:val="00287354"/>
    <w:rsid w:val="00287406"/>
    <w:rsid w:val="00287430"/>
    <w:rsid w:val="0028759D"/>
    <w:rsid w:val="002876BE"/>
    <w:rsid w:val="00287716"/>
    <w:rsid w:val="002878A6"/>
    <w:rsid w:val="0028796C"/>
    <w:rsid w:val="00287998"/>
    <w:rsid w:val="00287A05"/>
    <w:rsid w:val="00287CA1"/>
    <w:rsid w:val="00287E56"/>
    <w:rsid w:val="002902E9"/>
    <w:rsid w:val="00290481"/>
    <w:rsid w:val="00290AA4"/>
    <w:rsid w:val="00290CBE"/>
    <w:rsid w:val="00290D6B"/>
    <w:rsid w:val="00290D79"/>
    <w:rsid w:val="00290E4D"/>
    <w:rsid w:val="00290E4F"/>
    <w:rsid w:val="00290F61"/>
    <w:rsid w:val="0029101E"/>
    <w:rsid w:val="00291054"/>
    <w:rsid w:val="002910C6"/>
    <w:rsid w:val="002911BB"/>
    <w:rsid w:val="002912ED"/>
    <w:rsid w:val="00291316"/>
    <w:rsid w:val="002914AD"/>
    <w:rsid w:val="00291935"/>
    <w:rsid w:val="00291993"/>
    <w:rsid w:val="00291ADF"/>
    <w:rsid w:val="00291AF0"/>
    <w:rsid w:val="00291B8E"/>
    <w:rsid w:val="00291C01"/>
    <w:rsid w:val="00291C5B"/>
    <w:rsid w:val="00291C9A"/>
    <w:rsid w:val="00291F11"/>
    <w:rsid w:val="00291FDB"/>
    <w:rsid w:val="00292075"/>
    <w:rsid w:val="0029208E"/>
    <w:rsid w:val="0029217B"/>
    <w:rsid w:val="00292238"/>
    <w:rsid w:val="00292661"/>
    <w:rsid w:val="002928FD"/>
    <w:rsid w:val="00292A48"/>
    <w:rsid w:val="00292A6C"/>
    <w:rsid w:val="00292CF8"/>
    <w:rsid w:val="00292F56"/>
    <w:rsid w:val="002930A3"/>
    <w:rsid w:val="0029317F"/>
    <w:rsid w:val="00293215"/>
    <w:rsid w:val="00293306"/>
    <w:rsid w:val="0029353C"/>
    <w:rsid w:val="00293674"/>
    <w:rsid w:val="002936AA"/>
    <w:rsid w:val="002937DE"/>
    <w:rsid w:val="00293820"/>
    <w:rsid w:val="00293846"/>
    <w:rsid w:val="0029392D"/>
    <w:rsid w:val="0029399F"/>
    <w:rsid w:val="002939AA"/>
    <w:rsid w:val="00293A44"/>
    <w:rsid w:val="00293A98"/>
    <w:rsid w:val="00293BED"/>
    <w:rsid w:val="00293E76"/>
    <w:rsid w:val="00293FCE"/>
    <w:rsid w:val="0029417F"/>
    <w:rsid w:val="0029428E"/>
    <w:rsid w:val="002942BD"/>
    <w:rsid w:val="002943AE"/>
    <w:rsid w:val="0029443A"/>
    <w:rsid w:val="002944BC"/>
    <w:rsid w:val="002946BF"/>
    <w:rsid w:val="002946F6"/>
    <w:rsid w:val="00294876"/>
    <w:rsid w:val="002948A7"/>
    <w:rsid w:val="00294947"/>
    <w:rsid w:val="00294A2F"/>
    <w:rsid w:val="00294B13"/>
    <w:rsid w:val="00294BDB"/>
    <w:rsid w:val="00294CF4"/>
    <w:rsid w:val="00294EE4"/>
    <w:rsid w:val="00294F56"/>
    <w:rsid w:val="00294F73"/>
    <w:rsid w:val="00294FEA"/>
    <w:rsid w:val="0029508F"/>
    <w:rsid w:val="0029516D"/>
    <w:rsid w:val="0029532D"/>
    <w:rsid w:val="0029538A"/>
    <w:rsid w:val="002953F1"/>
    <w:rsid w:val="00295450"/>
    <w:rsid w:val="00295630"/>
    <w:rsid w:val="002959D2"/>
    <w:rsid w:val="00295A4D"/>
    <w:rsid w:val="00295AF9"/>
    <w:rsid w:val="00295BA0"/>
    <w:rsid w:val="00295C37"/>
    <w:rsid w:val="00295DFF"/>
    <w:rsid w:val="00296036"/>
    <w:rsid w:val="0029623A"/>
    <w:rsid w:val="00296374"/>
    <w:rsid w:val="002966EE"/>
    <w:rsid w:val="002967B2"/>
    <w:rsid w:val="00296904"/>
    <w:rsid w:val="00296B42"/>
    <w:rsid w:val="00296BFB"/>
    <w:rsid w:val="00296C3A"/>
    <w:rsid w:val="00296C62"/>
    <w:rsid w:val="00296D64"/>
    <w:rsid w:val="00296D76"/>
    <w:rsid w:val="00296D79"/>
    <w:rsid w:val="00296EC5"/>
    <w:rsid w:val="00296F8A"/>
    <w:rsid w:val="00296FA0"/>
    <w:rsid w:val="00297022"/>
    <w:rsid w:val="00297169"/>
    <w:rsid w:val="00297198"/>
    <w:rsid w:val="002971D5"/>
    <w:rsid w:val="002971E1"/>
    <w:rsid w:val="002971EE"/>
    <w:rsid w:val="00297273"/>
    <w:rsid w:val="002972F6"/>
    <w:rsid w:val="00297368"/>
    <w:rsid w:val="002973E9"/>
    <w:rsid w:val="00297546"/>
    <w:rsid w:val="00297600"/>
    <w:rsid w:val="00297668"/>
    <w:rsid w:val="0029774F"/>
    <w:rsid w:val="002977E0"/>
    <w:rsid w:val="00297B56"/>
    <w:rsid w:val="00297E15"/>
    <w:rsid w:val="00297E3D"/>
    <w:rsid w:val="00297F1E"/>
    <w:rsid w:val="00297FE5"/>
    <w:rsid w:val="002A00A7"/>
    <w:rsid w:val="002A0258"/>
    <w:rsid w:val="002A0298"/>
    <w:rsid w:val="002A0304"/>
    <w:rsid w:val="002A0390"/>
    <w:rsid w:val="002A039B"/>
    <w:rsid w:val="002A03F5"/>
    <w:rsid w:val="002A04CC"/>
    <w:rsid w:val="002A06B6"/>
    <w:rsid w:val="002A0727"/>
    <w:rsid w:val="002A08AC"/>
    <w:rsid w:val="002A090C"/>
    <w:rsid w:val="002A09EF"/>
    <w:rsid w:val="002A0AD7"/>
    <w:rsid w:val="002A0D2D"/>
    <w:rsid w:val="002A0E40"/>
    <w:rsid w:val="002A1046"/>
    <w:rsid w:val="002A10AC"/>
    <w:rsid w:val="002A1169"/>
    <w:rsid w:val="002A1246"/>
    <w:rsid w:val="002A1405"/>
    <w:rsid w:val="002A1449"/>
    <w:rsid w:val="002A1732"/>
    <w:rsid w:val="002A19BB"/>
    <w:rsid w:val="002A1AA6"/>
    <w:rsid w:val="002A1B0A"/>
    <w:rsid w:val="002A1C42"/>
    <w:rsid w:val="002A1CA6"/>
    <w:rsid w:val="002A1D5E"/>
    <w:rsid w:val="002A22C5"/>
    <w:rsid w:val="002A2361"/>
    <w:rsid w:val="002A258D"/>
    <w:rsid w:val="002A2A7A"/>
    <w:rsid w:val="002A2B8B"/>
    <w:rsid w:val="002A2E27"/>
    <w:rsid w:val="002A2F6D"/>
    <w:rsid w:val="002A32E4"/>
    <w:rsid w:val="002A332F"/>
    <w:rsid w:val="002A339B"/>
    <w:rsid w:val="002A33A0"/>
    <w:rsid w:val="002A33CB"/>
    <w:rsid w:val="002A33D3"/>
    <w:rsid w:val="002A3504"/>
    <w:rsid w:val="002A3576"/>
    <w:rsid w:val="002A35E8"/>
    <w:rsid w:val="002A37B4"/>
    <w:rsid w:val="002A393A"/>
    <w:rsid w:val="002A39BD"/>
    <w:rsid w:val="002A39C5"/>
    <w:rsid w:val="002A3A2E"/>
    <w:rsid w:val="002A3A8B"/>
    <w:rsid w:val="002A3CBA"/>
    <w:rsid w:val="002A3D39"/>
    <w:rsid w:val="002A3EDB"/>
    <w:rsid w:val="002A3F96"/>
    <w:rsid w:val="002A3FB7"/>
    <w:rsid w:val="002A406D"/>
    <w:rsid w:val="002A41C0"/>
    <w:rsid w:val="002A425F"/>
    <w:rsid w:val="002A4282"/>
    <w:rsid w:val="002A43BE"/>
    <w:rsid w:val="002A43F7"/>
    <w:rsid w:val="002A469C"/>
    <w:rsid w:val="002A499E"/>
    <w:rsid w:val="002A49E6"/>
    <w:rsid w:val="002A4A0F"/>
    <w:rsid w:val="002A4AAF"/>
    <w:rsid w:val="002A4BFF"/>
    <w:rsid w:val="002A4C5C"/>
    <w:rsid w:val="002A4D21"/>
    <w:rsid w:val="002A4EC9"/>
    <w:rsid w:val="002A4EF5"/>
    <w:rsid w:val="002A4F5F"/>
    <w:rsid w:val="002A4F7F"/>
    <w:rsid w:val="002A501D"/>
    <w:rsid w:val="002A5247"/>
    <w:rsid w:val="002A5567"/>
    <w:rsid w:val="002A568C"/>
    <w:rsid w:val="002A57B9"/>
    <w:rsid w:val="002A59FB"/>
    <w:rsid w:val="002A5AAC"/>
    <w:rsid w:val="002A5B63"/>
    <w:rsid w:val="002A5BBA"/>
    <w:rsid w:val="002A5C8C"/>
    <w:rsid w:val="002A5DD0"/>
    <w:rsid w:val="002A5F00"/>
    <w:rsid w:val="002A6148"/>
    <w:rsid w:val="002A6210"/>
    <w:rsid w:val="002A6331"/>
    <w:rsid w:val="002A647A"/>
    <w:rsid w:val="002A6531"/>
    <w:rsid w:val="002A65C4"/>
    <w:rsid w:val="002A6630"/>
    <w:rsid w:val="002A666C"/>
    <w:rsid w:val="002A6788"/>
    <w:rsid w:val="002A6DAA"/>
    <w:rsid w:val="002A6E06"/>
    <w:rsid w:val="002A6E51"/>
    <w:rsid w:val="002A6EA6"/>
    <w:rsid w:val="002A6F67"/>
    <w:rsid w:val="002A7112"/>
    <w:rsid w:val="002A721C"/>
    <w:rsid w:val="002A7394"/>
    <w:rsid w:val="002A73F2"/>
    <w:rsid w:val="002A74DE"/>
    <w:rsid w:val="002A759E"/>
    <w:rsid w:val="002A75FD"/>
    <w:rsid w:val="002A763A"/>
    <w:rsid w:val="002A76AD"/>
    <w:rsid w:val="002A76EA"/>
    <w:rsid w:val="002A7731"/>
    <w:rsid w:val="002A77FE"/>
    <w:rsid w:val="002A783F"/>
    <w:rsid w:val="002A78CB"/>
    <w:rsid w:val="002A798C"/>
    <w:rsid w:val="002A7B25"/>
    <w:rsid w:val="002A7B6D"/>
    <w:rsid w:val="002A7CA3"/>
    <w:rsid w:val="002A7D49"/>
    <w:rsid w:val="002A7D75"/>
    <w:rsid w:val="002A7FF6"/>
    <w:rsid w:val="002B0088"/>
    <w:rsid w:val="002B00F8"/>
    <w:rsid w:val="002B0247"/>
    <w:rsid w:val="002B0343"/>
    <w:rsid w:val="002B03D8"/>
    <w:rsid w:val="002B03DF"/>
    <w:rsid w:val="002B04CC"/>
    <w:rsid w:val="002B055F"/>
    <w:rsid w:val="002B063A"/>
    <w:rsid w:val="002B06DC"/>
    <w:rsid w:val="002B0A6A"/>
    <w:rsid w:val="002B0A9B"/>
    <w:rsid w:val="002B0B09"/>
    <w:rsid w:val="002B0D03"/>
    <w:rsid w:val="002B0D5F"/>
    <w:rsid w:val="002B0EAA"/>
    <w:rsid w:val="002B0ED6"/>
    <w:rsid w:val="002B0FFF"/>
    <w:rsid w:val="002B105E"/>
    <w:rsid w:val="002B1336"/>
    <w:rsid w:val="002B1369"/>
    <w:rsid w:val="002B143C"/>
    <w:rsid w:val="002B1562"/>
    <w:rsid w:val="002B159D"/>
    <w:rsid w:val="002B15EA"/>
    <w:rsid w:val="002B173D"/>
    <w:rsid w:val="002B1950"/>
    <w:rsid w:val="002B19B6"/>
    <w:rsid w:val="002B1B1F"/>
    <w:rsid w:val="002B1B42"/>
    <w:rsid w:val="002B1D5A"/>
    <w:rsid w:val="002B1E05"/>
    <w:rsid w:val="002B1EE1"/>
    <w:rsid w:val="002B1FA2"/>
    <w:rsid w:val="002B1FA7"/>
    <w:rsid w:val="002B21EE"/>
    <w:rsid w:val="002B22A3"/>
    <w:rsid w:val="002B2306"/>
    <w:rsid w:val="002B2472"/>
    <w:rsid w:val="002B25AB"/>
    <w:rsid w:val="002B25E1"/>
    <w:rsid w:val="002B2A85"/>
    <w:rsid w:val="002B2A8B"/>
    <w:rsid w:val="002B2D01"/>
    <w:rsid w:val="002B2E8E"/>
    <w:rsid w:val="002B3187"/>
    <w:rsid w:val="002B32C6"/>
    <w:rsid w:val="002B32CB"/>
    <w:rsid w:val="002B3520"/>
    <w:rsid w:val="002B352B"/>
    <w:rsid w:val="002B356C"/>
    <w:rsid w:val="002B382B"/>
    <w:rsid w:val="002B3845"/>
    <w:rsid w:val="002B38C8"/>
    <w:rsid w:val="002B39E1"/>
    <w:rsid w:val="002B3B6C"/>
    <w:rsid w:val="002B3D08"/>
    <w:rsid w:val="002B3DED"/>
    <w:rsid w:val="002B3F10"/>
    <w:rsid w:val="002B3F1E"/>
    <w:rsid w:val="002B3F32"/>
    <w:rsid w:val="002B3FAF"/>
    <w:rsid w:val="002B3FDB"/>
    <w:rsid w:val="002B419A"/>
    <w:rsid w:val="002B4223"/>
    <w:rsid w:val="002B42AC"/>
    <w:rsid w:val="002B4394"/>
    <w:rsid w:val="002B44C5"/>
    <w:rsid w:val="002B4524"/>
    <w:rsid w:val="002B4654"/>
    <w:rsid w:val="002B470C"/>
    <w:rsid w:val="002B4873"/>
    <w:rsid w:val="002B4942"/>
    <w:rsid w:val="002B4AD8"/>
    <w:rsid w:val="002B4BE2"/>
    <w:rsid w:val="002B4BF1"/>
    <w:rsid w:val="002B4C39"/>
    <w:rsid w:val="002B4C52"/>
    <w:rsid w:val="002B4D54"/>
    <w:rsid w:val="002B4D81"/>
    <w:rsid w:val="002B4ECA"/>
    <w:rsid w:val="002B4F17"/>
    <w:rsid w:val="002B51E7"/>
    <w:rsid w:val="002B520D"/>
    <w:rsid w:val="002B529B"/>
    <w:rsid w:val="002B53FE"/>
    <w:rsid w:val="002B5548"/>
    <w:rsid w:val="002B56ED"/>
    <w:rsid w:val="002B5879"/>
    <w:rsid w:val="002B59A3"/>
    <w:rsid w:val="002B5ADB"/>
    <w:rsid w:val="002B5D5D"/>
    <w:rsid w:val="002B609E"/>
    <w:rsid w:val="002B6260"/>
    <w:rsid w:val="002B667C"/>
    <w:rsid w:val="002B6703"/>
    <w:rsid w:val="002B68D2"/>
    <w:rsid w:val="002B6A05"/>
    <w:rsid w:val="002B6BC8"/>
    <w:rsid w:val="002B6BFF"/>
    <w:rsid w:val="002B6CE5"/>
    <w:rsid w:val="002B6D22"/>
    <w:rsid w:val="002B6E24"/>
    <w:rsid w:val="002B6E3C"/>
    <w:rsid w:val="002B6EE4"/>
    <w:rsid w:val="002B6F23"/>
    <w:rsid w:val="002B6F5C"/>
    <w:rsid w:val="002B6FB0"/>
    <w:rsid w:val="002B7289"/>
    <w:rsid w:val="002B728A"/>
    <w:rsid w:val="002B72FF"/>
    <w:rsid w:val="002B73FE"/>
    <w:rsid w:val="002B7560"/>
    <w:rsid w:val="002B77DF"/>
    <w:rsid w:val="002B77EC"/>
    <w:rsid w:val="002B79E0"/>
    <w:rsid w:val="002B7A1F"/>
    <w:rsid w:val="002B7C29"/>
    <w:rsid w:val="002B7C8B"/>
    <w:rsid w:val="002B7D53"/>
    <w:rsid w:val="002B7D65"/>
    <w:rsid w:val="002B7FA5"/>
    <w:rsid w:val="002C008B"/>
    <w:rsid w:val="002C00A7"/>
    <w:rsid w:val="002C01C3"/>
    <w:rsid w:val="002C0250"/>
    <w:rsid w:val="002C0266"/>
    <w:rsid w:val="002C02D5"/>
    <w:rsid w:val="002C02FE"/>
    <w:rsid w:val="002C0321"/>
    <w:rsid w:val="002C0625"/>
    <w:rsid w:val="002C089C"/>
    <w:rsid w:val="002C0963"/>
    <w:rsid w:val="002C09B5"/>
    <w:rsid w:val="002C0B2A"/>
    <w:rsid w:val="002C0C37"/>
    <w:rsid w:val="002C0C6B"/>
    <w:rsid w:val="002C0CB1"/>
    <w:rsid w:val="002C0D97"/>
    <w:rsid w:val="002C0E03"/>
    <w:rsid w:val="002C11C3"/>
    <w:rsid w:val="002C1296"/>
    <w:rsid w:val="002C12D6"/>
    <w:rsid w:val="002C1333"/>
    <w:rsid w:val="002C136E"/>
    <w:rsid w:val="002C1431"/>
    <w:rsid w:val="002C1569"/>
    <w:rsid w:val="002C158E"/>
    <w:rsid w:val="002C1692"/>
    <w:rsid w:val="002C1709"/>
    <w:rsid w:val="002C1779"/>
    <w:rsid w:val="002C191F"/>
    <w:rsid w:val="002C1AA8"/>
    <w:rsid w:val="002C1B3C"/>
    <w:rsid w:val="002C1BD3"/>
    <w:rsid w:val="002C1C86"/>
    <w:rsid w:val="002C216A"/>
    <w:rsid w:val="002C228A"/>
    <w:rsid w:val="002C22AE"/>
    <w:rsid w:val="002C2765"/>
    <w:rsid w:val="002C28D3"/>
    <w:rsid w:val="002C2A28"/>
    <w:rsid w:val="002C2ACE"/>
    <w:rsid w:val="002C2C19"/>
    <w:rsid w:val="002C2C24"/>
    <w:rsid w:val="002C2D8A"/>
    <w:rsid w:val="002C2EF9"/>
    <w:rsid w:val="002C2F31"/>
    <w:rsid w:val="002C2FBD"/>
    <w:rsid w:val="002C3041"/>
    <w:rsid w:val="002C31CC"/>
    <w:rsid w:val="002C332C"/>
    <w:rsid w:val="002C341A"/>
    <w:rsid w:val="002C345C"/>
    <w:rsid w:val="002C34F8"/>
    <w:rsid w:val="002C3505"/>
    <w:rsid w:val="002C383E"/>
    <w:rsid w:val="002C38C3"/>
    <w:rsid w:val="002C3AA0"/>
    <w:rsid w:val="002C411F"/>
    <w:rsid w:val="002C414B"/>
    <w:rsid w:val="002C434C"/>
    <w:rsid w:val="002C4369"/>
    <w:rsid w:val="002C4413"/>
    <w:rsid w:val="002C448E"/>
    <w:rsid w:val="002C477F"/>
    <w:rsid w:val="002C4829"/>
    <w:rsid w:val="002C484C"/>
    <w:rsid w:val="002C4896"/>
    <w:rsid w:val="002C4ABC"/>
    <w:rsid w:val="002C4CFA"/>
    <w:rsid w:val="002C4E4A"/>
    <w:rsid w:val="002C4F3F"/>
    <w:rsid w:val="002C4FF1"/>
    <w:rsid w:val="002C51D3"/>
    <w:rsid w:val="002C526A"/>
    <w:rsid w:val="002C52B0"/>
    <w:rsid w:val="002C541F"/>
    <w:rsid w:val="002C5610"/>
    <w:rsid w:val="002C586A"/>
    <w:rsid w:val="002C59E8"/>
    <w:rsid w:val="002C5CE7"/>
    <w:rsid w:val="002C5D46"/>
    <w:rsid w:val="002C5D4F"/>
    <w:rsid w:val="002C5D99"/>
    <w:rsid w:val="002C5EE6"/>
    <w:rsid w:val="002C63BF"/>
    <w:rsid w:val="002C656E"/>
    <w:rsid w:val="002C67F8"/>
    <w:rsid w:val="002C68DF"/>
    <w:rsid w:val="002C68FB"/>
    <w:rsid w:val="002C6C53"/>
    <w:rsid w:val="002C6CD6"/>
    <w:rsid w:val="002C6D96"/>
    <w:rsid w:val="002C6F03"/>
    <w:rsid w:val="002C6F16"/>
    <w:rsid w:val="002C6FA3"/>
    <w:rsid w:val="002C70C6"/>
    <w:rsid w:val="002C70FB"/>
    <w:rsid w:val="002C710E"/>
    <w:rsid w:val="002C72E2"/>
    <w:rsid w:val="002C7448"/>
    <w:rsid w:val="002C747E"/>
    <w:rsid w:val="002C7A4D"/>
    <w:rsid w:val="002C7B3E"/>
    <w:rsid w:val="002C7C7D"/>
    <w:rsid w:val="002C7CC0"/>
    <w:rsid w:val="002C7D12"/>
    <w:rsid w:val="002C7EB2"/>
    <w:rsid w:val="002C7F52"/>
    <w:rsid w:val="002C7FCD"/>
    <w:rsid w:val="002D0092"/>
    <w:rsid w:val="002D0485"/>
    <w:rsid w:val="002D0696"/>
    <w:rsid w:val="002D078F"/>
    <w:rsid w:val="002D085F"/>
    <w:rsid w:val="002D0890"/>
    <w:rsid w:val="002D0920"/>
    <w:rsid w:val="002D0A1E"/>
    <w:rsid w:val="002D0A28"/>
    <w:rsid w:val="002D0B06"/>
    <w:rsid w:val="002D0CEE"/>
    <w:rsid w:val="002D106C"/>
    <w:rsid w:val="002D1114"/>
    <w:rsid w:val="002D128E"/>
    <w:rsid w:val="002D12AF"/>
    <w:rsid w:val="002D13F3"/>
    <w:rsid w:val="002D14E7"/>
    <w:rsid w:val="002D15E8"/>
    <w:rsid w:val="002D1638"/>
    <w:rsid w:val="002D1AC0"/>
    <w:rsid w:val="002D1D03"/>
    <w:rsid w:val="002D1D40"/>
    <w:rsid w:val="002D1E9A"/>
    <w:rsid w:val="002D1EF4"/>
    <w:rsid w:val="002D1F16"/>
    <w:rsid w:val="002D1F75"/>
    <w:rsid w:val="002D1FB3"/>
    <w:rsid w:val="002D21E1"/>
    <w:rsid w:val="002D22AB"/>
    <w:rsid w:val="002D23F8"/>
    <w:rsid w:val="002D25D9"/>
    <w:rsid w:val="002D2706"/>
    <w:rsid w:val="002D29F2"/>
    <w:rsid w:val="002D2A4F"/>
    <w:rsid w:val="002D2C2F"/>
    <w:rsid w:val="002D2C49"/>
    <w:rsid w:val="002D2EA0"/>
    <w:rsid w:val="002D2F28"/>
    <w:rsid w:val="002D2F74"/>
    <w:rsid w:val="002D2F78"/>
    <w:rsid w:val="002D300A"/>
    <w:rsid w:val="002D32F2"/>
    <w:rsid w:val="002D3335"/>
    <w:rsid w:val="002D3521"/>
    <w:rsid w:val="002D356C"/>
    <w:rsid w:val="002D36B5"/>
    <w:rsid w:val="002D37DF"/>
    <w:rsid w:val="002D37EF"/>
    <w:rsid w:val="002D3BF9"/>
    <w:rsid w:val="002D3D20"/>
    <w:rsid w:val="002D405B"/>
    <w:rsid w:val="002D4223"/>
    <w:rsid w:val="002D426D"/>
    <w:rsid w:val="002D4333"/>
    <w:rsid w:val="002D478A"/>
    <w:rsid w:val="002D4B68"/>
    <w:rsid w:val="002D4C66"/>
    <w:rsid w:val="002D4CB2"/>
    <w:rsid w:val="002D4CC8"/>
    <w:rsid w:val="002D4FDD"/>
    <w:rsid w:val="002D505E"/>
    <w:rsid w:val="002D5352"/>
    <w:rsid w:val="002D53CB"/>
    <w:rsid w:val="002D53F8"/>
    <w:rsid w:val="002D556F"/>
    <w:rsid w:val="002D55A1"/>
    <w:rsid w:val="002D570D"/>
    <w:rsid w:val="002D5750"/>
    <w:rsid w:val="002D57BF"/>
    <w:rsid w:val="002D581F"/>
    <w:rsid w:val="002D5A87"/>
    <w:rsid w:val="002D5CBB"/>
    <w:rsid w:val="002D5DFA"/>
    <w:rsid w:val="002D5F0E"/>
    <w:rsid w:val="002D61A4"/>
    <w:rsid w:val="002D62F6"/>
    <w:rsid w:val="002D63EE"/>
    <w:rsid w:val="002D659E"/>
    <w:rsid w:val="002D65D7"/>
    <w:rsid w:val="002D67B4"/>
    <w:rsid w:val="002D68A3"/>
    <w:rsid w:val="002D6AB7"/>
    <w:rsid w:val="002D6AD2"/>
    <w:rsid w:val="002D6C16"/>
    <w:rsid w:val="002D6D4E"/>
    <w:rsid w:val="002D70E6"/>
    <w:rsid w:val="002D7145"/>
    <w:rsid w:val="002D71B1"/>
    <w:rsid w:val="002D71DD"/>
    <w:rsid w:val="002D72B7"/>
    <w:rsid w:val="002D77F5"/>
    <w:rsid w:val="002D7987"/>
    <w:rsid w:val="002D7AA3"/>
    <w:rsid w:val="002D7B0C"/>
    <w:rsid w:val="002D7CAA"/>
    <w:rsid w:val="002D7DBD"/>
    <w:rsid w:val="002D7F8B"/>
    <w:rsid w:val="002E011C"/>
    <w:rsid w:val="002E0300"/>
    <w:rsid w:val="002E04FA"/>
    <w:rsid w:val="002E07D1"/>
    <w:rsid w:val="002E092A"/>
    <w:rsid w:val="002E0A13"/>
    <w:rsid w:val="002E0AE4"/>
    <w:rsid w:val="002E0B0B"/>
    <w:rsid w:val="002E0B3D"/>
    <w:rsid w:val="002E0BB6"/>
    <w:rsid w:val="002E0BD2"/>
    <w:rsid w:val="002E0CF8"/>
    <w:rsid w:val="002E0DE9"/>
    <w:rsid w:val="002E0DFA"/>
    <w:rsid w:val="002E0F8F"/>
    <w:rsid w:val="002E1017"/>
    <w:rsid w:val="002E1564"/>
    <w:rsid w:val="002E1764"/>
    <w:rsid w:val="002E19B5"/>
    <w:rsid w:val="002E1ADF"/>
    <w:rsid w:val="002E1AF5"/>
    <w:rsid w:val="002E1B2D"/>
    <w:rsid w:val="002E1B9A"/>
    <w:rsid w:val="002E1B9F"/>
    <w:rsid w:val="002E1C66"/>
    <w:rsid w:val="002E1D5C"/>
    <w:rsid w:val="002E1E3F"/>
    <w:rsid w:val="002E2025"/>
    <w:rsid w:val="002E20EE"/>
    <w:rsid w:val="002E2117"/>
    <w:rsid w:val="002E226A"/>
    <w:rsid w:val="002E2282"/>
    <w:rsid w:val="002E22E7"/>
    <w:rsid w:val="002E23CD"/>
    <w:rsid w:val="002E25F6"/>
    <w:rsid w:val="002E2821"/>
    <w:rsid w:val="002E2826"/>
    <w:rsid w:val="002E2935"/>
    <w:rsid w:val="002E2998"/>
    <w:rsid w:val="002E29A2"/>
    <w:rsid w:val="002E2ADE"/>
    <w:rsid w:val="002E2B51"/>
    <w:rsid w:val="002E2D06"/>
    <w:rsid w:val="002E2DAB"/>
    <w:rsid w:val="002E2DED"/>
    <w:rsid w:val="002E2E0B"/>
    <w:rsid w:val="002E32E1"/>
    <w:rsid w:val="002E3324"/>
    <w:rsid w:val="002E33B9"/>
    <w:rsid w:val="002E351F"/>
    <w:rsid w:val="002E35D3"/>
    <w:rsid w:val="002E35E9"/>
    <w:rsid w:val="002E363E"/>
    <w:rsid w:val="002E3747"/>
    <w:rsid w:val="002E37A8"/>
    <w:rsid w:val="002E3821"/>
    <w:rsid w:val="002E3845"/>
    <w:rsid w:val="002E3A6B"/>
    <w:rsid w:val="002E3AD2"/>
    <w:rsid w:val="002E3C9B"/>
    <w:rsid w:val="002E3D0A"/>
    <w:rsid w:val="002E3D95"/>
    <w:rsid w:val="002E3E39"/>
    <w:rsid w:val="002E3F80"/>
    <w:rsid w:val="002E4290"/>
    <w:rsid w:val="002E433D"/>
    <w:rsid w:val="002E46E5"/>
    <w:rsid w:val="002E481F"/>
    <w:rsid w:val="002E4853"/>
    <w:rsid w:val="002E4A14"/>
    <w:rsid w:val="002E4C43"/>
    <w:rsid w:val="002E4CA5"/>
    <w:rsid w:val="002E4D94"/>
    <w:rsid w:val="002E4E55"/>
    <w:rsid w:val="002E500F"/>
    <w:rsid w:val="002E523C"/>
    <w:rsid w:val="002E5330"/>
    <w:rsid w:val="002E5358"/>
    <w:rsid w:val="002E5377"/>
    <w:rsid w:val="002E542B"/>
    <w:rsid w:val="002E54AD"/>
    <w:rsid w:val="002E5503"/>
    <w:rsid w:val="002E590A"/>
    <w:rsid w:val="002E5932"/>
    <w:rsid w:val="002E5B73"/>
    <w:rsid w:val="002E5C3B"/>
    <w:rsid w:val="002E5CB7"/>
    <w:rsid w:val="002E6122"/>
    <w:rsid w:val="002E6247"/>
    <w:rsid w:val="002E62F2"/>
    <w:rsid w:val="002E637A"/>
    <w:rsid w:val="002E643C"/>
    <w:rsid w:val="002E6581"/>
    <w:rsid w:val="002E659C"/>
    <w:rsid w:val="002E65E4"/>
    <w:rsid w:val="002E66D1"/>
    <w:rsid w:val="002E6757"/>
    <w:rsid w:val="002E676E"/>
    <w:rsid w:val="002E6A4F"/>
    <w:rsid w:val="002E6A62"/>
    <w:rsid w:val="002E6A99"/>
    <w:rsid w:val="002E6B3E"/>
    <w:rsid w:val="002E6B6E"/>
    <w:rsid w:val="002E6BA3"/>
    <w:rsid w:val="002E6C7A"/>
    <w:rsid w:val="002E6D9B"/>
    <w:rsid w:val="002E6F49"/>
    <w:rsid w:val="002E7179"/>
    <w:rsid w:val="002E717E"/>
    <w:rsid w:val="002E71D0"/>
    <w:rsid w:val="002E7279"/>
    <w:rsid w:val="002E73B9"/>
    <w:rsid w:val="002E7821"/>
    <w:rsid w:val="002E78D1"/>
    <w:rsid w:val="002E78F8"/>
    <w:rsid w:val="002E7FB0"/>
    <w:rsid w:val="002F00D4"/>
    <w:rsid w:val="002F00EA"/>
    <w:rsid w:val="002F00F7"/>
    <w:rsid w:val="002F0194"/>
    <w:rsid w:val="002F01F3"/>
    <w:rsid w:val="002F0286"/>
    <w:rsid w:val="002F03E8"/>
    <w:rsid w:val="002F0403"/>
    <w:rsid w:val="002F04C4"/>
    <w:rsid w:val="002F04C7"/>
    <w:rsid w:val="002F061B"/>
    <w:rsid w:val="002F08ED"/>
    <w:rsid w:val="002F0A9B"/>
    <w:rsid w:val="002F0B40"/>
    <w:rsid w:val="002F0BD7"/>
    <w:rsid w:val="002F0DA8"/>
    <w:rsid w:val="002F0F30"/>
    <w:rsid w:val="002F0F92"/>
    <w:rsid w:val="002F105E"/>
    <w:rsid w:val="002F105F"/>
    <w:rsid w:val="002F122C"/>
    <w:rsid w:val="002F1351"/>
    <w:rsid w:val="002F14FE"/>
    <w:rsid w:val="002F1753"/>
    <w:rsid w:val="002F18C6"/>
    <w:rsid w:val="002F18C9"/>
    <w:rsid w:val="002F197A"/>
    <w:rsid w:val="002F1BE2"/>
    <w:rsid w:val="002F1CCD"/>
    <w:rsid w:val="002F1FFE"/>
    <w:rsid w:val="002F2154"/>
    <w:rsid w:val="002F223C"/>
    <w:rsid w:val="002F22D7"/>
    <w:rsid w:val="002F2407"/>
    <w:rsid w:val="002F25BD"/>
    <w:rsid w:val="002F2603"/>
    <w:rsid w:val="002F2690"/>
    <w:rsid w:val="002F280B"/>
    <w:rsid w:val="002F28C1"/>
    <w:rsid w:val="002F2995"/>
    <w:rsid w:val="002F29A4"/>
    <w:rsid w:val="002F2A12"/>
    <w:rsid w:val="002F2DC2"/>
    <w:rsid w:val="002F2DDD"/>
    <w:rsid w:val="002F2F0E"/>
    <w:rsid w:val="002F2FEB"/>
    <w:rsid w:val="002F3228"/>
    <w:rsid w:val="002F32BB"/>
    <w:rsid w:val="002F3390"/>
    <w:rsid w:val="002F339F"/>
    <w:rsid w:val="002F33FF"/>
    <w:rsid w:val="002F351E"/>
    <w:rsid w:val="002F3571"/>
    <w:rsid w:val="002F358E"/>
    <w:rsid w:val="002F366F"/>
    <w:rsid w:val="002F3705"/>
    <w:rsid w:val="002F3798"/>
    <w:rsid w:val="002F3A31"/>
    <w:rsid w:val="002F3ADD"/>
    <w:rsid w:val="002F3B56"/>
    <w:rsid w:val="002F3C2B"/>
    <w:rsid w:val="002F3D73"/>
    <w:rsid w:val="002F3DAA"/>
    <w:rsid w:val="002F3EDB"/>
    <w:rsid w:val="002F3EEE"/>
    <w:rsid w:val="002F3F61"/>
    <w:rsid w:val="002F40C2"/>
    <w:rsid w:val="002F418E"/>
    <w:rsid w:val="002F41DF"/>
    <w:rsid w:val="002F4309"/>
    <w:rsid w:val="002F431B"/>
    <w:rsid w:val="002F43E9"/>
    <w:rsid w:val="002F43F1"/>
    <w:rsid w:val="002F4461"/>
    <w:rsid w:val="002F44BF"/>
    <w:rsid w:val="002F44D2"/>
    <w:rsid w:val="002F4533"/>
    <w:rsid w:val="002F4581"/>
    <w:rsid w:val="002F45F7"/>
    <w:rsid w:val="002F463A"/>
    <w:rsid w:val="002F4676"/>
    <w:rsid w:val="002F467E"/>
    <w:rsid w:val="002F46BE"/>
    <w:rsid w:val="002F4730"/>
    <w:rsid w:val="002F4794"/>
    <w:rsid w:val="002F47D8"/>
    <w:rsid w:val="002F4984"/>
    <w:rsid w:val="002F4A18"/>
    <w:rsid w:val="002F4E4E"/>
    <w:rsid w:val="002F503B"/>
    <w:rsid w:val="002F5082"/>
    <w:rsid w:val="002F50BB"/>
    <w:rsid w:val="002F5230"/>
    <w:rsid w:val="002F54C3"/>
    <w:rsid w:val="002F569A"/>
    <w:rsid w:val="002F56C6"/>
    <w:rsid w:val="002F5723"/>
    <w:rsid w:val="002F5870"/>
    <w:rsid w:val="002F5B54"/>
    <w:rsid w:val="002F5B5D"/>
    <w:rsid w:val="002F5C6D"/>
    <w:rsid w:val="002F5D16"/>
    <w:rsid w:val="002F5DED"/>
    <w:rsid w:val="002F5E56"/>
    <w:rsid w:val="002F5F50"/>
    <w:rsid w:val="002F6061"/>
    <w:rsid w:val="002F64FF"/>
    <w:rsid w:val="002F65DA"/>
    <w:rsid w:val="002F65DB"/>
    <w:rsid w:val="002F66B1"/>
    <w:rsid w:val="002F68AC"/>
    <w:rsid w:val="002F6A3B"/>
    <w:rsid w:val="002F6AE0"/>
    <w:rsid w:val="002F6C7D"/>
    <w:rsid w:val="002F6EB3"/>
    <w:rsid w:val="002F721E"/>
    <w:rsid w:val="002F734A"/>
    <w:rsid w:val="002F74C0"/>
    <w:rsid w:val="002F74C9"/>
    <w:rsid w:val="002F74CE"/>
    <w:rsid w:val="002F7629"/>
    <w:rsid w:val="002F7686"/>
    <w:rsid w:val="002F77CB"/>
    <w:rsid w:val="002F79F2"/>
    <w:rsid w:val="002F7B4A"/>
    <w:rsid w:val="002F7B80"/>
    <w:rsid w:val="002F7C40"/>
    <w:rsid w:val="002F7ECF"/>
    <w:rsid w:val="0030004C"/>
    <w:rsid w:val="0030005A"/>
    <w:rsid w:val="003001F0"/>
    <w:rsid w:val="003001FB"/>
    <w:rsid w:val="0030027B"/>
    <w:rsid w:val="00300298"/>
    <w:rsid w:val="003003D6"/>
    <w:rsid w:val="003004E3"/>
    <w:rsid w:val="00300584"/>
    <w:rsid w:val="0030061D"/>
    <w:rsid w:val="003007F6"/>
    <w:rsid w:val="00300806"/>
    <w:rsid w:val="00300A28"/>
    <w:rsid w:val="00300AA4"/>
    <w:rsid w:val="00300C08"/>
    <w:rsid w:val="00300C1C"/>
    <w:rsid w:val="00300D85"/>
    <w:rsid w:val="00300E4D"/>
    <w:rsid w:val="00300EFF"/>
    <w:rsid w:val="00301406"/>
    <w:rsid w:val="00301773"/>
    <w:rsid w:val="00301894"/>
    <w:rsid w:val="00301998"/>
    <w:rsid w:val="00301ABF"/>
    <w:rsid w:val="00301AE7"/>
    <w:rsid w:val="00301D17"/>
    <w:rsid w:val="00301D4F"/>
    <w:rsid w:val="00301DBC"/>
    <w:rsid w:val="00301E7C"/>
    <w:rsid w:val="00301FB4"/>
    <w:rsid w:val="00302265"/>
    <w:rsid w:val="00302414"/>
    <w:rsid w:val="00302496"/>
    <w:rsid w:val="003025E8"/>
    <w:rsid w:val="00302891"/>
    <w:rsid w:val="003029A9"/>
    <w:rsid w:val="003029F9"/>
    <w:rsid w:val="00302A29"/>
    <w:rsid w:val="00302B29"/>
    <w:rsid w:val="00302F84"/>
    <w:rsid w:val="00302F92"/>
    <w:rsid w:val="00302FAF"/>
    <w:rsid w:val="00302FDF"/>
    <w:rsid w:val="00302FF1"/>
    <w:rsid w:val="0030329C"/>
    <w:rsid w:val="003032C2"/>
    <w:rsid w:val="0030330B"/>
    <w:rsid w:val="0030354D"/>
    <w:rsid w:val="0030359B"/>
    <w:rsid w:val="003035C4"/>
    <w:rsid w:val="003036F0"/>
    <w:rsid w:val="0030372B"/>
    <w:rsid w:val="00303842"/>
    <w:rsid w:val="00303D4B"/>
    <w:rsid w:val="00303D6B"/>
    <w:rsid w:val="00303EA0"/>
    <w:rsid w:val="00303EC5"/>
    <w:rsid w:val="00303F48"/>
    <w:rsid w:val="0030407E"/>
    <w:rsid w:val="003040B9"/>
    <w:rsid w:val="0030410F"/>
    <w:rsid w:val="003041AD"/>
    <w:rsid w:val="0030447C"/>
    <w:rsid w:val="003044FE"/>
    <w:rsid w:val="0030450F"/>
    <w:rsid w:val="00304590"/>
    <w:rsid w:val="00304604"/>
    <w:rsid w:val="00304759"/>
    <w:rsid w:val="00304896"/>
    <w:rsid w:val="003048AF"/>
    <w:rsid w:val="00304A51"/>
    <w:rsid w:val="00304ACB"/>
    <w:rsid w:val="00304B42"/>
    <w:rsid w:val="00304C4F"/>
    <w:rsid w:val="00304E4B"/>
    <w:rsid w:val="00305008"/>
    <w:rsid w:val="00305025"/>
    <w:rsid w:val="0030507B"/>
    <w:rsid w:val="0030514C"/>
    <w:rsid w:val="003051B7"/>
    <w:rsid w:val="0030520F"/>
    <w:rsid w:val="003052A0"/>
    <w:rsid w:val="0030534E"/>
    <w:rsid w:val="00305458"/>
    <w:rsid w:val="0030550E"/>
    <w:rsid w:val="00305537"/>
    <w:rsid w:val="00305773"/>
    <w:rsid w:val="003057E7"/>
    <w:rsid w:val="003057F9"/>
    <w:rsid w:val="00305A9F"/>
    <w:rsid w:val="00305BD0"/>
    <w:rsid w:val="00305C33"/>
    <w:rsid w:val="00305D00"/>
    <w:rsid w:val="00305E31"/>
    <w:rsid w:val="00305F23"/>
    <w:rsid w:val="00305F44"/>
    <w:rsid w:val="00305F59"/>
    <w:rsid w:val="0030641E"/>
    <w:rsid w:val="00306461"/>
    <w:rsid w:val="003067BE"/>
    <w:rsid w:val="00306B5D"/>
    <w:rsid w:val="00306C99"/>
    <w:rsid w:val="00306D05"/>
    <w:rsid w:val="00306DAC"/>
    <w:rsid w:val="00306E7B"/>
    <w:rsid w:val="00306F4E"/>
    <w:rsid w:val="00307178"/>
    <w:rsid w:val="003072F4"/>
    <w:rsid w:val="00307300"/>
    <w:rsid w:val="00307309"/>
    <w:rsid w:val="00307351"/>
    <w:rsid w:val="003073E9"/>
    <w:rsid w:val="003074A0"/>
    <w:rsid w:val="00307534"/>
    <w:rsid w:val="0030757B"/>
    <w:rsid w:val="003075EF"/>
    <w:rsid w:val="003077C6"/>
    <w:rsid w:val="00307881"/>
    <w:rsid w:val="00307959"/>
    <w:rsid w:val="0030798C"/>
    <w:rsid w:val="003079F0"/>
    <w:rsid w:val="003079F9"/>
    <w:rsid w:val="00307C45"/>
    <w:rsid w:val="00307EB0"/>
    <w:rsid w:val="00307FEA"/>
    <w:rsid w:val="00310114"/>
    <w:rsid w:val="003101BF"/>
    <w:rsid w:val="00310214"/>
    <w:rsid w:val="0031030F"/>
    <w:rsid w:val="00310376"/>
    <w:rsid w:val="00310503"/>
    <w:rsid w:val="0031059F"/>
    <w:rsid w:val="003105FF"/>
    <w:rsid w:val="00310637"/>
    <w:rsid w:val="003106A3"/>
    <w:rsid w:val="003106AB"/>
    <w:rsid w:val="00310C09"/>
    <w:rsid w:val="00310D8D"/>
    <w:rsid w:val="00310DF4"/>
    <w:rsid w:val="003111B4"/>
    <w:rsid w:val="00311352"/>
    <w:rsid w:val="00311446"/>
    <w:rsid w:val="0031144E"/>
    <w:rsid w:val="003116AD"/>
    <w:rsid w:val="00311774"/>
    <w:rsid w:val="003118D5"/>
    <w:rsid w:val="00311A0D"/>
    <w:rsid w:val="00311AA6"/>
    <w:rsid w:val="00311B86"/>
    <w:rsid w:val="00311B8A"/>
    <w:rsid w:val="00311C8E"/>
    <w:rsid w:val="00311E1B"/>
    <w:rsid w:val="00312118"/>
    <w:rsid w:val="003121C1"/>
    <w:rsid w:val="00312344"/>
    <w:rsid w:val="0031239C"/>
    <w:rsid w:val="003123CA"/>
    <w:rsid w:val="003126A0"/>
    <w:rsid w:val="003126AB"/>
    <w:rsid w:val="0031270F"/>
    <w:rsid w:val="003128B7"/>
    <w:rsid w:val="00312992"/>
    <w:rsid w:val="00312AD8"/>
    <w:rsid w:val="00313118"/>
    <w:rsid w:val="00313179"/>
    <w:rsid w:val="00313251"/>
    <w:rsid w:val="0031345E"/>
    <w:rsid w:val="0031352C"/>
    <w:rsid w:val="0031353E"/>
    <w:rsid w:val="0031370E"/>
    <w:rsid w:val="00313809"/>
    <w:rsid w:val="00313A2C"/>
    <w:rsid w:val="00313A7D"/>
    <w:rsid w:val="00313B29"/>
    <w:rsid w:val="00313CDD"/>
    <w:rsid w:val="00313FE7"/>
    <w:rsid w:val="00313FF5"/>
    <w:rsid w:val="00314056"/>
    <w:rsid w:val="00314118"/>
    <w:rsid w:val="003141DF"/>
    <w:rsid w:val="00314219"/>
    <w:rsid w:val="00314347"/>
    <w:rsid w:val="0031434C"/>
    <w:rsid w:val="00314596"/>
    <w:rsid w:val="003145B3"/>
    <w:rsid w:val="003145FA"/>
    <w:rsid w:val="0031461B"/>
    <w:rsid w:val="00314670"/>
    <w:rsid w:val="003146B3"/>
    <w:rsid w:val="003146F9"/>
    <w:rsid w:val="0031479E"/>
    <w:rsid w:val="00314A93"/>
    <w:rsid w:val="00314BA9"/>
    <w:rsid w:val="00314BD9"/>
    <w:rsid w:val="00314CC6"/>
    <w:rsid w:val="00314E95"/>
    <w:rsid w:val="00314EA0"/>
    <w:rsid w:val="00314F18"/>
    <w:rsid w:val="00314F7C"/>
    <w:rsid w:val="00315006"/>
    <w:rsid w:val="00315147"/>
    <w:rsid w:val="00315167"/>
    <w:rsid w:val="003151A9"/>
    <w:rsid w:val="00315241"/>
    <w:rsid w:val="003152E0"/>
    <w:rsid w:val="00315356"/>
    <w:rsid w:val="0031544B"/>
    <w:rsid w:val="00315638"/>
    <w:rsid w:val="003156BD"/>
    <w:rsid w:val="0031573B"/>
    <w:rsid w:val="003157EB"/>
    <w:rsid w:val="0031584D"/>
    <w:rsid w:val="003158C5"/>
    <w:rsid w:val="00315B4D"/>
    <w:rsid w:val="00315DD5"/>
    <w:rsid w:val="00315E40"/>
    <w:rsid w:val="00315F1E"/>
    <w:rsid w:val="00315F78"/>
    <w:rsid w:val="00315F88"/>
    <w:rsid w:val="00315FB5"/>
    <w:rsid w:val="00316154"/>
    <w:rsid w:val="003162D7"/>
    <w:rsid w:val="00316438"/>
    <w:rsid w:val="00316489"/>
    <w:rsid w:val="0031673D"/>
    <w:rsid w:val="0031682B"/>
    <w:rsid w:val="00316918"/>
    <w:rsid w:val="00316943"/>
    <w:rsid w:val="0031698F"/>
    <w:rsid w:val="00316D62"/>
    <w:rsid w:val="00316DF8"/>
    <w:rsid w:val="00316E4F"/>
    <w:rsid w:val="00316EDA"/>
    <w:rsid w:val="003170C3"/>
    <w:rsid w:val="00317175"/>
    <w:rsid w:val="00317198"/>
    <w:rsid w:val="003173E1"/>
    <w:rsid w:val="003173F3"/>
    <w:rsid w:val="00317437"/>
    <w:rsid w:val="0031748D"/>
    <w:rsid w:val="003174C3"/>
    <w:rsid w:val="00317601"/>
    <w:rsid w:val="003176E0"/>
    <w:rsid w:val="003177FA"/>
    <w:rsid w:val="00317806"/>
    <w:rsid w:val="003178BB"/>
    <w:rsid w:val="00317B3C"/>
    <w:rsid w:val="00317B7F"/>
    <w:rsid w:val="00317BDD"/>
    <w:rsid w:val="00317C37"/>
    <w:rsid w:val="00317D7C"/>
    <w:rsid w:val="00317EA0"/>
    <w:rsid w:val="00317EDC"/>
    <w:rsid w:val="00317FB1"/>
    <w:rsid w:val="00320283"/>
    <w:rsid w:val="0032042E"/>
    <w:rsid w:val="003204A0"/>
    <w:rsid w:val="003204C0"/>
    <w:rsid w:val="00320542"/>
    <w:rsid w:val="00320558"/>
    <w:rsid w:val="0032091A"/>
    <w:rsid w:val="00320943"/>
    <w:rsid w:val="00320A0E"/>
    <w:rsid w:val="00320A42"/>
    <w:rsid w:val="00320AC0"/>
    <w:rsid w:val="00320D77"/>
    <w:rsid w:val="00320E7F"/>
    <w:rsid w:val="00320F3B"/>
    <w:rsid w:val="003211BE"/>
    <w:rsid w:val="0032124B"/>
    <w:rsid w:val="00321258"/>
    <w:rsid w:val="003212C9"/>
    <w:rsid w:val="003212FA"/>
    <w:rsid w:val="00321384"/>
    <w:rsid w:val="003214E0"/>
    <w:rsid w:val="0032169E"/>
    <w:rsid w:val="003216E9"/>
    <w:rsid w:val="0032191D"/>
    <w:rsid w:val="00321B78"/>
    <w:rsid w:val="00321BA6"/>
    <w:rsid w:val="00321BEC"/>
    <w:rsid w:val="00321BF6"/>
    <w:rsid w:val="00321C01"/>
    <w:rsid w:val="00321C52"/>
    <w:rsid w:val="00321D28"/>
    <w:rsid w:val="00321D5C"/>
    <w:rsid w:val="00321E27"/>
    <w:rsid w:val="00321E2E"/>
    <w:rsid w:val="00321FBC"/>
    <w:rsid w:val="0032202E"/>
    <w:rsid w:val="0032215B"/>
    <w:rsid w:val="003221F9"/>
    <w:rsid w:val="003222C7"/>
    <w:rsid w:val="00322370"/>
    <w:rsid w:val="0032245F"/>
    <w:rsid w:val="00322623"/>
    <w:rsid w:val="00322763"/>
    <w:rsid w:val="00322990"/>
    <w:rsid w:val="003229C5"/>
    <w:rsid w:val="00322B61"/>
    <w:rsid w:val="00322D90"/>
    <w:rsid w:val="00322ECE"/>
    <w:rsid w:val="00322F06"/>
    <w:rsid w:val="00323055"/>
    <w:rsid w:val="0032305E"/>
    <w:rsid w:val="003230B7"/>
    <w:rsid w:val="00323276"/>
    <w:rsid w:val="00323422"/>
    <w:rsid w:val="00323561"/>
    <w:rsid w:val="003235A2"/>
    <w:rsid w:val="00323631"/>
    <w:rsid w:val="00323835"/>
    <w:rsid w:val="00323AC4"/>
    <w:rsid w:val="00323B24"/>
    <w:rsid w:val="00323CB2"/>
    <w:rsid w:val="00323DDB"/>
    <w:rsid w:val="00323F7B"/>
    <w:rsid w:val="00323FDF"/>
    <w:rsid w:val="00324162"/>
    <w:rsid w:val="0032427A"/>
    <w:rsid w:val="00324303"/>
    <w:rsid w:val="00324354"/>
    <w:rsid w:val="00324620"/>
    <w:rsid w:val="00324788"/>
    <w:rsid w:val="0032495F"/>
    <w:rsid w:val="00324BD2"/>
    <w:rsid w:val="00324D15"/>
    <w:rsid w:val="00325013"/>
    <w:rsid w:val="003255D3"/>
    <w:rsid w:val="003256DE"/>
    <w:rsid w:val="00325771"/>
    <w:rsid w:val="003258C0"/>
    <w:rsid w:val="00325962"/>
    <w:rsid w:val="00325AA0"/>
    <w:rsid w:val="00325B1B"/>
    <w:rsid w:val="00325BAF"/>
    <w:rsid w:val="00325D18"/>
    <w:rsid w:val="00325D19"/>
    <w:rsid w:val="00325D69"/>
    <w:rsid w:val="00325E94"/>
    <w:rsid w:val="00325F70"/>
    <w:rsid w:val="00326081"/>
    <w:rsid w:val="003260FA"/>
    <w:rsid w:val="0032627A"/>
    <w:rsid w:val="00326293"/>
    <w:rsid w:val="003262E7"/>
    <w:rsid w:val="00326316"/>
    <w:rsid w:val="00326610"/>
    <w:rsid w:val="0032663A"/>
    <w:rsid w:val="00326645"/>
    <w:rsid w:val="003266AE"/>
    <w:rsid w:val="003266C6"/>
    <w:rsid w:val="003268EE"/>
    <w:rsid w:val="00326C8B"/>
    <w:rsid w:val="00326D81"/>
    <w:rsid w:val="00326DDE"/>
    <w:rsid w:val="00326FB7"/>
    <w:rsid w:val="00327010"/>
    <w:rsid w:val="003271A9"/>
    <w:rsid w:val="0032726D"/>
    <w:rsid w:val="003275A6"/>
    <w:rsid w:val="00327601"/>
    <w:rsid w:val="0032765B"/>
    <w:rsid w:val="00327972"/>
    <w:rsid w:val="00327B8B"/>
    <w:rsid w:val="00327C9E"/>
    <w:rsid w:val="00327CF6"/>
    <w:rsid w:val="00330021"/>
    <w:rsid w:val="00330095"/>
    <w:rsid w:val="003300B2"/>
    <w:rsid w:val="0033011D"/>
    <w:rsid w:val="003302F7"/>
    <w:rsid w:val="00330392"/>
    <w:rsid w:val="0033039C"/>
    <w:rsid w:val="0033040A"/>
    <w:rsid w:val="00330475"/>
    <w:rsid w:val="00330615"/>
    <w:rsid w:val="0033084D"/>
    <w:rsid w:val="00330867"/>
    <w:rsid w:val="003309FC"/>
    <w:rsid w:val="00330A5B"/>
    <w:rsid w:val="00330AB1"/>
    <w:rsid w:val="00330BBA"/>
    <w:rsid w:val="00330C3D"/>
    <w:rsid w:val="00330E5F"/>
    <w:rsid w:val="00330F50"/>
    <w:rsid w:val="003310B2"/>
    <w:rsid w:val="00331202"/>
    <w:rsid w:val="00331228"/>
    <w:rsid w:val="003313BF"/>
    <w:rsid w:val="003314DC"/>
    <w:rsid w:val="003314DF"/>
    <w:rsid w:val="003314FC"/>
    <w:rsid w:val="0033167E"/>
    <w:rsid w:val="003316D6"/>
    <w:rsid w:val="00331894"/>
    <w:rsid w:val="00331B54"/>
    <w:rsid w:val="00331BB3"/>
    <w:rsid w:val="00331D55"/>
    <w:rsid w:val="0033242D"/>
    <w:rsid w:val="0033251C"/>
    <w:rsid w:val="003325BA"/>
    <w:rsid w:val="00332616"/>
    <w:rsid w:val="0033292F"/>
    <w:rsid w:val="003329AA"/>
    <w:rsid w:val="00332C1D"/>
    <w:rsid w:val="00332D63"/>
    <w:rsid w:val="00332E66"/>
    <w:rsid w:val="00332EC0"/>
    <w:rsid w:val="003330F2"/>
    <w:rsid w:val="0033321C"/>
    <w:rsid w:val="00333286"/>
    <w:rsid w:val="00333358"/>
    <w:rsid w:val="0033344E"/>
    <w:rsid w:val="003336D0"/>
    <w:rsid w:val="00333716"/>
    <w:rsid w:val="00333855"/>
    <w:rsid w:val="003338FC"/>
    <w:rsid w:val="003339AB"/>
    <w:rsid w:val="00333AFE"/>
    <w:rsid w:val="00333B5A"/>
    <w:rsid w:val="00333B82"/>
    <w:rsid w:val="00333D8D"/>
    <w:rsid w:val="00333E36"/>
    <w:rsid w:val="00333EB2"/>
    <w:rsid w:val="00334000"/>
    <w:rsid w:val="0033403E"/>
    <w:rsid w:val="00334044"/>
    <w:rsid w:val="003340E7"/>
    <w:rsid w:val="00334453"/>
    <w:rsid w:val="00334462"/>
    <w:rsid w:val="0033457A"/>
    <w:rsid w:val="00334622"/>
    <w:rsid w:val="00334740"/>
    <w:rsid w:val="00334931"/>
    <w:rsid w:val="00334A90"/>
    <w:rsid w:val="00334B3A"/>
    <w:rsid w:val="00334D00"/>
    <w:rsid w:val="00334D11"/>
    <w:rsid w:val="00334DF9"/>
    <w:rsid w:val="00334E98"/>
    <w:rsid w:val="00334EAD"/>
    <w:rsid w:val="00334ED6"/>
    <w:rsid w:val="00334F09"/>
    <w:rsid w:val="00334F11"/>
    <w:rsid w:val="00334F87"/>
    <w:rsid w:val="003350AC"/>
    <w:rsid w:val="003350DF"/>
    <w:rsid w:val="003350E9"/>
    <w:rsid w:val="003351DA"/>
    <w:rsid w:val="00335289"/>
    <w:rsid w:val="003352B1"/>
    <w:rsid w:val="00335538"/>
    <w:rsid w:val="003355C6"/>
    <w:rsid w:val="0033562A"/>
    <w:rsid w:val="00335708"/>
    <w:rsid w:val="00335757"/>
    <w:rsid w:val="00335799"/>
    <w:rsid w:val="00335827"/>
    <w:rsid w:val="003359CA"/>
    <w:rsid w:val="003359FC"/>
    <w:rsid w:val="00335BCA"/>
    <w:rsid w:val="00335BFF"/>
    <w:rsid w:val="00335C60"/>
    <w:rsid w:val="00335D22"/>
    <w:rsid w:val="00335DB5"/>
    <w:rsid w:val="00335E2A"/>
    <w:rsid w:val="00335E4E"/>
    <w:rsid w:val="00335EC4"/>
    <w:rsid w:val="00335FF4"/>
    <w:rsid w:val="00336027"/>
    <w:rsid w:val="00336072"/>
    <w:rsid w:val="003360EE"/>
    <w:rsid w:val="00336210"/>
    <w:rsid w:val="0033627D"/>
    <w:rsid w:val="003363FB"/>
    <w:rsid w:val="00336483"/>
    <w:rsid w:val="003364E1"/>
    <w:rsid w:val="00336993"/>
    <w:rsid w:val="00336A86"/>
    <w:rsid w:val="00336B18"/>
    <w:rsid w:val="00336C15"/>
    <w:rsid w:val="00336EB3"/>
    <w:rsid w:val="0033711C"/>
    <w:rsid w:val="003373FC"/>
    <w:rsid w:val="003374B1"/>
    <w:rsid w:val="00337594"/>
    <w:rsid w:val="003375B5"/>
    <w:rsid w:val="003375F6"/>
    <w:rsid w:val="003377DF"/>
    <w:rsid w:val="003378FB"/>
    <w:rsid w:val="0033793D"/>
    <w:rsid w:val="00337A5F"/>
    <w:rsid w:val="00337AD6"/>
    <w:rsid w:val="00337DA7"/>
    <w:rsid w:val="00337DF0"/>
    <w:rsid w:val="00337E95"/>
    <w:rsid w:val="003402C6"/>
    <w:rsid w:val="00340458"/>
    <w:rsid w:val="003407F4"/>
    <w:rsid w:val="00340AE6"/>
    <w:rsid w:val="00340CBE"/>
    <w:rsid w:val="00340EA3"/>
    <w:rsid w:val="00340ED8"/>
    <w:rsid w:val="00341224"/>
    <w:rsid w:val="00341586"/>
    <w:rsid w:val="003415FC"/>
    <w:rsid w:val="00341611"/>
    <w:rsid w:val="00341614"/>
    <w:rsid w:val="0034163E"/>
    <w:rsid w:val="003416B0"/>
    <w:rsid w:val="0034187A"/>
    <w:rsid w:val="003419A3"/>
    <w:rsid w:val="003419F8"/>
    <w:rsid w:val="00341A0F"/>
    <w:rsid w:val="00341BC2"/>
    <w:rsid w:val="00341DCD"/>
    <w:rsid w:val="00341E2B"/>
    <w:rsid w:val="00341F10"/>
    <w:rsid w:val="0034203B"/>
    <w:rsid w:val="0034221E"/>
    <w:rsid w:val="003422FA"/>
    <w:rsid w:val="003423B5"/>
    <w:rsid w:val="003423E6"/>
    <w:rsid w:val="0034264B"/>
    <w:rsid w:val="00342839"/>
    <w:rsid w:val="00342965"/>
    <w:rsid w:val="00342A13"/>
    <w:rsid w:val="00342AC6"/>
    <w:rsid w:val="00342B02"/>
    <w:rsid w:val="00342C3B"/>
    <w:rsid w:val="00342DC3"/>
    <w:rsid w:val="00342E2F"/>
    <w:rsid w:val="00343034"/>
    <w:rsid w:val="0034314B"/>
    <w:rsid w:val="00343451"/>
    <w:rsid w:val="003434EE"/>
    <w:rsid w:val="00343946"/>
    <w:rsid w:val="00343A36"/>
    <w:rsid w:val="00343A80"/>
    <w:rsid w:val="00343CF4"/>
    <w:rsid w:val="00343DB6"/>
    <w:rsid w:val="00343E72"/>
    <w:rsid w:val="00343ECF"/>
    <w:rsid w:val="00343F78"/>
    <w:rsid w:val="00343FC6"/>
    <w:rsid w:val="00344164"/>
    <w:rsid w:val="003441E8"/>
    <w:rsid w:val="00344272"/>
    <w:rsid w:val="003442B5"/>
    <w:rsid w:val="003446A9"/>
    <w:rsid w:val="003446CF"/>
    <w:rsid w:val="0034475A"/>
    <w:rsid w:val="0034497F"/>
    <w:rsid w:val="00344C45"/>
    <w:rsid w:val="00344EF7"/>
    <w:rsid w:val="00344EFA"/>
    <w:rsid w:val="0034513B"/>
    <w:rsid w:val="00345255"/>
    <w:rsid w:val="00345368"/>
    <w:rsid w:val="003453D4"/>
    <w:rsid w:val="0034587A"/>
    <w:rsid w:val="00345B16"/>
    <w:rsid w:val="00345D02"/>
    <w:rsid w:val="00345D62"/>
    <w:rsid w:val="00345D97"/>
    <w:rsid w:val="00345DA9"/>
    <w:rsid w:val="00345DC3"/>
    <w:rsid w:val="00345E2F"/>
    <w:rsid w:val="00345ECA"/>
    <w:rsid w:val="00345FC8"/>
    <w:rsid w:val="003460DD"/>
    <w:rsid w:val="003460DF"/>
    <w:rsid w:val="003461B0"/>
    <w:rsid w:val="00346204"/>
    <w:rsid w:val="00346272"/>
    <w:rsid w:val="00346483"/>
    <w:rsid w:val="003464D0"/>
    <w:rsid w:val="00346691"/>
    <w:rsid w:val="003467E2"/>
    <w:rsid w:val="0034682B"/>
    <w:rsid w:val="00346830"/>
    <w:rsid w:val="003469FF"/>
    <w:rsid w:val="00346ACF"/>
    <w:rsid w:val="00346B06"/>
    <w:rsid w:val="00346B65"/>
    <w:rsid w:val="00346F39"/>
    <w:rsid w:val="00347103"/>
    <w:rsid w:val="003472BE"/>
    <w:rsid w:val="003475B5"/>
    <w:rsid w:val="003476E4"/>
    <w:rsid w:val="00347808"/>
    <w:rsid w:val="00347A5F"/>
    <w:rsid w:val="00347C0C"/>
    <w:rsid w:val="00347DB3"/>
    <w:rsid w:val="00347FA4"/>
    <w:rsid w:val="0035007F"/>
    <w:rsid w:val="003500B8"/>
    <w:rsid w:val="003503FC"/>
    <w:rsid w:val="00350575"/>
    <w:rsid w:val="003505BE"/>
    <w:rsid w:val="003505F2"/>
    <w:rsid w:val="00350749"/>
    <w:rsid w:val="0035078E"/>
    <w:rsid w:val="003507BD"/>
    <w:rsid w:val="00350933"/>
    <w:rsid w:val="00350AE5"/>
    <w:rsid w:val="00350B70"/>
    <w:rsid w:val="00350EDE"/>
    <w:rsid w:val="00350F31"/>
    <w:rsid w:val="00351182"/>
    <w:rsid w:val="003511EA"/>
    <w:rsid w:val="00351239"/>
    <w:rsid w:val="003512CB"/>
    <w:rsid w:val="003512F7"/>
    <w:rsid w:val="003517BA"/>
    <w:rsid w:val="003517E9"/>
    <w:rsid w:val="0035186D"/>
    <w:rsid w:val="003518ED"/>
    <w:rsid w:val="00351906"/>
    <w:rsid w:val="00351AFB"/>
    <w:rsid w:val="00351B8F"/>
    <w:rsid w:val="00351C40"/>
    <w:rsid w:val="00351D8F"/>
    <w:rsid w:val="00352060"/>
    <w:rsid w:val="00352113"/>
    <w:rsid w:val="003523B4"/>
    <w:rsid w:val="003524C3"/>
    <w:rsid w:val="003525FD"/>
    <w:rsid w:val="00352693"/>
    <w:rsid w:val="00352941"/>
    <w:rsid w:val="0035296F"/>
    <w:rsid w:val="00352A81"/>
    <w:rsid w:val="00352B8B"/>
    <w:rsid w:val="00352C4A"/>
    <w:rsid w:val="00352CDF"/>
    <w:rsid w:val="00352CEE"/>
    <w:rsid w:val="00352FC6"/>
    <w:rsid w:val="003530AC"/>
    <w:rsid w:val="003531B0"/>
    <w:rsid w:val="003532E3"/>
    <w:rsid w:val="00353336"/>
    <w:rsid w:val="003534CA"/>
    <w:rsid w:val="003537AE"/>
    <w:rsid w:val="00353834"/>
    <w:rsid w:val="00353B3A"/>
    <w:rsid w:val="00353B60"/>
    <w:rsid w:val="00353BDA"/>
    <w:rsid w:val="00353C24"/>
    <w:rsid w:val="00353E05"/>
    <w:rsid w:val="00353FAB"/>
    <w:rsid w:val="003540B7"/>
    <w:rsid w:val="003540CC"/>
    <w:rsid w:val="003540CE"/>
    <w:rsid w:val="0035448C"/>
    <w:rsid w:val="003544DD"/>
    <w:rsid w:val="003545A8"/>
    <w:rsid w:val="003545F9"/>
    <w:rsid w:val="00354699"/>
    <w:rsid w:val="00354931"/>
    <w:rsid w:val="00354A09"/>
    <w:rsid w:val="00354C26"/>
    <w:rsid w:val="00354C5C"/>
    <w:rsid w:val="00355059"/>
    <w:rsid w:val="0035521C"/>
    <w:rsid w:val="003553C0"/>
    <w:rsid w:val="003554A5"/>
    <w:rsid w:val="0035555E"/>
    <w:rsid w:val="003555A2"/>
    <w:rsid w:val="00355622"/>
    <w:rsid w:val="00355672"/>
    <w:rsid w:val="003556F1"/>
    <w:rsid w:val="003557D0"/>
    <w:rsid w:val="0035585A"/>
    <w:rsid w:val="0035596A"/>
    <w:rsid w:val="003559BB"/>
    <w:rsid w:val="00355A0B"/>
    <w:rsid w:val="00355C4F"/>
    <w:rsid w:val="00355D0F"/>
    <w:rsid w:val="00355D6C"/>
    <w:rsid w:val="00355D8B"/>
    <w:rsid w:val="00355F88"/>
    <w:rsid w:val="003560CC"/>
    <w:rsid w:val="00356172"/>
    <w:rsid w:val="0035636B"/>
    <w:rsid w:val="003564B8"/>
    <w:rsid w:val="003564E3"/>
    <w:rsid w:val="00356552"/>
    <w:rsid w:val="0035662C"/>
    <w:rsid w:val="003566BA"/>
    <w:rsid w:val="003567EA"/>
    <w:rsid w:val="00356849"/>
    <w:rsid w:val="00356878"/>
    <w:rsid w:val="00356CB9"/>
    <w:rsid w:val="00356F9B"/>
    <w:rsid w:val="0035726B"/>
    <w:rsid w:val="0035727E"/>
    <w:rsid w:val="00357618"/>
    <w:rsid w:val="00357885"/>
    <w:rsid w:val="003578F4"/>
    <w:rsid w:val="00357943"/>
    <w:rsid w:val="0035794A"/>
    <w:rsid w:val="003579A2"/>
    <w:rsid w:val="00357B29"/>
    <w:rsid w:val="00357C61"/>
    <w:rsid w:val="00357CEF"/>
    <w:rsid w:val="00357D74"/>
    <w:rsid w:val="00357D7C"/>
    <w:rsid w:val="00360052"/>
    <w:rsid w:val="003602A8"/>
    <w:rsid w:val="00360303"/>
    <w:rsid w:val="00360329"/>
    <w:rsid w:val="0036050E"/>
    <w:rsid w:val="0036061B"/>
    <w:rsid w:val="003606CE"/>
    <w:rsid w:val="0036093D"/>
    <w:rsid w:val="00360E43"/>
    <w:rsid w:val="00361118"/>
    <w:rsid w:val="00361280"/>
    <w:rsid w:val="003612EF"/>
    <w:rsid w:val="00361332"/>
    <w:rsid w:val="00361532"/>
    <w:rsid w:val="0036155B"/>
    <w:rsid w:val="00361611"/>
    <w:rsid w:val="003617F0"/>
    <w:rsid w:val="003619C0"/>
    <w:rsid w:val="00361ACF"/>
    <w:rsid w:val="00361C00"/>
    <w:rsid w:val="00361E0A"/>
    <w:rsid w:val="00361FD3"/>
    <w:rsid w:val="003621BA"/>
    <w:rsid w:val="003624B8"/>
    <w:rsid w:val="003627D8"/>
    <w:rsid w:val="003627F6"/>
    <w:rsid w:val="0036288F"/>
    <w:rsid w:val="003628C1"/>
    <w:rsid w:val="00362903"/>
    <w:rsid w:val="00362A49"/>
    <w:rsid w:val="00362ADA"/>
    <w:rsid w:val="00362FD8"/>
    <w:rsid w:val="003631E5"/>
    <w:rsid w:val="00363228"/>
    <w:rsid w:val="00363320"/>
    <w:rsid w:val="0036338E"/>
    <w:rsid w:val="003633B2"/>
    <w:rsid w:val="003633C5"/>
    <w:rsid w:val="003634F8"/>
    <w:rsid w:val="0036357A"/>
    <w:rsid w:val="0036361B"/>
    <w:rsid w:val="00363879"/>
    <w:rsid w:val="00363AA6"/>
    <w:rsid w:val="00363F5C"/>
    <w:rsid w:val="0036408B"/>
    <w:rsid w:val="0036411D"/>
    <w:rsid w:val="0036428D"/>
    <w:rsid w:val="0036436E"/>
    <w:rsid w:val="003644E5"/>
    <w:rsid w:val="00364681"/>
    <w:rsid w:val="003647DD"/>
    <w:rsid w:val="003647FB"/>
    <w:rsid w:val="003647FD"/>
    <w:rsid w:val="00364816"/>
    <w:rsid w:val="003648B1"/>
    <w:rsid w:val="00364ADF"/>
    <w:rsid w:val="00364C18"/>
    <w:rsid w:val="00364E97"/>
    <w:rsid w:val="00365003"/>
    <w:rsid w:val="003650CE"/>
    <w:rsid w:val="003650D4"/>
    <w:rsid w:val="00365234"/>
    <w:rsid w:val="0036527F"/>
    <w:rsid w:val="003655C0"/>
    <w:rsid w:val="00365620"/>
    <w:rsid w:val="003657E7"/>
    <w:rsid w:val="003657F9"/>
    <w:rsid w:val="00365A9F"/>
    <w:rsid w:val="00365B51"/>
    <w:rsid w:val="00365BD5"/>
    <w:rsid w:val="00365BDA"/>
    <w:rsid w:val="00365C54"/>
    <w:rsid w:val="00365DC0"/>
    <w:rsid w:val="00365DE8"/>
    <w:rsid w:val="00365E0A"/>
    <w:rsid w:val="00365E31"/>
    <w:rsid w:val="0036621A"/>
    <w:rsid w:val="003663C3"/>
    <w:rsid w:val="003663E9"/>
    <w:rsid w:val="00366483"/>
    <w:rsid w:val="00366A3B"/>
    <w:rsid w:val="00366E08"/>
    <w:rsid w:val="00366F5C"/>
    <w:rsid w:val="00367013"/>
    <w:rsid w:val="0036706D"/>
    <w:rsid w:val="0036713D"/>
    <w:rsid w:val="00367199"/>
    <w:rsid w:val="0036738C"/>
    <w:rsid w:val="00367436"/>
    <w:rsid w:val="00367603"/>
    <w:rsid w:val="00367649"/>
    <w:rsid w:val="003676B3"/>
    <w:rsid w:val="003676BA"/>
    <w:rsid w:val="003678F3"/>
    <w:rsid w:val="00367907"/>
    <w:rsid w:val="00367C60"/>
    <w:rsid w:val="00367DDE"/>
    <w:rsid w:val="003700B2"/>
    <w:rsid w:val="00370120"/>
    <w:rsid w:val="003705F5"/>
    <w:rsid w:val="003707CF"/>
    <w:rsid w:val="003709BF"/>
    <w:rsid w:val="00370D09"/>
    <w:rsid w:val="00370E10"/>
    <w:rsid w:val="003711F0"/>
    <w:rsid w:val="0037123C"/>
    <w:rsid w:val="0037146C"/>
    <w:rsid w:val="003714AF"/>
    <w:rsid w:val="003714BE"/>
    <w:rsid w:val="0037163C"/>
    <w:rsid w:val="0037176D"/>
    <w:rsid w:val="00371839"/>
    <w:rsid w:val="00371912"/>
    <w:rsid w:val="00371A03"/>
    <w:rsid w:val="00371C6F"/>
    <w:rsid w:val="00371CBB"/>
    <w:rsid w:val="00371EDB"/>
    <w:rsid w:val="00371EE9"/>
    <w:rsid w:val="00372073"/>
    <w:rsid w:val="00372089"/>
    <w:rsid w:val="00372148"/>
    <w:rsid w:val="00372163"/>
    <w:rsid w:val="00372213"/>
    <w:rsid w:val="00372372"/>
    <w:rsid w:val="00372414"/>
    <w:rsid w:val="003724A8"/>
    <w:rsid w:val="003724D9"/>
    <w:rsid w:val="00372706"/>
    <w:rsid w:val="003728CA"/>
    <w:rsid w:val="0037293C"/>
    <w:rsid w:val="00372AD4"/>
    <w:rsid w:val="00372CA6"/>
    <w:rsid w:val="00372CC9"/>
    <w:rsid w:val="0037307C"/>
    <w:rsid w:val="00373166"/>
    <w:rsid w:val="00373561"/>
    <w:rsid w:val="00373AD9"/>
    <w:rsid w:val="00373D4B"/>
    <w:rsid w:val="00373D51"/>
    <w:rsid w:val="00373DB4"/>
    <w:rsid w:val="00373DE2"/>
    <w:rsid w:val="00373DEC"/>
    <w:rsid w:val="00373E3B"/>
    <w:rsid w:val="00374136"/>
    <w:rsid w:val="003741F8"/>
    <w:rsid w:val="003741FA"/>
    <w:rsid w:val="00374289"/>
    <w:rsid w:val="003742DD"/>
    <w:rsid w:val="00374594"/>
    <w:rsid w:val="003745BC"/>
    <w:rsid w:val="0037463F"/>
    <w:rsid w:val="00374731"/>
    <w:rsid w:val="003747A5"/>
    <w:rsid w:val="00374843"/>
    <w:rsid w:val="00374870"/>
    <w:rsid w:val="00374A34"/>
    <w:rsid w:val="00374B2E"/>
    <w:rsid w:val="00374B55"/>
    <w:rsid w:val="00374CC3"/>
    <w:rsid w:val="00374D65"/>
    <w:rsid w:val="00374E06"/>
    <w:rsid w:val="00374EFE"/>
    <w:rsid w:val="00374F24"/>
    <w:rsid w:val="0037501D"/>
    <w:rsid w:val="00375031"/>
    <w:rsid w:val="00375048"/>
    <w:rsid w:val="00375148"/>
    <w:rsid w:val="00375164"/>
    <w:rsid w:val="003751B0"/>
    <w:rsid w:val="0037526F"/>
    <w:rsid w:val="00375279"/>
    <w:rsid w:val="00375287"/>
    <w:rsid w:val="0037533B"/>
    <w:rsid w:val="00375353"/>
    <w:rsid w:val="00375371"/>
    <w:rsid w:val="00375570"/>
    <w:rsid w:val="003757C4"/>
    <w:rsid w:val="003757DF"/>
    <w:rsid w:val="00375998"/>
    <w:rsid w:val="00375A14"/>
    <w:rsid w:val="00375B2C"/>
    <w:rsid w:val="00375B40"/>
    <w:rsid w:val="00375BF1"/>
    <w:rsid w:val="00375E31"/>
    <w:rsid w:val="00375E6A"/>
    <w:rsid w:val="0037600F"/>
    <w:rsid w:val="00376298"/>
    <w:rsid w:val="00376417"/>
    <w:rsid w:val="00376427"/>
    <w:rsid w:val="0037642B"/>
    <w:rsid w:val="00376491"/>
    <w:rsid w:val="00376563"/>
    <w:rsid w:val="00376661"/>
    <w:rsid w:val="0037671F"/>
    <w:rsid w:val="003767C7"/>
    <w:rsid w:val="00376907"/>
    <w:rsid w:val="00376951"/>
    <w:rsid w:val="00376A25"/>
    <w:rsid w:val="00376ADE"/>
    <w:rsid w:val="00376B08"/>
    <w:rsid w:val="00376C8D"/>
    <w:rsid w:val="00376D02"/>
    <w:rsid w:val="00376DF0"/>
    <w:rsid w:val="00376F31"/>
    <w:rsid w:val="00376F78"/>
    <w:rsid w:val="00376FDC"/>
    <w:rsid w:val="0037732B"/>
    <w:rsid w:val="00377360"/>
    <w:rsid w:val="0037741F"/>
    <w:rsid w:val="0037752F"/>
    <w:rsid w:val="00377C0A"/>
    <w:rsid w:val="00377DB6"/>
    <w:rsid w:val="00377ED5"/>
    <w:rsid w:val="003802B7"/>
    <w:rsid w:val="00380389"/>
    <w:rsid w:val="00380794"/>
    <w:rsid w:val="00380964"/>
    <w:rsid w:val="00380ABD"/>
    <w:rsid w:val="00380B44"/>
    <w:rsid w:val="00380B72"/>
    <w:rsid w:val="00380B9F"/>
    <w:rsid w:val="00381128"/>
    <w:rsid w:val="003811C5"/>
    <w:rsid w:val="0038129F"/>
    <w:rsid w:val="003812DF"/>
    <w:rsid w:val="003813C8"/>
    <w:rsid w:val="003814E9"/>
    <w:rsid w:val="003816D1"/>
    <w:rsid w:val="003817C5"/>
    <w:rsid w:val="003817CA"/>
    <w:rsid w:val="003819AF"/>
    <w:rsid w:val="00381A2D"/>
    <w:rsid w:val="00381C62"/>
    <w:rsid w:val="00381CCF"/>
    <w:rsid w:val="00381CD1"/>
    <w:rsid w:val="00381E7E"/>
    <w:rsid w:val="00382026"/>
    <w:rsid w:val="003820C1"/>
    <w:rsid w:val="00382162"/>
    <w:rsid w:val="0038218B"/>
    <w:rsid w:val="00382398"/>
    <w:rsid w:val="00382425"/>
    <w:rsid w:val="00382709"/>
    <w:rsid w:val="003827BC"/>
    <w:rsid w:val="003829EF"/>
    <w:rsid w:val="00382A76"/>
    <w:rsid w:val="00382E13"/>
    <w:rsid w:val="00382E56"/>
    <w:rsid w:val="00382EBD"/>
    <w:rsid w:val="00382F3A"/>
    <w:rsid w:val="003830E4"/>
    <w:rsid w:val="0038318A"/>
    <w:rsid w:val="003831EB"/>
    <w:rsid w:val="00383718"/>
    <w:rsid w:val="0038371B"/>
    <w:rsid w:val="0038376D"/>
    <w:rsid w:val="003839BE"/>
    <w:rsid w:val="003839CA"/>
    <w:rsid w:val="003839E4"/>
    <w:rsid w:val="00383AB8"/>
    <w:rsid w:val="00383B03"/>
    <w:rsid w:val="00383EA9"/>
    <w:rsid w:val="00383EC0"/>
    <w:rsid w:val="00383F1D"/>
    <w:rsid w:val="00384196"/>
    <w:rsid w:val="00384367"/>
    <w:rsid w:val="00384372"/>
    <w:rsid w:val="0038477F"/>
    <w:rsid w:val="0038483A"/>
    <w:rsid w:val="00384A76"/>
    <w:rsid w:val="00384C40"/>
    <w:rsid w:val="00384CA7"/>
    <w:rsid w:val="00384FA1"/>
    <w:rsid w:val="0038510A"/>
    <w:rsid w:val="00385274"/>
    <w:rsid w:val="0038539F"/>
    <w:rsid w:val="003853D4"/>
    <w:rsid w:val="0038578D"/>
    <w:rsid w:val="003857B3"/>
    <w:rsid w:val="00385873"/>
    <w:rsid w:val="00385A90"/>
    <w:rsid w:val="00385B09"/>
    <w:rsid w:val="00385B26"/>
    <w:rsid w:val="00385B5A"/>
    <w:rsid w:val="00385C89"/>
    <w:rsid w:val="00385DDE"/>
    <w:rsid w:val="00385E63"/>
    <w:rsid w:val="00385F70"/>
    <w:rsid w:val="003861D1"/>
    <w:rsid w:val="00386337"/>
    <w:rsid w:val="00386436"/>
    <w:rsid w:val="003867E8"/>
    <w:rsid w:val="0038683C"/>
    <w:rsid w:val="00386962"/>
    <w:rsid w:val="00386B37"/>
    <w:rsid w:val="00386E0F"/>
    <w:rsid w:val="00386E16"/>
    <w:rsid w:val="0038700C"/>
    <w:rsid w:val="003870A5"/>
    <w:rsid w:val="003870B0"/>
    <w:rsid w:val="003870CB"/>
    <w:rsid w:val="00387242"/>
    <w:rsid w:val="00387253"/>
    <w:rsid w:val="00387357"/>
    <w:rsid w:val="00387430"/>
    <w:rsid w:val="00387522"/>
    <w:rsid w:val="00387528"/>
    <w:rsid w:val="003875AB"/>
    <w:rsid w:val="003875F5"/>
    <w:rsid w:val="0038795A"/>
    <w:rsid w:val="00387A58"/>
    <w:rsid w:val="00387D15"/>
    <w:rsid w:val="00387D6D"/>
    <w:rsid w:val="00387E5C"/>
    <w:rsid w:val="00387E90"/>
    <w:rsid w:val="0039000E"/>
    <w:rsid w:val="00390014"/>
    <w:rsid w:val="0039003D"/>
    <w:rsid w:val="00390419"/>
    <w:rsid w:val="00390588"/>
    <w:rsid w:val="00390638"/>
    <w:rsid w:val="003906C7"/>
    <w:rsid w:val="00390823"/>
    <w:rsid w:val="00390827"/>
    <w:rsid w:val="00390A55"/>
    <w:rsid w:val="00390AB1"/>
    <w:rsid w:val="00390AE2"/>
    <w:rsid w:val="00390C86"/>
    <w:rsid w:val="00390D12"/>
    <w:rsid w:val="00390D81"/>
    <w:rsid w:val="00390EB6"/>
    <w:rsid w:val="00391182"/>
    <w:rsid w:val="0039118C"/>
    <w:rsid w:val="00391190"/>
    <w:rsid w:val="003911F0"/>
    <w:rsid w:val="00391337"/>
    <w:rsid w:val="00391489"/>
    <w:rsid w:val="003915A3"/>
    <w:rsid w:val="00391690"/>
    <w:rsid w:val="003916A3"/>
    <w:rsid w:val="00391815"/>
    <w:rsid w:val="00391A74"/>
    <w:rsid w:val="00391A79"/>
    <w:rsid w:val="00391E0A"/>
    <w:rsid w:val="00391F20"/>
    <w:rsid w:val="00391F37"/>
    <w:rsid w:val="00391F80"/>
    <w:rsid w:val="00391FDC"/>
    <w:rsid w:val="00392010"/>
    <w:rsid w:val="003923F0"/>
    <w:rsid w:val="003928DE"/>
    <w:rsid w:val="003929B2"/>
    <w:rsid w:val="003929F2"/>
    <w:rsid w:val="00392AFB"/>
    <w:rsid w:val="00392C1C"/>
    <w:rsid w:val="00392C55"/>
    <w:rsid w:val="00392D08"/>
    <w:rsid w:val="00392D26"/>
    <w:rsid w:val="00392DE7"/>
    <w:rsid w:val="00392DFC"/>
    <w:rsid w:val="00392FAD"/>
    <w:rsid w:val="00393126"/>
    <w:rsid w:val="00393135"/>
    <w:rsid w:val="00393155"/>
    <w:rsid w:val="0039326C"/>
    <w:rsid w:val="00393334"/>
    <w:rsid w:val="003934F5"/>
    <w:rsid w:val="00393506"/>
    <w:rsid w:val="0039354E"/>
    <w:rsid w:val="00393718"/>
    <w:rsid w:val="003938A0"/>
    <w:rsid w:val="00393907"/>
    <w:rsid w:val="003939CA"/>
    <w:rsid w:val="00393B4A"/>
    <w:rsid w:val="00393CFB"/>
    <w:rsid w:val="00393F46"/>
    <w:rsid w:val="00393F61"/>
    <w:rsid w:val="00393FA2"/>
    <w:rsid w:val="00394375"/>
    <w:rsid w:val="003945AE"/>
    <w:rsid w:val="003945D4"/>
    <w:rsid w:val="00394813"/>
    <w:rsid w:val="003948DB"/>
    <w:rsid w:val="00394926"/>
    <w:rsid w:val="003949DE"/>
    <w:rsid w:val="00394A05"/>
    <w:rsid w:val="00394B22"/>
    <w:rsid w:val="00394EB7"/>
    <w:rsid w:val="0039512E"/>
    <w:rsid w:val="003951AB"/>
    <w:rsid w:val="00395208"/>
    <w:rsid w:val="0039520C"/>
    <w:rsid w:val="003952E5"/>
    <w:rsid w:val="0039534C"/>
    <w:rsid w:val="00395517"/>
    <w:rsid w:val="0039553B"/>
    <w:rsid w:val="00395566"/>
    <w:rsid w:val="00395611"/>
    <w:rsid w:val="0039576E"/>
    <w:rsid w:val="003958E8"/>
    <w:rsid w:val="0039591F"/>
    <w:rsid w:val="00395A82"/>
    <w:rsid w:val="00395AED"/>
    <w:rsid w:val="00395B19"/>
    <w:rsid w:val="00395B1E"/>
    <w:rsid w:val="00395D43"/>
    <w:rsid w:val="00395FB7"/>
    <w:rsid w:val="00395FFB"/>
    <w:rsid w:val="0039600F"/>
    <w:rsid w:val="00396089"/>
    <w:rsid w:val="003960B7"/>
    <w:rsid w:val="003960E2"/>
    <w:rsid w:val="00396120"/>
    <w:rsid w:val="00396359"/>
    <w:rsid w:val="00396565"/>
    <w:rsid w:val="0039662D"/>
    <w:rsid w:val="0039667F"/>
    <w:rsid w:val="003969D4"/>
    <w:rsid w:val="00396BFE"/>
    <w:rsid w:val="00396C73"/>
    <w:rsid w:val="00396E76"/>
    <w:rsid w:val="00396E9E"/>
    <w:rsid w:val="003970DF"/>
    <w:rsid w:val="00397161"/>
    <w:rsid w:val="0039736D"/>
    <w:rsid w:val="0039738D"/>
    <w:rsid w:val="003973FE"/>
    <w:rsid w:val="00397547"/>
    <w:rsid w:val="00397574"/>
    <w:rsid w:val="0039761A"/>
    <w:rsid w:val="0039770E"/>
    <w:rsid w:val="00397814"/>
    <w:rsid w:val="003978D9"/>
    <w:rsid w:val="00397C9D"/>
    <w:rsid w:val="00397CCA"/>
    <w:rsid w:val="00397D0A"/>
    <w:rsid w:val="00397DBB"/>
    <w:rsid w:val="00397F22"/>
    <w:rsid w:val="003A0123"/>
    <w:rsid w:val="003A0191"/>
    <w:rsid w:val="003A026E"/>
    <w:rsid w:val="003A0433"/>
    <w:rsid w:val="003A04AF"/>
    <w:rsid w:val="003A0519"/>
    <w:rsid w:val="003A0557"/>
    <w:rsid w:val="003A074E"/>
    <w:rsid w:val="003A088F"/>
    <w:rsid w:val="003A08D0"/>
    <w:rsid w:val="003A0A52"/>
    <w:rsid w:val="003A0B97"/>
    <w:rsid w:val="003A0C1A"/>
    <w:rsid w:val="003A0CF2"/>
    <w:rsid w:val="003A0FF8"/>
    <w:rsid w:val="003A125D"/>
    <w:rsid w:val="003A13BE"/>
    <w:rsid w:val="003A158B"/>
    <w:rsid w:val="003A15FF"/>
    <w:rsid w:val="003A1765"/>
    <w:rsid w:val="003A1776"/>
    <w:rsid w:val="003A1AB2"/>
    <w:rsid w:val="003A1BB6"/>
    <w:rsid w:val="003A1D90"/>
    <w:rsid w:val="003A1E89"/>
    <w:rsid w:val="003A1EFC"/>
    <w:rsid w:val="003A2287"/>
    <w:rsid w:val="003A22EC"/>
    <w:rsid w:val="003A23A2"/>
    <w:rsid w:val="003A243E"/>
    <w:rsid w:val="003A2730"/>
    <w:rsid w:val="003A284B"/>
    <w:rsid w:val="003A2B46"/>
    <w:rsid w:val="003A2B87"/>
    <w:rsid w:val="003A2D5D"/>
    <w:rsid w:val="003A2FAE"/>
    <w:rsid w:val="003A315B"/>
    <w:rsid w:val="003A321F"/>
    <w:rsid w:val="003A32C2"/>
    <w:rsid w:val="003A3667"/>
    <w:rsid w:val="003A38B5"/>
    <w:rsid w:val="003A3ABD"/>
    <w:rsid w:val="003A3B10"/>
    <w:rsid w:val="003A3B3A"/>
    <w:rsid w:val="003A3B6C"/>
    <w:rsid w:val="003A40E6"/>
    <w:rsid w:val="003A415E"/>
    <w:rsid w:val="003A4247"/>
    <w:rsid w:val="003A42F1"/>
    <w:rsid w:val="003A4389"/>
    <w:rsid w:val="003A4395"/>
    <w:rsid w:val="003A449A"/>
    <w:rsid w:val="003A44B8"/>
    <w:rsid w:val="003A4818"/>
    <w:rsid w:val="003A4948"/>
    <w:rsid w:val="003A4A02"/>
    <w:rsid w:val="003A4B30"/>
    <w:rsid w:val="003A4BDB"/>
    <w:rsid w:val="003A4C11"/>
    <w:rsid w:val="003A4C42"/>
    <w:rsid w:val="003A4CB4"/>
    <w:rsid w:val="003A4D62"/>
    <w:rsid w:val="003A4DE0"/>
    <w:rsid w:val="003A4E0B"/>
    <w:rsid w:val="003A5109"/>
    <w:rsid w:val="003A51A1"/>
    <w:rsid w:val="003A53A6"/>
    <w:rsid w:val="003A541E"/>
    <w:rsid w:val="003A549E"/>
    <w:rsid w:val="003A54BA"/>
    <w:rsid w:val="003A574E"/>
    <w:rsid w:val="003A5852"/>
    <w:rsid w:val="003A5A9D"/>
    <w:rsid w:val="003A5C4C"/>
    <w:rsid w:val="003A5D34"/>
    <w:rsid w:val="003A5E88"/>
    <w:rsid w:val="003A5EE7"/>
    <w:rsid w:val="003A6083"/>
    <w:rsid w:val="003A609D"/>
    <w:rsid w:val="003A615A"/>
    <w:rsid w:val="003A6180"/>
    <w:rsid w:val="003A6185"/>
    <w:rsid w:val="003A61CB"/>
    <w:rsid w:val="003A62B7"/>
    <w:rsid w:val="003A62C8"/>
    <w:rsid w:val="003A646D"/>
    <w:rsid w:val="003A64F2"/>
    <w:rsid w:val="003A662A"/>
    <w:rsid w:val="003A666A"/>
    <w:rsid w:val="003A6789"/>
    <w:rsid w:val="003A67A5"/>
    <w:rsid w:val="003A68D7"/>
    <w:rsid w:val="003A68F3"/>
    <w:rsid w:val="003A6A38"/>
    <w:rsid w:val="003A6AA9"/>
    <w:rsid w:val="003A6B14"/>
    <w:rsid w:val="003A6BC8"/>
    <w:rsid w:val="003A6E61"/>
    <w:rsid w:val="003A702D"/>
    <w:rsid w:val="003A7178"/>
    <w:rsid w:val="003A71CE"/>
    <w:rsid w:val="003A71D8"/>
    <w:rsid w:val="003A7245"/>
    <w:rsid w:val="003A726F"/>
    <w:rsid w:val="003A7347"/>
    <w:rsid w:val="003A73FF"/>
    <w:rsid w:val="003A7455"/>
    <w:rsid w:val="003A74BD"/>
    <w:rsid w:val="003A751A"/>
    <w:rsid w:val="003A7797"/>
    <w:rsid w:val="003A797C"/>
    <w:rsid w:val="003A7ABB"/>
    <w:rsid w:val="003A7D52"/>
    <w:rsid w:val="003A7EF3"/>
    <w:rsid w:val="003B033E"/>
    <w:rsid w:val="003B0367"/>
    <w:rsid w:val="003B03C9"/>
    <w:rsid w:val="003B04AC"/>
    <w:rsid w:val="003B053E"/>
    <w:rsid w:val="003B0545"/>
    <w:rsid w:val="003B05C0"/>
    <w:rsid w:val="003B0840"/>
    <w:rsid w:val="003B0A4B"/>
    <w:rsid w:val="003B0A57"/>
    <w:rsid w:val="003B0C52"/>
    <w:rsid w:val="003B0C7D"/>
    <w:rsid w:val="003B0C86"/>
    <w:rsid w:val="003B0D87"/>
    <w:rsid w:val="003B0E49"/>
    <w:rsid w:val="003B0F57"/>
    <w:rsid w:val="003B0FED"/>
    <w:rsid w:val="003B1030"/>
    <w:rsid w:val="003B1068"/>
    <w:rsid w:val="003B10B5"/>
    <w:rsid w:val="003B10E1"/>
    <w:rsid w:val="003B1337"/>
    <w:rsid w:val="003B179F"/>
    <w:rsid w:val="003B18E8"/>
    <w:rsid w:val="003B1968"/>
    <w:rsid w:val="003B199D"/>
    <w:rsid w:val="003B1A12"/>
    <w:rsid w:val="003B1B01"/>
    <w:rsid w:val="003B1B1C"/>
    <w:rsid w:val="003B1BB8"/>
    <w:rsid w:val="003B1CC4"/>
    <w:rsid w:val="003B1D14"/>
    <w:rsid w:val="003B1E4A"/>
    <w:rsid w:val="003B2098"/>
    <w:rsid w:val="003B2135"/>
    <w:rsid w:val="003B2137"/>
    <w:rsid w:val="003B2148"/>
    <w:rsid w:val="003B2164"/>
    <w:rsid w:val="003B22E1"/>
    <w:rsid w:val="003B24E6"/>
    <w:rsid w:val="003B24F7"/>
    <w:rsid w:val="003B260A"/>
    <w:rsid w:val="003B2743"/>
    <w:rsid w:val="003B2780"/>
    <w:rsid w:val="003B286E"/>
    <w:rsid w:val="003B2A0F"/>
    <w:rsid w:val="003B2AD6"/>
    <w:rsid w:val="003B2DDA"/>
    <w:rsid w:val="003B32E2"/>
    <w:rsid w:val="003B333E"/>
    <w:rsid w:val="003B3594"/>
    <w:rsid w:val="003B35A4"/>
    <w:rsid w:val="003B36CE"/>
    <w:rsid w:val="003B3740"/>
    <w:rsid w:val="003B37BC"/>
    <w:rsid w:val="003B384F"/>
    <w:rsid w:val="003B3880"/>
    <w:rsid w:val="003B39E1"/>
    <w:rsid w:val="003B3A7F"/>
    <w:rsid w:val="003B3B5F"/>
    <w:rsid w:val="003B3BF1"/>
    <w:rsid w:val="003B3CAA"/>
    <w:rsid w:val="003B3D50"/>
    <w:rsid w:val="003B3E1E"/>
    <w:rsid w:val="003B3E4E"/>
    <w:rsid w:val="003B3E76"/>
    <w:rsid w:val="003B3F0C"/>
    <w:rsid w:val="003B3F26"/>
    <w:rsid w:val="003B3F70"/>
    <w:rsid w:val="003B41B1"/>
    <w:rsid w:val="003B4365"/>
    <w:rsid w:val="003B4433"/>
    <w:rsid w:val="003B478F"/>
    <w:rsid w:val="003B4830"/>
    <w:rsid w:val="003B4909"/>
    <w:rsid w:val="003B4A31"/>
    <w:rsid w:val="003B4B9E"/>
    <w:rsid w:val="003B4C80"/>
    <w:rsid w:val="003B4D43"/>
    <w:rsid w:val="003B4D61"/>
    <w:rsid w:val="003B4DB5"/>
    <w:rsid w:val="003B4F37"/>
    <w:rsid w:val="003B4FE5"/>
    <w:rsid w:val="003B50BC"/>
    <w:rsid w:val="003B5131"/>
    <w:rsid w:val="003B5137"/>
    <w:rsid w:val="003B51EC"/>
    <w:rsid w:val="003B5262"/>
    <w:rsid w:val="003B5294"/>
    <w:rsid w:val="003B554D"/>
    <w:rsid w:val="003B55AA"/>
    <w:rsid w:val="003B58BC"/>
    <w:rsid w:val="003B58CC"/>
    <w:rsid w:val="003B5A8B"/>
    <w:rsid w:val="003B5A94"/>
    <w:rsid w:val="003B5BF6"/>
    <w:rsid w:val="003B5CDB"/>
    <w:rsid w:val="003B5D36"/>
    <w:rsid w:val="003B5F28"/>
    <w:rsid w:val="003B6057"/>
    <w:rsid w:val="003B625A"/>
    <w:rsid w:val="003B6288"/>
    <w:rsid w:val="003B6368"/>
    <w:rsid w:val="003B6421"/>
    <w:rsid w:val="003B6494"/>
    <w:rsid w:val="003B676B"/>
    <w:rsid w:val="003B683A"/>
    <w:rsid w:val="003B692F"/>
    <w:rsid w:val="003B6938"/>
    <w:rsid w:val="003B69CF"/>
    <w:rsid w:val="003B6A70"/>
    <w:rsid w:val="003B6AF5"/>
    <w:rsid w:val="003B6B44"/>
    <w:rsid w:val="003B6C4E"/>
    <w:rsid w:val="003B6DE5"/>
    <w:rsid w:val="003B7030"/>
    <w:rsid w:val="003B74E0"/>
    <w:rsid w:val="003B7568"/>
    <w:rsid w:val="003B75C0"/>
    <w:rsid w:val="003B75DF"/>
    <w:rsid w:val="003B765C"/>
    <w:rsid w:val="003B7793"/>
    <w:rsid w:val="003B7CD1"/>
    <w:rsid w:val="003B7CE4"/>
    <w:rsid w:val="003B7D89"/>
    <w:rsid w:val="003B7E8E"/>
    <w:rsid w:val="003C00D7"/>
    <w:rsid w:val="003C026A"/>
    <w:rsid w:val="003C02F6"/>
    <w:rsid w:val="003C03C6"/>
    <w:rsid w:val="003C0446"/>
    <w:rsid w:val="003C04EE"/>
    <w:rsid w:val="003C067D"/>
    <w:rsid w:val="003C0727"/>
    <w:rsid w:val="003C07F9"/>
    <w:rsid w:val="003C0846"/>
    <w:rsid w:val="003C0B50"/>
    <w:rsid w:val="003C0BC7"/>
    <w:rsid w:val="003C0BD1"/>
    <w:rsid w:val="003C0C6F"/>
    <w:rsid w:val="003C0D5F"/>
    <w:rsid w:val="003C0ED0"/>
    <w:rsid w:val="003C1190"/>
    <w:rsid w:val="003C11F6"/>
    <w:rsid w:val="003C12BD"/>
    <w:rsid w:val="003C13AC"/>
    <w:rsid w:val="003C1425"/>
    <w:rsid w:val="003C165A"/>
    <w:rsid w:val="003C165F"/>
    <w:rsid w:val="003C16BC"/>
    <w:rsid w:val="003C1828"/>
    <w:rsid w:val="003C1926"/>
    <w:rsid w:val="003C1933"/>
    <w:rsid w:val="003C1A40"/>
    <w:rsid w:val="003C1A6F"/>
    <w:rsid w:val="003C1A8A"/>
    <w:rsid w:val="003C1B74"/>
    <w:rsid w:val="003C1B8B"/>
    <w:rsid w:val="003C1C6A"/>
    <w:rsid w:val="003C1D90"/>
    <w:rsid w:val="003C1DD4"/>
    <w:rsid w:val="003C1DDB"/>
    <w:rsid w:val="003C1DFB"/>
    <w:rsid w:val="003C1EFE"/>
    <w:rsid w:val="003C1F22"/>
    <w:rsid w:val="003C21F4"/>
    <w:rsid w:val="003C230E"/>
    <w:rsid w:val="003C231E"/>
    <w:rsid w:val="003C2576"/>
    <w:rsid w:val="003C269C"/>
    <w:rsid w:val="003C2713"/>
    <w:rsid w:val="003C2803"/>
    <w:rsid w:val="003C2C1E"/>
    <w:rsid w:val="003C2C7A"/>
    <w:rsid w:val="003C2CE3"/>
    <w:rsid w:val="003C2D85"/>
    <w:rsid w:val="003C2F39"/>
    <w:rsid w:val="003C2F76"/>
    <w:rsid w:val="003C3003"/>
    <w:rsid w:val="003C33C2"/>
    <w:rsid w:val="003C340E"/>
    <w:rsid w:val="003C35CA"/>
    <w:rsid w:val="003C393E"/>
    <w:rsid w:val="003C3A0C"/>
    <w:rsid w:val="003C3B5A"/>
    <w:rsid w:val="003C3D50"/>
    <w:rsid w:val="003C3E1B"/>
    <w:rsid w:val="003C3F28"/>
    <w:rsid w:val="003C4094"/>
    <w:rsid w:val="003C40D6"/>
    <w:rsid w:val="003C43A8"/>
    <w:rsid w:val="003C43C1"/>
    <w:rsid w:val="003C43FC"/>
    <w:rsid w:val="003C4548"/>
    <w:rsid w:val="003C454D"/>
    <w:rsid w:val="003C45E5"/>
    <w:rsid w:val="003C4655"/>
    <w:rsid w:val="003C48A8"/>
    <w:rsid w:val="003C4971"/>
    <w:rsid w:val="003C497F"/>
    <w:rsid w:val="003C49D4"/>
    <w:rsid w:val="003C4F46"/>
    <w:rsid w:val="003C4FA8"/>
    <w:rsid w:val="003C50B3"/>
    <w:rsid w:val="003C5196"/>
    <w:rsid w:val="003C52BA"/>
    <w:rsid w:val="003C53CB"/>
    <w:rsid w:val="003C56AB"/>
    <w:rsid w:val="003C5883"/>
    <w:rsid w:val="003C5896"/>
    <w:rsid w:val="003C5A47"/>
    <w:rsid w:val="003C5BAA"/>
    <w:rsid w:val="003C5C9F"/>
    <w:rsid w:val="003C5CAA"/>
    <w:rsid w:val="003C5ECF"/>
    <w:rsid w:val="003C5F4E"/>
    <w:rsid w:val="003C5FA4"/>
    <w:rsid w:val="003C60DE"/>
    <w:rsid w:val="003C621C"/>
    <w:rsid w:val="003C6358"/>
    <w:rsid w:val="003C6413"/>
    <w:rsid w:val="003C64B2"/>
    <w:rsid w:val="003C64B3"/>
    <w:rsid w:val="003C65C0"/>
    <w:rsid w:val="003C670B"/>
    <w:rsid w:val="003C67DD"/>
    <w:rsid w:val="003C69D0"/>
    <w:rsid w:val="003C6F3F"/>
    <w:rsid w:val="003C71F6"/>
    <w:rsid w:val="003C7282"/>
    <w:rsid w:val="003C741B"/>
    <w:rsid w:val="003C7504"/>
    <w:rsid w:val="003C7637"/>
    <w:rsid w:val="003C76B3"/>
    <w:rsid w:val="003C76BA"/>
    <w:rsid w:val="003C76E0"/>
    <w:rsid w:val="003C77A4"/>
    <w:rsid w:val="003C7907"/>
    <w:rsid w:val="003C793B"/>
    <w:rsid w:val="003C7AB4"/>
    <w:rsid w:val="003C7DB8"/>
    <w:rsid w:val="003C7E8D"/>
    <w:rsid w:val="003D0094"/>
    <w:rsid w:val="003D00E5"/>
    <w:rsid w:val="003D00FF"/>
    <w:rsid w:val="003D019E"/>
    <w:rsid w:val="003D02C1"/>
    <w:rsid w:val="003D02DF"/>
    <w:rsid w:val="003D052E"/>
    <w:rsid w:val="003D0580"/>
    <w:rsid w:val="003D05FB"/>
    <w:rsid w:val="003D07D7"/>
    <w:rsid w:val="003D096F"/>
    <w:rsid w:val="003D09BF"/>
    <w:rsid w:val="003D0A45"/>
    <w:rsid w:val="003D0AB9"/>
    <w:rsid w:val="003D0B0F"/>
    <w:rsid w:val="003D0B67"/>
    <w:rsid w:val="003D0C22"/>
    <w:rsid w:val="003D0DE6"/>
    <w:rsid w:val="003D0E45"/>
    <w:rsid w:val="003D105B"/>
    <w:rsid w:val="003D1099"/>
    <w:rsid w:val="003D1133"/>
    <w:rsid w:val="003D121F"/>
    <w:rsid w:val="003D1270"/>
    <w:rsid w:val="003D131B"/>
    <w:rsid w:val="003D1429"/>
    <w:rsid w:val="003D1438"/>
    <w:rsid w:val="003D180A"/>
    <w:rsid w:val="003D1843"/>
    <w:rsid w:val="003D197C"/>
    <w:rsid w:val="003D19E6"/>
    <w:rsid w:val="003D1A5A"/>
    <w:rsid w:val="003D1B1E"/>
    <w:rsid w:val="003D1C89"/>
    <w:rsid w:val="003D1CBB"/>
    <w:rsid w:val="003D1F2D"/>
    <w:rsid w:val="003D1F44"/>
    <w:rsid w:val="003D1FC0"/>
    <w:rsid w:val="003D1FC5"/>
    <w:rsid w:val="003D1FFB"/>
    <w:rsid w:val="003D201E"/>
    <w:rsid w:val="003D20AC"/>
    <w:rsid w:val="003D20B3"/>
    <w:rsid w:val="003D20E0"/>
    <w:rsid w:val="003D2173"/>
    <w:rsid w:val="003D2254"/>
    <w:rsid w:val="003D2336"/>
    <w:rsid w:val="003D2667"/>
    <w:rsid w:val="003D2738"/>
    <w:rsid w:val="003D2741"/>
    <w:rsid w:val="003D2759"/>
    <w:rsid w:val="003D27A2"/>
    <w:rsid w:val="003D27D2"/>
    <w:rsid w:val="003D2818"/>
    <w:rsid w:val="003D2857"/>
    <w:rsid w:val="003D28A8"/>
    <w:rsid w:val="003D293F"/>
    <w:rsid w:val="003D294E"/>
    <w:rsid w:val="003D2C2D"/>
    <w:rsid w:val="003D2D3D"/>
    <w:rsid w:val="003D2DAE"/>
    <w:rsid w:val="003D2DB4"/>
    <w:rsid w:val="003D2DFA"/>
    <w:rsid w:val="003D2EA1"/>
    <w:rsid w:val="003D2EF1"/>
    <w:rsid w:val="003D3147"/>
    <w:rsid w:val="003D3327"/>
    <w:rsid w:val="003D33FD"/>
    <w:rsid w:val="003D348E"/>
    <w:rsid w:val="003D3578"/>
    <w:rsid w:val="003D3684"/>
    <w:rsid w:val="003D3717"/>
    <w:rsid w:val="003D37FF"/>
    <w:rsid w:val="003D385C"/>
    <w:rsid w:val="003D3893"/>
    <w:rsid w:val="003D38FA"/>
    <w:rsid w:val="003D390B"/>
    <w:rsid w:val="003D3935"/>
    <w:rsid w:val="003D39C1"/>
    <w:rsid w:val="003D3AB3"/>
    <w:rsid w:val="003D3BD3"/>
    <w:rsid w:val="003D3DC6"/>
    <w:rsid w:val="003D4076"/>
    <w:rsid w:val="003D40AF"/>
    <w:rsid w:val="003D4290"/>
    <w:rsid w:val="003D429B"/>
    <w:rsid w:val="003D462E"/>
    <w:rsid w:val="003D4781"/>
    <w:rsid w:val="003D47FB"/>
    <w:rsid w:val="003D48B5"/>
    <w:rsid w:val="003D490C"/>
    <w:rsid w:val="003D492F"/>
    <w:rsid w:val="003D49F9"/>
    <w:rsid w:val="003D4ABF"/>
    <w:rsid w:val="003D4B9E"/>
    <w:rsid w:val="003D4CAC"/>
    <w:rsid w:val="003D4EE0"/>
    <w:rsid w:val="003D4EF7"/>
    <w:rsid w:val="003D4F4B"/>
    <w:rsid w:val="003D50B8"/>
    <w:rsid w:val="003D549C"/>
    <w:rsid w:val="003D5517"/>
    <w:rsid w:val="003D5569"/>
    <w:rsid w:val="003D5604"/>
    <w:rsid w:val="003D561B"/>
    <w:rsid w:val="003D566C"/>
    <w:rsid w:val="003D56D3"/>
    <w:rsid w:val="003D56E1"/>
    <w:rsid w:val="003D5764"/>
    <w:rsid w:val="003D5865"/>
    <w:rsid w:val="003D5A41"/>
    <w:rsid w:val="003D5ABA"/>
    <w:rsid w:val="003D5CCF"/>
    <w:rsid w:val="003D5D7F"/>
    <w:rsid w:val="003D6088"/>
    <w:rsid w:val="003D60B6"/>
    <w:rsid w:val="003D6298"/>
    <w:rsid w:val="003D62F5"/>
    <w:rsid w:val="003D6843"/>
    <w:rsid w:val="003D6A8E"/>
    <w:rsid w:val="003D6AFB"/>
    <w:rsid w:val="003D6B1E"/>
    <w:rsid w:val="003D6B4C"/>
    <w:rsid w:val="003D6B85"/>
    <w:rsid w:val="003D6D4F"/>
    <w:rsid w:val="003D6EFE"/>
    <w:rsid w:val="003D704D"/>
    <w:rsid w:val="003D7079"/>
    <w:rsid w:val="003D732F"/>
    <w:rsid w:val="003D735E"/>
    <w:rsid w:val="003D748B"/>
    <w:rsid w:val="003D74B4"/>
    <w:rsid w:val="003D785E"/>
    <w:rsid w:val="003D786F"/>
    <w:rsid w:val="003D7936"/>
    <w:rsid w:val="003D7A58"/>
    <w:rsid w:val="003D7BE8"/>
    <w:rsid w:val="003D7D73"/>
    <w:rsid w:val="003D7E25"/>
    <w:rsid w:val="003D7EFE"/>
    <w:rsid w:val="003E0205"/>
    <w:rsid w:val="003E03C9"/>
    <w:rsid w:val="003E044D"/>
    <w:rsid w:val="003E06A5"/>
    <w:rsid w:val="003E0848"/>
    <w:rsid w:val="003E08B2"/>
    <w:rsid w:val="003E0B17"/>
    <w:rsid w:val="003E0B98"/>
    <w:rsid w:val="003E0E64"/>
    <w:rsid w:val="003E0EFE"/>
    <w:rsid w:val="003E11F6"/>
    <w:rsid w:val="003E12B1"/>
    <w:rsid w:val="003E143D"/>
    <w:rsid w:val="003E144C"/>
    <w:rsid w:val="003E14F4"/>
    <w:rsid w:val="003E15B0"/>
    <w:rsid w:val="003E1893"/>
    <w:rsid w:val="003E1B63"/>
    <w:rsid w:val="003E1C6F"/>
    <w:rsid w:val="003E1E6F"/>
    <w:rsid w:val="003E1E9A"/>
    <w:rsid w:val="003E2003"/>
    <w:rsid w:val="003E2158"/>
    <w:rsid w:val="003E219D"/>
    <w:rsid w:val="003E21CC"/>
    <w:rsid w:val="003E241E"/>
    <w:rsid w:val="003E2557"/>
    <w:rsid w:val="003E2585"/>
    <w:rsid w:val="003E2731"/>
    <w:rsid w:val="003E2813"/>
    <w:rsid w:val="003E286A"/>
    <w:rsid w:val="003E296D"/>
    <w:rsid w:val="003E2997"/>
    <w:rsid w:val="003E2D67"/>
    <w:rsid w:val="003E2FE9"/>
    <w:rsid w:val="003E32B6"/>
    <w:rsid w:val="003E3421"/>
    <w:rsid w:val="003E345E"/>
    <w:rsid w:val="003E34FC"/>
    <w:rsid w:val="003E35E0"/>
    <w:rsid w:val="003E368C"/>
    <w:rsid w:val="003E36FE"/>
    <w:rsid w:val="003E376D"/>
    <w:rsid w:val="003E383C"/>
    <w:rsid w:val="003E38C4"/>
    <w:rsid w:val="003E3E19"/>
    <w:rsid w:val="003E3F7C"/>
    <w:rsid w:val="003E4041"/>
    <w:rsid w:val="003E410B"/>
    <w:rsid w:val="003E451E"/>
    <w:rsid w:val="003E4644"/>
    <w:rsid w:val="003E48D3"/>
    <w:rsid w:val="003E49EA"/>
    <w:rsid w:val="003E4B97"/>
    <w:rsid w:val="003E4D92"/>
    <w:rsid w:val="003E4F9C"/>
    <w:rsid w:val="003E5007"/>
    <w:rsid w:val="003E5178"/>
    <w:rsid w:val="003E5243"/>
    <w:rsid w:val="003E52AB"/>
    <w:rsid w:val="003E52DD"/>
    <w:rsid w:val="003E53BE"/>
    <w:rsid w:val="003E5467"/>
    <w:rsid w:val="003E56E4"/>
    <w:rsid w:val="003E5A4A"/>
    <w:rsid w:val="003E5C10"/>
    <w:rsid w:val="003E5D16"/>
    <w:rsid w:val="003E5D1E"/>
    <w:rsid w:val="003E5D37"/>
    <w:rsid w:val="003E5D62"/>
    <w:rsid w:val="003E607C"/>
    <w:rsid w:val="003E62A4"/>
    <w:rsid w:val="003E6609"/>
    <w:rsid w:val="003E6653"/>
    <w:rsid w:val="003E66B7"/>
    <w:rsid w:val="003E6A04"/>
    <w:rsid w:val="003E6ABB"/>
    <w:rsid w:val="003E6D7D"/>
    <w:rsid w:val="003E6E0D"/>
    <w:rsid w:val="003E6E32"/>
    <w:rsid w:val="003E6EB3"/>
    <w:rsid w:val="003E6F51"/>
    <w:rsid w:val="003E6FBF"/>
    <w:rsid w:val="003E6FD4"/>
    <w:rsid w:val="003E6FEA"/>
    <w:rsid w:val="003E702C"/>
    <w:rsid w:val="003E724E"/>
    <w:rsid w:val="003E742B"/>
    <w:rsid w:val="003E7492"/>
    <w:rsid w:val="003E77BB"/>
    <w:rsid w:val="003E780D"/>
    <w:rsid w:val="003E78EC"/>
    <w:rsid w:val="003E7EDF"/>
    <w:rsid w:val="003E7F7C"/>
    <w:rsid w:val="003F000F"/>
    <w:rsid w:val="003F00A3"/>
    <w:rsid w:val="003F00F7"/>
    <w:rsid w:val="003F0223"/>
    <w:rsid w:val="003F026C"/>
    <w:rsid w:val="003F02B2"/>
    <w:rsid w:val="003F04EF"/>
    <w:rsid w:val="003F080B"/>
    <w:rsid w:val="003F09BE"/>
    <w:rsid w:val="003F0A58"/>
    <w:rsid w:val="003F0C46"/>
    <w:rsid w:val="003F0D05"/>
    <w:rsid w:val="003F0E75"/>
    <w:rsid w:val="003F112E"/>
    <w:rsid w:val="003F1214"/>
    <w:rsid w:val="003F1455"/>
    <w:rsid w:val="003F14A9"/>
    <w:rsid w:val="003F1559"/>
    <w:rsid w:val="003F17D4"/>
    <w:rsid w:val="003F1A68"/>
    <w:rsid w:val="003F1B19"/>
    <w:rsid w:val="003F1C19"/>
    <w:rsid w:val="003F1E7D"/>
    <w:rsid w:val="003F1F71"/>
    <w:rsid w:val="003F20D2"/>
    <w:rsid w:val="003F2112"/>
    <w:rsid w:val="003F220A"/>
    <w:rsid w:val="003F23D9"/>
    <w:rsid w:val="003F2492"/>
    <w:rsid w:val="003F249B"/>
    <w:rsid w:val="003F24C7"/>
    <w:rsid w:val="003F254C"/>
    <w:rsid w:val="003F2672"/>
    <w:rsid w:val="003F27DE"/>
    <w:rsid w:val="003F29ED"/>
    <w:rsid w:val="003F2A21"/>
    <w:rsid w:val="003F2A4B"/>
    <w:rsid w:val="003F2AC4"/>
    <w:rsid w:val="003F2F96"/>
    <w:rsid w:val="003F2FBA"/>
    <w:rsid w:val="003F3052"/>
    <w:rsid w:val="003F323D"/>
    <w:rsid w:val="003F3430"/>
    <w:rsid w:val="003F34D7"/>
    <w:rsid w:val="003F3551"/>
    <w:rsid w:val="003F359A"/>
    <w:rsid w:val="003F35BB"/>
    <w:rsid w:val="003F3783"/>
    <w:rsid w:val="003F3AEF"/>
    <w:rsid w:val="003F3C79"/>
    <w:rsid w:val="003F3D1E"/>
    <w:rsid w:val="003F3FF0"/>
    <w:rsid w:val="003F3FF3"/>
    <w:rsid w:val="003F4164"/>
    <w:rsid w:val="003F41D7"/>
    <w:rsid w:val="003F42DD"/>
    <w:rsid w:val="003F446F"/>
    <w:rsid w:val="003F4547"/>
    <w:rsid w:val="003F4575"/>
    <w:rsid w:val="003F4952"/>
    <w:rsid w:val="003F4971"/>
    <w:rsid w:val="003F4A46"/>
    <w:rsid w:val="003F4C9E"/>
    <w:rsid w:val="003F4D4E"/>
    <w:rsid w:val="003F4DC9"/>
    <w:rsid w:val="003F4F21"/>
    <w:rsid w:val="003F4F90"/>
    <w:rsid w:val="003F5030"/>
    <w:rsid w:val="003F503D"/>
    <w:rsid w:val="003F50B8"/>
    <w:rsid w:val="003F5190"/>
    <w:rsid w:val="003F51DF"/>
    <w:rsid w:val="003F5244"/>
    <w:rsid w:val="003F54EA"/>
    <w:rsid w:val="003F554A"/>
    <w:rsid w:val="003F559E"/>
    <w:rsid w:val="003F55D3"/>
    <w:rsid w:val="003F589E"/>
    <w:rsid w:val="003F58BF"/>
    <w:rsid w:val="003F58E7"/>
    <w:rsid w:val="003F5B57"/>
    <w:rsid w:val="003F5B5E"/>
    <w:rsid w:val="003F5B78"/>
    <w:rsid w:val="003F5BDA"/>
    <w:rsid w:val="003F5C13"/>
    <w:rsid w:val="003F5E92"/>
    <w:rsid w:val="003F5EC7"/>
    <w:rsid w:val="003F604D"/>
    <w:rsid w:val="003F609D"/>
    <w:rsid w:val="003F62EC"/>
    <w:rsid w:val="003F63D2"/>
    <w:rsid w:val="003F63F4"/>
    <w:rsid w:val="003F661B"/>
    <w:rsid w:val="003F6635"/>
    <w:rsid w:val="003F6673"/>
    <w:rsid w:val="003F6883"/>
    <w:rsid w:val="003F68E9"/>
    <w:rsid w:val="003F69BB"/>
    <w:rsid w:val="003F6B69"/>
    <w:rsid w:val="003F6C54"/>
    <w:rsid w:val="003F6C86"/>
    <w:rsid w:val="003F6CB7"/>
    <w:rsid w:val="003F6F1B"/>
    <w:rsid w:val="003F7253"/>
    <w:rsid w:val="003F7316"/>
    <w:rsid w:val="003F744A"/>
    <w:rsid w:val="003F775D"/>
    <w:rsid w:val="003F78C2"/>
    <w:rsid w:val="003F798E"/>
    <w:rsid w:val="003F79CC"/>
    <w:rsid w:val="003F7ABF"/>
    <w:rsid w:val="003F7C0E"/>
    <w:rsid w:val="003F7C16"/>
    <w:rsid w:val="003F7D6E"/>
    <w:rsid w:val="003F7EF0"/>
    <w:rsid w:val="003F7F77"/>
    <w:rsid w:val="00400050"/>
    <w:rsid w:val="00400102"/>
    <w:rsid w:val="00400129"/>
    <w:rsid w:val="00400250"/>
    <w:rsid w:val="0040027B"/>
    <w:rsid w:val="004002FF"/>
    <w:rsid w:val="0040032D"/>
    <w:rsid w:val="004005EE"/>
    <w:rsid w:val="00400679"/>
    <w:rsid w:val="0040095E"/>
    <w:rsid w:val="00400A7D"/>
    <w:rsid w:val="00400C7B"/>
    <w:rsid w:val="00400DA1"/>
    <w:rsid w:val="00400E58"/>
    <w:rsid w:val="00400E8D"/>
    <w:rsid w:val="00401186"/>
    <w:rsid w:val="00401687"/>
    <w:rsid w:val="004017E8"/>
    <w:rsid w:val="00401894"/>
    <w:rsid w:val="00401A08"/>
    <w:rsid w:val="00401B12"/>
    <w:rsid w:val="00401B7D"/>
    <w:rsid w:val="00401E96"/>
    <w:rsid w:val="00401EAB"/>
    <w:rsid w:val="004020CC"/>
    <w:rsid w:val="00402290"/>
    <w:rsid w:val="004022D9"/>
    <w:rsid w:val="004023F7"/>
    <w:rsid w:val="00402442"/>
    <w:rsid w:val="00402512"/>
    <w:rsid w:val="0040265C"/>
    <w:rsid w:val="004029AC"/>
    <w:rsid w:val="00402ACA"/>
    <w:rsid w:val="00402B9D"/>
    <w:rsid w:val="00402E1A"/>
    <w:rsid w:val="00402FDB"/>
    <w:rsid w:val="0040300A"/>
    <w:rsid w:val="00403038"/>
    <w:rsid w:val="0040305C"/>
    <w:rsid w:val="00403319"/>
    <w:rsid w:val="00403396"/>
    <w:rsid w:val="004034C9"/>
    <w:rsid w:val="00403628"/>
    <w:rsid w:val="0040366B"/>
    <w:rsid w:val="00403710"/>
    <w:rsid w:val="004039FF"/>
    <w:rsid w:val="00403A8E"/>
    <w:rsid w:val="00403ADF"/>
    <w:rsid w:val="00403B07"/>
    <w:rsid w:val="00403B2C"/>
    <w:rsid w:val="00403B3D"/>
    <w:rsid w:val="0040402A"/>
    <w:rsid w:val="00404201"/>
    <w:rsid w:val="00404205"/>
    <w:rsid w:val="00404465"/>
    <w:rsid w:val="00404597"/>
    <w:rsid w:val="00404617"/>
    <w:rsid w:val="004047E5"/>
    <w:rsid w:val="00404B01"/>
    <w:rsid w:val="00404B88"/>
    <w:rsid w:val="00404D1E"/>
    <w:rsid w:val="00404E44"/>
    <w:rsid w:val="00404E9C"/>
    <w:rsid w:val="00404EFC"/>
    <w:rsid w:val="00405141"/>
    <w:rsid w:val="0040528E"/>
    <w:rsid w:val="004053B6"/>
    <w:rsid w:val="00405462"/>
    <w:rsid w:val="00405642"/>
    <w:rsid w:val="00405840"/>
    <w:rsid w:val="00405980"/>
    <w:rsid w:val="00405A46"/>
    <w:rsid w:val="00405A5D"/>
    <w:rsid w:val="00405BE1"/>
    <w:rsid w:val="00405E17"/>
    <w:rsid w:val="00405E28"/>
    <w:rsid w:val="00406010"/>
    <w:rsid w:val="00406427"/>
    <w:rsid w:val="004064A2"/>
    <w:rsid w:val="004064F7"/>
    <w:rsid w:val="0040651D"/>
    <w:rsid w:val="00406791"/>
    <w:rsid w:val="00406831"/>
    <w:rsid w:val="0040688A"/>
    <w:rsid w:val="004068A1"/>
    <w:rsid w:val="00406C0C"/>
    <w:rsid w:val="00406DC7"/>
    <w:rsid w:val="00406E21"/>
    <w:rsid w:val="00406E67"/>
    <w:rsid w:val="00406FA2"/>
    <w:rsid w:val="0040702B"/>
    <w:rsid w:val="0040727F"/>
    <w:rsid w:val="00407307"/>
    <w:rsid w:val="004073AF"/>
    <w:rsid w:val="004077F7"/>
    <w:rsid w:val="00407808"/>
    <w:rsid w:val="0040786C"/>
    <w:rsid w:val="004078B0"/>
    <w:rsid w:val="00407A98"/>
    <w:rsid w:val="00407BDC"/>
    <w:rsid w:val="00407C45"/>
    <w:rsid w:val="00407CD3"/>
    <w:rsid w:val="00407D6B"/>
    <w:rsid w:val="00407D6D"/>
    <w:rsid w:val="00407F3B"/>
    <w:rsid w:val="00410201"/>
    <w:rsid w:val="0041020E"/>
    <w:rsid w:val="00410304"/>
    <w:rsid w:val="00410390"/>
    <w:rsid w:val="004103C3"/>
    <w:rsid w:val="0041048D"/>
    <w:rsid w:val="0041053D"/>
    <w:rsid w:val="0041059E"/>
    <w:rsid w:val="00410613"/>
    <w:rsid w:val="00410675"/>
    <w:rsid w:val="004107A4"/>
    <w:rsid w:val="004108B7"/>
    <w:rsid w:val="0041097B"/>
    <w:rsid w:val="00410A26"/>
    <w:rsid w:val="00410A70"/>
    <w:rsid w:val="00410B53"/>
    <w:rsid w:val="00410E70"/>
    <w:rsid w:val="00411198"/>
    <w:rsid w:val="004111BD"/>
    <w:rsid w:val="00411306"/>
    <w:rsid w:val="0041135B"/>
    <w:rsid w:val="00411419"/>
    <w:rsid w:val="00411533"/>
    <w:rsid w:val="004115A3"/>
    <w:rsid w:val="00411869"/>
    <w:rsid w:val="00411A0F"/>
    <w:rsid w:val="00411E70"/>
    <w:rsid w:val="00412159"/>
    <w:rsid w:val="0041219F"/>
    <w:rsid w:val="0041223B"/>
    <w:rsid w:val="00412247"/>
    <w:rsid w:val="00412265"/>
    <w:rsid w:val="004122EC"/>
    <w:rsid w:val="004124CB"/>
    <w:rsid w:val="00412575"/>
    <w:rsid w:val="004125E3"/>
    <w:rsid w:val="00412620"/>
    <w:rsid w:val="004126BB"/>
    <w:rsid w:val="004127D8"/>
    <w:rsid w:val="00412A01"/>
    <w:rsid w:val="00412A18"/>
    <w:rsid w:val="00412A48"/>
    <w:rsid w:val="00412E8A"/>
    <w:rsid w:val="00413044"/>
    <w:rsid w:val="0041305A"/>
    <w:rsid w:val="00413089"/>
    <w:rsid w:val="0041325D"/>
    <w:rsid w:val="004133D3"/>
    <w:rsid w:val="00413570"/>
    <w:rsid w:val="00413667"/>
    <w:rsid w:val="004136BF"/>
    <w:rsid w:val="0041371C"/>
    <w:rsid w:val="00413722"/>
    <w:rsid w:val="004137F4"/>
    <w:rsid w:val="0041383A"/>
    <w:rsid w:val="0041398D"/>
    <w:rsid w:val="00413CAE"/>
    <w:rsid w:val="00413CFB"/>
    <w:rsid w:val="00413DD6"/>
    <w:rsid w:val="0041412A"/>
    <w:rsid w:val="0041414C"/>
    <w:rsid w:val="004142B1"/>
    <w:rsid w:val="0041446A"/>
    <w:rsid w:val="0041447A"/>
    <w:rsid w:val="004144C6"/>
    <w:rsid w:val="00414587"/>
    <w:rsid w:val="004145D1"/>
    <w:rsid w:val="00414646"/>
    <w:rsid w:val="004146D5"/>
    <w:rsid w:val="004146F8"/>
    <w:rsid w:val="00414CB9"/>
    <w:rsid w:val="00414E9E"/>
    <w:rsid w:val="00414F97"/>
    <w:rsid w:val="00415278"/>
    <w:rsid w:val="00415379"/>
    <w:rsid w:val="0041545A"/>
    <w:rsid w:val="004155F9"/>
    <w:rsid w:val="00415671"/>
    <w:rsid w:val="004158E5"/>
    <w:rsid w:val="00415A27"/>
    <w:rsid w:val="00415A7F"/>
    <w:rsid w:val="00415AA5"/>
    <w:rsid w:val="00415DEF"/>
    <w:rsid w:val="00415E2A"/>
    <w:rsid w:val="00415E5A"/>
    <w:rsid w:val="00415E64"/>
    <w:rsid w:val="00415F07"/>
    <w:rsid w:val="00415F4D"/>
    <w:rsid w:val="004161BE"/>
    <w:rsid w:val="00416231"/>
    <w:rsid w:val="004163CD"/>
    <w:rsid w:val="004164D8"/>
    <w:rsid w:val="004165FF"/>
    <w:rsid w:val="004166A2"/>
    <w:rsid w:val="0041675A"/>
    <w:rsid w:val="004169A2"/>
    <w:rsid w:val="00416AE1"/>
    <w:rsid w:val="00416C06"/>
    <w:rsid w:val="00416E1F"/>
    <w:rsid w:val="00416F69"/>
    <w:rsid w:val="0041709B"/>
    <w:rsid w:val="004170CD"/>
    <w:rsid w:val="0041710C"/>
    <w:rsid w:val="00417243"/>
    <w:rsid w:val="004173A9"/>
    <w:rsid w:val="00417622"/>
    <w:rsid w:val="004177BA"/>
    <w:rsid w:val="0041794A"/>
    <w:rsid w:val="00417B15"/>
    <w:rsid w:val="00417B16"/>
    <w:rsid w:val="00417E6A"/>
    <w:rsid w:val="00417EE2"/>
    <w:rsid w:val="00417FC5"/>
    <w:rsid w:val="00420129"/>
    <w:rsid w:val="004201DB"/>
    <w:rsid w:val="00420342"/>
    <w:rsid w:val="00420533"/>
    <w:rsid w:val="00420547"/>
    <w:rsid w:val="00420570"/>
    <w:rsid w:val="00420588"/>
    <w:rsid w:val="0042079A"/>
    <w:rsid w:val="00420802"/>
    <w:rsid w:val="00420828"/>
    <w:rsid w:val="00420839"/>
    <w:rsid w:val="0042090E"/>
    <w:rsid w:val="004209A8"/>
    <w:rsid w:val="00420B4B"/>
    <w:rsid w:val="00420B8B"/>
    <w:rsid w:val="00420BB6"/>
    <w:rsid w:val="00420C6B"/>
    <w:rsid w:val="00420CD0"/>
    <w:rsid w:val="00420CDA"/>
    <w:rsid w:val="00420D25"/>
    <w:rsid w:val="00420E76"/>
    <w:rsid w:val="00420F57"/>
    <w:rsid w:val="0042112E"/>
    <w:rsid w:val="00421356"/>
    <w:rsid w:val="004213A1"/>
    <w:rsid w:val="004214E9"/>
    <w:rsid w:val="004216AC"/>
    <w:rsid w:val="00421704"/>
    <w:rsid w:val="004217ED"/>
    <w:rsid w:val="00421821"/>
    <w:rsid w:val="00421848"/>
    <w:rsid w:val="00421877"/>
    <w:rsid w:val="004218AD"/>
    <w:rsid w:val="00421A4E"/>
    <w:rsid w:val="00421A64"/>
    <w:rsid w:val="00421FB0"/>
    <w:rsid w:val="0042210A"/>
    <w:rsid w:val="0042243D"/>
    <w:rsid w:val="00422566"/>
    <w:rsid w:val="004226C3"/>
    <w:rsid w:val="00422E31"/>
    <w:rsid w:val="004231A9"/>
    <w:rsid w:val="0042326F"/>
    <w:rsid w:val="0042336E"/>
    <w:rsid w:val="004235B4"/>
    <w:rsid w:val="004236A5"/>
    <w:rsid w:val="0042380B"/>
    <w:rsid w:val="004238A7"/>
    <w:rsid w:val="004238F9"/>
    <w:rsid w:val="0042391F"/>
    <w:rsid w:val="00423B46"/>
    <w:rsid w:val="00423BDB"/>
    <w:rsid w:val="00423C62"/>
    <w:rsid w:val="00423C96"/>
    <w:rsid w:val="00423CCA"/>
    <w:rsid w:val="00423D26"/>
    <w:rsid w:val="00423D4F"/>
    <w:rsid w:val="00423EA2"/>
    <w:rsid w:val="00423FCE"/>
    <w:rsid w:val="0042411D"/>
    <w:rsid w:val="0042413C"/>
    <w:rsid w:val="0042435E"/>
    <w:rsid w:val="004243E9"/>
    <w:rsid w:val="004246DA"/>
    <w:rsid w:val="004247DA"/>
    <w:rsid w:val="004247FE"/>
    <w:rsid w:val="00424ABB"/>
    <w:rsid w:val="00424C83"/>
    <w:rsid w:val="00424D8E"/>
    <w:rsid w:val="00424EF3"/>
    <w:rsid w:val="00425189"/>
    <w:rsid w:val="00425463"/>
    <w:rsid w:val="00425475"/>
    <w:rsid w:val="00425585"/>
    <w:rsid w:val="004256FD"/>
    <w:rsid w:val="0042584B"/>
    <w:rsid w:val="00425886"/>
    <w:rsid w:val="004258E2"/>
    <w:rsid w:val="00425A80"/>
    <w:rsid w:val="00425B7B"/>
    <w:rsid w:val="00425BA4"/>
    <w:rsid w:val="00425CE1"/>
    <w:rsid w:val="00425DEB"/>
    <w:rsid w:val="00425F4C"/>
    <w:rsid w:val="00426070"/>
    <w:rsid w:val="00426200"/>
    <w:rsid w:val="00426273"/>
    <w:rsid w:val="004262B5"/>
    <w:rsid w:val="00426315"/>
    <w:rsid w:val="004263E9"/>
    <w:rsid w:val="004267FF"/>
    <w:rsid w:val="0042687D"/>
    <w:rsid w:val="00426927"/>
    <w:rsid w:val="00426928"/>
    <w:rsid w:val="00426E1C"/>
    <w:rsid w:val="00426EE1"/>
    <w:rsid w:val="00426F36"/>
    <w:rsid w:val="00426FD6"/>
    <w:rsid w:val="00426FF5"/>
    <w:rsid w:val="00427019"/>
    <w:rsid w:val="00427054"/>
    <w:rsid w:val="004272D2"/>
    <w:rsid w:val="00427315"/>
    <w:rsid w:val="00427475"/>
    <w:rsid w:val="0042749E"/>
    <w:rsid w:val="004276D9"/>
    <w:rsid w:val="004276F0"/>
    <w:rsid w:val="00427725"/>
    <w:rsid w:val="0042775F"/>
    <w:rsid w:val="00427908"/>
    <w:rsid w:val="00427A8C"/>
    <w:rsid w:val="00427BBD"/>
    <w:rsid w:val="00427C29"/>
    <w:rsid w:val="00427D1D"/>
    <w:rsid w:val="00427E40"/>
    <w:rsid w:val="00427E9B"/>
    <w:rsid w:val="00427F65"/>
    <w:rsid w:val="00427FB5"/>
    <w:rsid w:val="00430006"/>
    <w:rsid w:val="0043001A"/>
    <w:rsid w:val="0043002F"/>
    <w:rsid w:val="004300BA"/>
    <w:rsid w:val="004300BB"/>
    <w:rsid w:val="0043019F"/>
    <w:rsid w:val="004301E4"/>
    <w:rsid w:val="004302BE"/>
    <w:rsid w:val="00430611"/>
    <w:rsid w:val="00430A76"/>
    <w:rsid w:val="00430B84"/>
    <w:rsid w:val="00430BF4"/>
    <w:rsid w:val="00430BF8"/>
    <w:rsid w:val="00430CBD"/>
    <w:rsid w:val="00430F5D"/>
    <w:rsid w:val="00431068"/>
    <w:rsid w:val="004310BD"/>
    <w:rsid w:val="004311BA"/>
    <w:rsid w:val="00431207"/>
    <w:rsid w:val="0043121A"/>
    <w:rsid w:val="00431232"/>
    <w:rsid w:val="004312BC"/>
    <w:rsid w:val="004312F2"/>
    <w:rsid w:val="00431362"/>
    <w:rsid w:val="00431375"/>
    <w:rsid w:val="00431437"/>
    <w:rsid w:val="00431645"/>
    <w:rsid w:val="0043177D"/>
    <w:rsid w:val="00431A1E"/>
    <w:rsid w:val="00431B6F"/>
    <w:rsid w:val="00431C80"/>
    <w:rsid w:val="00431FFB"/>
    <w:rsid w:val="0043224B"/>
    <w:rsid w:val="00432259"/>
    <w:rsid w:val="00432302"/>
    <w:rsid w:val="00432488"/>
    <w:rsid w:val="004326F3"/>
    <w:rsid w:val="0043276E"/>
    <w:rsid w:val="0043293F"/>
    <w:rsid w:val="00432A6C"/>
    <w:rsid w:val="00432E1C"/>
    <w:rsid w:val="00432F30"/>
    <w:rsid w:val="00432FAC"/>
    <w:rsid w:val="0043305B"/>
    <w:rsid w:val="004331B5"/>
    <w:rsid w:val="0043322F"/>
    <w:rsid w:val="004335D5"/>
    <w:rsid w:val="00433765"/>
    <w:rsid w:val="0043378D"/>
    <w:rsid w:val="004337F7"/>
    <w:rsid w:val="004338E6"/>
    <w:rsid w:val="004339A6"/>
    <w:rsid w:val="00433AF9"/>
    <w:rsid w:val="00433B92"/>
    <w:rsid w:val="00433D38"/>
    <w:rsid w:val="00433F7D"/>
    <w:rsid w:val="00433FC8"/>
    <w:rsid w:val="00434091"/>
    <w:rsid w:val="004342B1"/>
    <w:rsid w:val="0043443D"/>
    <w:rsid w:val="00434490"/>
    <w:rsid w:val="004345F5"/>
    <w:rsid w:val="00434791"/>
    <w:rsid w:val="00434806"/>
    <w:rsid w:val="00434ADF"/>
    <w:rsid w:val="00434D55"/>
    <w:rsid w:val="00434DDB"/>
    <w:rsid w:val="00434FEF"/>
    <w:rsid w:val="00435040"/>
    <w:rsid w:val="00435045"/>
    <w:rsid w:val="0043520A"/>
    <w:rsid w:val="0043526B"/>
    <w:rsid w:val="004354D9"/>
    <w:rsid w:val="004356C2"/>
    <w:rsid w:val="004356C5"/>
    <w:rsid w:val="004356FF"/>
    <w:rsid w:val="00435799"/>
    <w:rsid w:val="00435800"/>
    <w:rsid w:val="0043596E"/>
    <w:rsid w:val="00435A98"/>
    <w:rsid w:val="00435B76"/>
    <w:rsid w:val="00435C29"/>
    <w:rsid w:val="00435CBC"/>
    <w:rsid w:val="00435E71"/>
    <w:rsid w:val="00436016"/>
    <w:rsid w:val="00436067"/>
    <w:rsid w:val="0043627B"/>
    <w:rsid w:val="004362CC"/>
    <w:rsid w:val="004363CC"/>
    <w:rsid w:val="00436447"/>
    <w:rsid w:val="0043658B"/>
    <w:rsid w:val="004365CD"/>
    <w:rsid w:val="00436810"/>
    <w:rsid w:val="004369A2"/>
    <w:rsid w:val="004369D1"/>
    <w:rsid w:val="00436A1C"/>
    <w:rsid w:val="00436A5C"/>
    <w:rsid w:val="004370CF"/>
    <w:rsid w:val="004371D2"/>
    <w:rsid w:val="00437201"/>
    <w:rsid w:val="004372D7"/>
    <w:rsid w:val="004372D8"/>
    <w:rsid w:val="00437339"/>
    <w:rsid w:val="00437346"/>
    <w:rsid w:val="00437354"/>
    <w:rsid w:val="0043740D"/>
    <w:rsid w:val="00437642"/>
    <w:rsid w:val="00437803"/>
    <w:rsid w:val="0043786C"/>
    <w:rsid w:val="0043786D"/>
    <w:rsid w:val="004378C8"/>
    <w:rsid w:val="0043799F"/>
    <w:rsid w:val="00437B67"/>
    <w:rsid w:val="00437C29"/>
    <w:rsid w:val="00437EA9"/>
    <w:rsid w:val="00437F75"/>
    <w:rsid w:val="0044033D"/>
    <w:rsid w:val="00440422"/>
    <w:rsid w:val="004404E7"/>
    <w:rsid w:val="004405CB"/>
    <w:rsid w:val="0044076D"/>
    <w:rsid w:val="0044076F"/>
    <w:rsid w:val="004407D5"/>
    <w:rsid w:val="00440822"/>
    <w:rsid w:val="00440AB7"/>
    <w:rsid w:val="00440B87"/>
    <w:rsid w:val="00440EB6"/>
    <w:rsid w:val="00440FA5"/>
    <w:rsid w:val="00441112"/>
    <w:rsid w:val="00441239"/>
    <w:rsid w:val="004412DD"/>
    <w:rsid w:val="004414D2"/>
    <w:rsid w:val="004415D2"/>
    <w:rsid w:val="00441773"/>
    <w:rsid w:val="00441902"/>
    <w:rsid w:val="00441935"/>
    <w:rsid w:val="00441C98"/>
    <w:rsid w:val="00441CDD"/>
    <w:rsid w:val="00441EEA"/>
    <w:rsid w:val="004423BB"/>
    <w:rsid w:val="00442460"/>
    <w:rsid w:val="004424EC"/>
    <w:rsid w:val="0044255B"/>
    <w:rsid w:val="004425F8"/>
    <w:rsid w:val="004427CA"/>
    <w:rsid w:val="004427CD"/>
    <w:rsid w:val="004427DD"/>
    <w:rsid w:val="00442849"/>
    <w:rsid w:val="00442956"/>
    <w:rsid w:val="00442A05"/>
    <w:rsid w:val="00442A70"/>
    <w:rsid w:val="00442D18"/>
    <w:rsid w:val="00442DDF"/>
    <w:rsid w:val="00442DE1"/>
    <w:rsid w:val="00442E09"/>
    <w:rsid w:val="0044304D"/>
    <w:rsid w:val="00443069"/>
    <w:rsid w:val="004430D6"/>
    <w:rsid w:val="004430F1"/>
    <w:rsid w:val="004433F7"/>
    <w:rsid w:val="00443420"/>
    <w:rsid w:val="0044377E"/>
    <w:rsid w:val="00443A79"/>
    <w:rsid w:val="00443B35"/>
    <w:rsid w:val="00443BC7"/>
    <w:rsid w:val="00443C04"/>
    <w:rsid w:val="00443C33"/>
    <w:rsid w:val="00443CDD"/>
    <w:rsid w:val="00443CEA"/>
    <w:rsid w:val="00443D79"/>
    <w:rsid w:val="00444004"/>
    <w:rsid w:val="004440AF"/>
    <w:rsid w:val="004440D2"/>
    <w:rsid w:val="00444120"/>
    <w:rsid w:val="0044412A"/>
    <w:rsid w:val="004441AE"/>
    <w:rsid w:val="004441B0"/>
    <w:rsid w:val="004441B6"/>
    <w:rsid w:val="004443CE"/>
    <w:rsid w:val="004443E7"/>
    <w:rsid w:val="00444419"/>
    <w:rsid w:val="00444472"/>
    <w:rsid w:val="00444500"/>
    <w:rsid w:val="0044452F"/>
    <w:rsid w:val="004445CA"/>
    <w:rsid w:val="0044473F"/>
    <w:rsid w:val="0044474C"/>
    <w:rsid w:val="004447FF"/>
    <w:rsid w:val="00444A33"/>
    <w:rsid w:val="00444A3F"/>
    <w:rsid w:val="00444E01"/>
    <w:rsid w:val="00444ED8"/>
    <w:rsid w:val="00444F41"/>
    <w:rsid w:val="004451BB"/>
    <w:rsid w:val="00445285"/>
    <w:rsid w:val="00445293"/>
    <w:rsid w:val="004452A0"/>
    <w:rsid w:val="00445481"/>
    <w:rsid w:val="0044558E"/>
    <w:rsid w:val="004455C3"/>
    <w:rsid w:val="00445646"/>
    <w:rsid w:val="004456FF"/>
    <w:rsid w:val="0044576E"/>
    <w:rsid w:val="004457D7"/>
    <w:rsid w:val="00445AC4"/>
    <w:rsid w:val="00445B40"/>
    <w:rsid w:val="00445BAA"/>
    <w:rsid w:val="00445DA5"/>
    <w:rsid w:val="00445DB2"/>
    <w:rsid w:val="0044611C"/>
    <w:rsid w:val="00446168"/>
    <w:rsid w:val="004464A0"/>
    <w:rsid w:val="004464D4"/>
    <w:rsid w:val="00446689"/>
    <w:rsid w:val="004466B3"/>
    <w:rsid w:val="00446729"/>
    <w:rsid w:val="0044675E"/>
    <w:rsid w:val="00446763"/>
    <w:rsid w:val="00446858"/>
    <w:rsid w:val="004468BE"/>
    <w:rsid w:val="004468C3"/>
    <w:rsid w:val="004468F1"/>
    <w:rsid w:val="00446900"/>
    <w:rsid w:val="00446990"/>
    <w:rsid w:val="00446DE9"/>
    <w:rsid w:val="0044739C"/>
    <w:rsid w:val="004473EC"/>
    <w:rsid w:val="00447566"/>
    <w:rsid w:val="00447610"/>
    <w:rsid w:val="0044761F"/>
    <w:rsid w:val="004477BA"/>
    <w:rsid w:val="00447929"/>
    <w:rsid w:val="00447C3A"/>
    <w:rsid w:val="00447C42"/>
    <w:rsid w:val="00447E6B"/>
    <w:rsid w:val="00450116"/>
    <w:rsid w:val="0045016D"/>
    <w:rsid w:val="004503E3"/>
    <w:rsid w:val="00450450"/>
    <w:rsid w:val="00450544"/>
    <w:rsid w:val="00450577"/>
    <w:rsid w:val="0045059D"/>
    <w:rsid w:val="004506CA"/>
    <w:rsid w:val="004507B4"/>
    <w:rsid w:val="004508E7"/>
    <w:rsid w:val="004509BF"/>
    <w:rsid w:val="00450C9E"/>
    <w:rsid w:val="00450D2E"/>
    <w:rsid w:val="00450DDE"/>
    <w:rsid w:val="00450E82"/>
    <w:rsid w:val="00450FDB"/>
    <w:rsid w:val="00451028"/>
    <w:rsid w:val="004511AE"/>
    <w:rsid w:val="004511AF"/>
    <w:rsid w:val="00451321"/>
    <w:rsid w:val="004513A0"/>
    <w:rsid w:val="004513AF"/>
    <w:rsid w:val="004513C4"/>
    <w:rsid w:val="00451410"/>
    <w:rsid w:val="004515A4"/>
    <w:rsid w:val="004515BB"/>
    <w:rsid w:val="004516C2"/>
    <w:rsid w:val="00451726"/>
    <w:rsid w:val="00451ABF"/>
    <w:rsid w:val="00451B4D"/>
    <w:rsid w:val="00451BA7"/>
    <w:rsid w:val="00451C5E"/>
    <w:rsid w:val="004520D2"/>
    <w:rsid w:val="004520D3"/>
    <w:rsid w:val="004520D9"/>
    <w:rsid w:val="004520EB"/>
    <w:rsid w:val="00452278"/>
    <w:rsid w:val="004522F8"/>
    <w:rsid w:val="00452349"/>
    <w:rsid w:val="0045249B"/>
    <w:rsid w:val="004524CC"/>
    <w:rsid w:val="004525C2"/>
    <w:rsid w:val="004525EB"/>
    <w:rsid w:val="00452669"/>
    <w:rsid w:val="004526AE"/>
    <w:rsid w:val="004527F2"/>
    <w:rsid w:val="00452868"/>
    <w:rsid w:val="004528FA"/>
    <w:rsid w:val="0045290E"/>
    <w:rsid w:val="00452A96"/>
    <w:rsid w:val="00452B5D"/>
    <w:rsid w:val="00452D5A"/>
    <w:rsid w:val="00452E42"/>
    <w:rsid w:val="00453025"/>
    <w:rsid w:val="004530B0"/>
    <w:rsid w:val="004531BA"/>
    <w:rsid w:val="004531E8"/>
    <w:rsid w:val="00453362"/>
    <w:rsid w:val="004533C9"/>
    <w:rsid w:val="004536A0"/>
    <w:rsid w:val="004538BD"/>
    <w:rsid w:val="00453A74"/>
    <w:rsid w:val="00453ADD"/>
    <w:rsid w:val="00453AE1"/>
    <w:rsid w:val="00453B22"/>
    <w:rsid w:val="00453C8A"/>
    <w:rsid w:val="00453D60"/>
    <w:rsid w:val="00453D66"/>
    <w:rsid w:val="00453DF9"/>
    <w:rsid w:val="00453DFC"/>
    <w:rsid w:val="00453E73"/>
    <w:rsid w:val="00454121"/>
    <w:rsid w:val="004541F1"/>
    <w:rsid w:val="00454479"/>
    <w:rsid w:val="004544FD"/>
    <w:rsid w:val="00454649"/>
    <w:rsid w:val="0045469A"/>
    <w:rsid w:val="00454718"/>
    <w:rsid w:val="004547CF"/>
    <w:rsid w:val="0045482E"/>
    <w:rsid w:val="004549BA"/>
    <w:rsid w:val="00454AC3"/>
    <w:rsid w:val="00454AD4"/>
    <w:rsid w:val="00454C46"/>
    <w:rsid w:val="00454E07"/>
    <w:rsid w:val="00454E24"/>
    <w:rsid w:val="00454E2D"/>
    <w:rsid w:val="0045516F"/>
    <w:rsid w:val="00455209"/>
    <w:rsid w:val="0045527F"/>
    <w:rsid w:val="004554CD"/>
    <w:rsid w:val="00455538"/>
    <w:rsid w:val="00455548"/>
    <w:rsid w:val="00455563"/>
    <w:rsid w:val="0045564F"/>
    <w:rsid w:val="004556CD"/>
    <w:rsid w:val="00455765"/>
    <w:rsid w:val="004557FD"/>
    <w:rsid w:val="0045586C"/>
    <w:rsid w:val="00455B20"/>
    <w:rsid w:val="00455C24"/>
    <w:rsid w:val="00455F31"/>
    <w:rsid w:val="004560C7"/>
    <w:rsid w:val="004562DE"/>
    <w:rsid w:val="00456356"/>
    <w:rsid w:val="004563A2"/>
    <w:rsid w:val="0045668C"/>
    <w:rsid w:val="00456697"/>
    <w:rsid w:val="00456716"/>
    <w:rsid w:val="004568E9"/>
    <w:rsid w:val="00456C91"/>
    <w:rsid w:val="00456D2F"/>
    <w:rsid w:val="00456D6D"/>
    <w:rsid w:val="00456E6B"/>
    <w:rsid w:val="00456F13"/>
    <w:rsid w:val="00456FDD"/>
    <w:rsid w:val="00457225"/>
    <w:rsid w:val="00457368"/>
    <w:rsid w:val="004573FE"/>
    <w:rsid w:val="00457612"/>
    <w:rsid w:val="00457698"/>
    <w:rsid w:val="0045785B"/>
    <w:rsid w:val="004578E7"/>
    <w:rsid w:val="00457A31"/>
    <w:rsid w:val="00457E7D"/>
    <w:rsid w:val="004600E0"/>
    <w:rsid w:val="004601F5"/>
    <w:rsid w:val="0046022F"/>
    <w:rsid w:val="004602E1"/>
    <w:rsid w:val="004603AA"/>
    <w:rsid w:val="004604CE"/>
    <w:rsid w:val="004604FC"/>
    <w:rsid w:val="00460500"/>
    <w:rsid w:val="00460570"/>
    <w:rsid w:val="004609ED"/>
    <w:rsid w:val="00460A74"/>
    <w:rsid w:val="00460BB1"/>
    <w:rsid w:val="00460C13"/>
    <w:rsid w:val="00460D3E"/>
    <w:rsid w:val="00460D63"/>
    <w:rsid w:val="004611F8"/>
    <w:rsid w:val="00461293"/>
    <w:rsid w:val="0046136C"/>
    <w:rsid w:val="004613AA"/>
    <w:rsid w:val="00461401"/>
    <w:rsid w:val="00461460"/>
    <w:rsid w:val="004615E4"/>
    <w:rsid w:val="004617A1"/>
    <w:rsid w:val="0046187B"/>
    <w:rsid w:val="004618F3"/>
    <w:rsid w:val="00461934"/>
    <w:rsid w:val="00461A1B"/>
    <w:rsid w:val="00461A9E"/>
    <w:rsid w:val="00461C49"/>
    <w:rsid w:val="00461CAE"/>
    <w:rsid w:val="00461F9D"/>
    <w:rsid w:val="004620C4"/>
    <w:rsid w:val="004620CA"/>
    <w:rsid w:val="004623BE"/>
    <w:rsid w:val="00462510"/>
    <w:rsid w:val="0046253E"/>
    <w:rsid w:val="00462546"/>
    <w:rsid w:val="00462726"/>
    <w:rsid w:val="0046272F"/>
    <w:rsid w:val="004627E6"/>
    <w:rsid w:val="00462860"/>
    <w:rsid w:val="00462920"/>
    <w:rsid w:val="004629DF"/>
    <w:rsid w:val="00462A1B"/>
    <w:rsid w:val="00462D0E"/>
    <w:rsid w:val="00462E4A"/>
    <w:rsid w:val="00462E64"/>
    <w:rsid w:val="00462F27"/>
    <w:rsid w:val="00463027"/>
    <w:rsid w:val="004631B9"/>
    <w:rsid w:val="004633B4"/>
    <w:rsid w:val="0046385A"/>
    <w:rsid w:val="00463961"/>
    <w:rsid w:val="00463A68"/>
    <w:rsid w:val="00463B37"/>
    <w:rsid w:val="00463B3C"/>
    <w:rsid w:val="00463B6A"/>
    <w:rsid w:val="00463DEC"/>
    <w:rsid w:val="00463E79"/>
    <w:rsid w:val="00463FC0"/>
    <w:rsid w:val="00464031"/>
    <w:rsid w:val="00464085"/>
    <w:rsid w:val="004641FE"/>
    <w:rsid w:val="0046430C"/>
    <w:rsid w:val="0046449C"/>
    <w:rsid w:val="004646BC"/>
    <w:rsid w:val="004647F1"/>
    <w:rsid w:val="004648BF"/>
    <w:rsid w:val="004649EA"/>
    <w:rsid w:val="00464A1A"/>
    <w:rsid w:val="00464A57"/>
    <w:rsid w:val="00464B7F"/>
    <w:rsid w:val="00464B9C"/>
    <w:rsid w:val="00464BD8"/>
    <w:rsid w:val="00464E8E"/>
    <w:rsid w:val="00465039"/>
    <w:rsid w:val="0046526B"/>
    <w:rsid w:val="00465284"/>
    <w:rsid w:val="0046536D"/>
    <w:rsid w:val="0046547F"/>
    <w:rsid w:val="0046551F"/>
    <w:rsid w:val="004655BE"/>
    <w:rsid w:val="004656F0"/>
    <w:rsid w:val="00465730"/>
    <w:rsid w:val="0046586F"/>
    <w:rsid w:val="004658D6"/>
    <w:rsid w:val="00465932"/>
    <w:rsid w:val="00465995"/>
    <w:rsid w:val="00465A51"/>
    <w:rsid w:val="00465BBB"/>
    <w:rsid w:val="00465D56"/>
    <w:rsid w:val="00465E40"/>
    <w:rsid w:val="00465F24"/>
    <w:rsid w:val="004662BD"/>
    <w:rsid w:val="0046630C"/>
    <w:rsid w:val="00466397"/>
    <w:rsid w:val="004663E9"/>
    <w:rsid w:val="00466574"/>
    <w:rsid w:val="004665A8"/>
    <w:rsid w:val="00466721"/>
    <w:rsid w:val="0046690A"/>
    <w:rsid w:val="004669AB"/>
    <w:rsid w:val="004669D5"/>
    <w:rsid w:val="00466A8A"/>
    <w:rsid w:val="00466B31"/>
    <w:rsid w:val="00466BAE"/>
    <w:rsid w:val="00466BEB"/>
    <w:rsid w:val="00466C5A"/>
    <w:rsid w:val="00466CD0"/>
    <w:rsid w:val="00466DE8"/>
    <w:rsid w:val="00466E09"/>
    <w:rsid w:val="00466E21"/>
    <w:rsid w:val="00466E24"/>
    <w:rsid w:val="00466EAB"/>
    <w:rsid w:val="00466F67"/>
    <w:rsid w:val="004671B3"/>
    <w:rsid w:val="004672E3"/>
    <w:rsid w:val="0046739C"/>
    <w:rsid w:val="004674E9"/>
    <w:rsid w:val="00467525"/>
    <w:rsid w:val="00467591"/>
    <w:rsid w:val="00467751"/>
    <w:rsid w:val="00467A23"/>
    <w:rsid w:val="00467A6A"/>
    <w:rsid w:val="00467A9E"/>
    <w:rsid w:val="00467F5A"/>
    <w:rsid w:val="00467F79"/>
    <w:rsid w:val="00467FC3"/>
    <w:rsid w:val="00470430"/>
    <w:rsid w:val="0047046E"/>
    <w:rsid w:val="00470539"/>
    <w:rsid w:val="0047058D"/>
    <w:rsid w:val="00470928"/>
    <w:rsid w:val="00470932"/>
    <w:rsid w:val="00470AC0"/>
    <w:rsid w:val="00470B00"/>
    <w:rsid w:val="00470CB2"/>
    <w:rsid w:val="00470D41"/>
    <w:rsid w:val="00470D52"/>
    <w:rsid w:val="00470E18"/>
    <w:rsid w:val="00470F70"/>
    <w:rsid w:val="004710E7"/>
    <w:rsid w:val="00471335"/>
    <w:rsid w:val="004713E5"/>
    <w:rsid w:val="00471419"/>
    <w:rsid w:val="00471635"/>
    <w:rsid w:val="004716F0"/>
    <w:rsid w:val="004718FE"/>
    <w:rsid w:val="00471AD6"/>
    <w:rsid w:val="00471B6A"/>
    <w:rsid w:val="00471DC2"/>
    <w:rsid w:val="00472083"/>
    <w:rsid w:val="004720BD"/>
    <w:rsid w:val="00472240"/>
    <w:rsid w:val="0047260E"/>
    <w:rsid w:val="004726F3"/>
    <w:rsid w:val="00472732"/>
    <w:rsid w:val="004728F0"/>
    <w:rsid w:val="004728FD"/>
    <w:rsid w:val="00472A1A"/>
    <w:rsid w:val="00472B48"/>
    <w:rsid w:val="00472BED"/>
    <w:rsid w:val="00472DC2"/>
    <w:rsid w:val="00472DF4"/>
    <w:rsid w:val="00472F4B"/>
    <w:rsid w:val="00472F5D"/>
    <w:rsid w:val="0047307D"/>
    <w:rsid w:val="004730D3"/>
    <w:rsid w:val="004731FC"/>
    <w:rsid w:val="00473249"/>
    <w:rsid w:val="00473363"/>
    <w:rsid w:val="00473397"/>
    <w:rsid w:val="0047339A"/>
    <w:rsid w:val="00473494"/>
    <w:rsid w:val="004734C9"/>
    <w:rsid w:val="00473550"/>
    <w:rsid w:val="00473B83"/>
    <w:rsid w:val="00473C24"/>
    <w:rsid w:val="00473F49"/>
    <w:rsid w:val="0047408F"/>
    <w:rsid w:val="004742EB"/>
    <w:rsid w:val="00474385"/>
    <w:rsid w:val="004743D9"/>
    <w:rsid w:val="00474465"/>
    <w:rsid w:val="0047484C"/>
    <w:rsid w:val="004748C6"/>
    <w:rsid w:val="00474951"/>
    <w:rsid w:val="00474999"/>
    <w:rsid w:val="00474BF9"/>
    <w:rsid w:val="00474CB8"/>
    <w:rsid w:val="00474F0E"/>
    <w:rsid w:val="00474FEF"/>
    <w:rsid w:val="00474FF5"/>
    <w:rsid w:val="00475059"/>
    <w:rsid w:val="004750D9"/>
    <w:rsid w:val="00475297"/>
    <w:rsid w:val="004752BF"/>
    <w:rsid w:val="004752D5"/>
    <w:rsid w:val="00475301"/>
    <w:rsid w:val="00475331"/>
    <w:rsid w:val="00475656"/>
    <w:rsid w:val="0047576C"/>
    <w:rsid w:val="00475795"/>
    <w:rsid w:val="00475875"/>
    <w:rsid w:val="0047592F"/>
    <w:rsid w:val="0047599E"/>
    <w:rsid w:val="00475CB6"/>
    <w:rsid w:val="00475EE3"/>
    <w:rsid w:val="00475FD1"/>
    <w:rsid w:val="004760A0"/>
    <w:rsid w:val="00476109"/>
    <w:rsid w:val="00476215"/>
    <w:rsid w:val="00476351"/>
    <w:rsid w:val="004764FB"/>
    <w:rsid w:val="004765AC"/>
    <w:rsid w:val="004765E6"/>
    <w:rsid w:val="00476607"/>
    <w:rsid w:val="004767FD"/>
    <w:rsid w:val="00476AEF"/>
    <w:rsid w:val="0047726C"/>
    <w:rsid w:val="004772FD"/>
    <w:rsid w:val="004772FE"/>
    <w:rsid w:val="0047749B"/>
    <w:rsid w:val="004774A5"/>
    <w:rsid w:val="00477861"/>
    <w:rsid w:val="004779AF"/>
    <w:rsid w:val="00477A25"/>
    <w:rsid w:val="00477C33"/>
    <w:rsid w:val="00477DE7"/>
    <w:rsid w:val="00477EAE"/>
    <w:rsid w:val="004802CA"/>
    <w:rsid w:val="004803D8"/>
    <w:rsid w:val="004803EC"/>
    <w:rsid w:val="00480491"/>
    <w:rsid w:val="004804B5"/>
    <w:rsid w:val="00480624"/>
    <w:rsid w:val="00480720"/>
    <w:rsid w:val="00480874"/>
    <w:rsid w:val="00480981"/>
    <w:rsid w:val="004809AB"/>
    <w:rsid w:val="004809EC"/>
    <w:rsid w:val="00480AB8"/>
    <w:rsid w:val="00480ACD"/>
    <w:rsid w:val="00480B12"/>
    <w:rsid w:val="00480B29"/>
    <w:rsid w:val="00480B8F"/>
    <w:rsid w:val="00481078"/>
    <w:rsid w:val="00481082"/>
    <w:rsid w:val="00481182"/>
    <w:rsid w:val="004811D5"/>
    <w:rsid w:val="00481206"/>
    <w:rsid w:val="00481394"/>
    <w:rsid w:val="004813BE"/>
    <w:rsid w:val="00481412"/>
    <w:rsid w:val="00481565"/>
    <w:rsid w:val="00481A74"/>
    <w:rsid w:val="00481AE4"/>
    <w:rsid w:val="00481BB8"/>
    <w:rsid w:val="00481D7B"/>
    <w:rsid w:val="00481E48"/>
    <w:rsid w:val="004820BB"/>
    <w:rsid w:val="004821DC"/>
    <w:rsid w:val="00482211"/>
    <w:rsid w:val="00482374"/>
    <w:rsid w:val="004824E0"/>
    <w:rsid w:val="0048258C"/>
    <w:rsid w:val="004825AF"/>
    <w:rsid w:val="004829B9"/>
    <w:rsid w:val="00482A42"/>
    <w:rsid w:val="00482B4B"/>
    <w:rsid w:val="00482B5A"/>
    <w:rsid w:val="00482BA1"/>
    <w:rsid w:val="00482C68"/>
    <w:rsid w:val="00482D37"/>
    <w:rsid w:val="00482D58"/>
    <w:rsid w:val="00482E47"/>
    <w:rsid w:val="00482F86"/>
    <w:rsid w:val="00483194"/>
    <w:rsid w:val="0048321D"/>
    <w:rsid w:val="00483224"/>
    <w:rsid w:val="00483242"/>
    <w:rsid w:val="004833D8"/>
    <w:rsid w:val="00483506"/>
    <w:rsid w:val="004835BA"/>
    <w:rsid w:val="0048371C"/>
    <w:rsid w:val="004837D2"/>
    <w:rsid w:val="00483890"/>
    <w:rsid w:val="00483892"/>
    <w:rsid w:val="0048389B"/>
    <w:rsid w:val="004838EA"/>
    <w:rsid w:val="004839AD"/>
    <w:rsid w:val="00483A60"/>
    <w:rsid w:val="00483CBB"/>
    <w:rsid w:val="00483D3E"/>
    <w:rsid w:val="00483E7C"/>
    <w:rsid w:val="00483EF1"/>
    <w:rsid w:val="00483EF6"/>
    <w:rsid w:val="00483FC3"/>
    <w:rsid w:val="00484054"/>
    <w:rsid w:val="00484385"/>
    <w:rsid w:val="00484460"/>
    <w:rsid w:val="004845D5"/>
    <w:rsid w:val="004845DD"/>
    <w:rsid w:val="00484632"/>
    <w:rsid w:val="0048492F"/>
    <w:rsid w:val="00484BFF"/>
    <w:rsid w:val="00484F09"/>
    <w:rsid w:val="0048502A"/>
    <w:rsid w:val="0048506D"/>
    <w:rsid w:val="00485277"/>
    <w:rsid w:val="004853C4"/>
    <w:rsid w:val="0048548A"/>
    <w:rsid w:val="00485666"/>
    <w:rsid w:val="0048566B"/>
    <w:rsid w:val="00485686"/>
    <w:rsid w:val="00485976"/>
    <w:rsid w:val="00485B64"/>
    <w:rsid w:val="00485B74"/>
    <w:rsid w:val="00485BCD"/>
    <w:rsid w:val="00485C78"/>
    <w:rsid w:val="00485CF2"/>
    <w:rsid w:val="00485D57"/>
    <w:rsid w:val="00485E71"/>
    <w:rsid w:val="00485ECA"/>
    <w:rsid w:val="00485F9E"/>
    <w:rsid w:val="00486085"/>
    <w:rsid w:val="004860C0"/>
    <w:rsid w:val="00486199"/>
    <w:rsid w:val="004861DD"/>
    <w:rsid w:val="00486291"/>
    <w:rsid w:val="00486339"/>
    <w:rsid w:val="0048647F"/>
    <w:rsid w:val="0048649C"/>
    <w:rsid w:val="004866A6"/>
    <w:rsid w:val="00486701"/>
    <w:rsid w:val="00486A20"/>
    <w:rsid w:val="00486A90"/>
    <w:rsid w:val="00486C45"/>
    <w:rsid w:val="00486CCB"/>
    <w:rsid w:val="00486E0D"/>
    <w:rsid w:val="00487028"/>
    <w:rsid w:val="004870A7"/>
    <w:rsid w:val="004875BF"/>
    <w:rsid w:val="00487BAA"/>
    <w:rsid w:val="00487CE0"/>
    <w:rsid w:val="00487D07"/>
    <w:rsid w:val="00487D80"/>
    <w:rsid w:val="00487DF3"/>
    <w:rsid w:val="00487E38"/>
    <w:rsid w:val="0049014E"/>
    <w:rsid w:val="00490255"/>
    <w:rsid w:val="004902C6"/>
    <w:rsid w:val="0049048A"/>
    <w:rsid w:val="00490567"/>
    <w:rsid w:val="004906BA"/>
    <w:rsid w:val="0049077E"/>
    <w:rsid w:val="00490910"/>
    <w:rsid w:val="00490A02"/>
    <w:rsid w:val="00490A3A"/>
    <w:rsid w:val="00490ADE"/>
    <w:rsid w:val="00490B3C"/>
    <w:rsid w:val="00490B4C"/>
    <w:rsid w:val="00490B71"/>
    <w:rsid w:val="00490D52"/>
    <w:rsid w:val="00490D84"/>
    <w:rsid w:val="00490E83"/>
    <w:rsid w:val="00490F37"/>
    <w:rsid w:val="00490F88"/>
    <w:rsid w:val="00490FCC"/>
    <w:rsid w:val="004910B7"/>
    <w:rsid w:val="004910FC"/>
    <w:rsid w:val="00491128"/>
    <w:rsid w:val="00491143"/>
    <w:rsid w:val="004911E0"/>
    <w:rsid w:val="00491236"/>
    <w:rsid w:val="0049128B"/>
    <w:rsid w:val="004913C7"/>
    <w:rsid w:val="00491431"/>
    <w:rsid w:val="0049145E"/>
    <w:rsid w:val="0049186C"/>
    <w:rsid w:val="00491B6D"/>
    <w:rsid w:val="00491D1A"/>
    <w:rsid w:val="00491F10"/>
    <w:rsid w:val="0049206F"/>
    <w:rsid w:val="004920FD"/>
    <w:rsid w:val="004922F0"/>
    <w:rsid w:val="00492311"/>
    <w:rsid w:val="0049248A"/>
    <w:rsid w:val="00492611"/>
    <w:rsid w:val="0049261B"/>
    <w:rsid w:val="00492697"/>
    <w:rsid w:val="00492972"/>
    <w:rsid w:val="004929C1"/>
    <w:rsid w:val="004929DA"/>
    <w:rsid w:val="00492ACC"/>
    <w:rsid w:val="00492E58"/>
    <w:rsid w:val="00492E62"/>
    <w:rsid w:val="00493077"/>
    <w:rsid w:val="00493095"/>
    <w:rsid w:val="00493401"/>
    <w:rsid w:val="004934A4"/>
    <w:rsid w:val="00493745"/>
    <w:rsid w:val="00493858"/>
    <w:rsid w:val="00493A36"/>
    <w:rsid w:val="00493A7A"/>
    <w:rsid w:val="00493BC7"/>
    <w:rsid w:val="00493BEB"/>
    <w:rsid w:val="00493C20"/>
    <w:rsid w:val="00493E14"/>
    <w:rsid w:val="00493E50"/>
    <w:rsid w:val="00493EA2"/>
    <w:rsid w:val="00493EF5"/>
    <w:rsid w:val="00493F4A"/>
    <w:rsid w:val="00493F71"/>
    <w:rsid w:val="004940FA"/>
    <w:rsid w:val="00494512"/>
    <w:rsid w:val="004947D0"/>
    <w:rsid w:val="004947FD"/>
    <w:rsid w:val="00494A45"/>
    <w:rsid w:val="00494B53"/>
    <w:rsid w:val="00494C60"/>
    <w:rsid w:val="00494CAB"/>
    <w:rsid w:val="00494CCA"/>
    <w:rsid w:val="00494D29"/>
    <w:rsid w:val="00494EC8"/>
    <w:rsid w:val="004951C6"/>
    <w:rsid w:val="0049527A"/>
    <w:rsid w:val="004952BA"/>
    <w:rsid w:val="00495357"/>
    <w:rsid w:val="004955CC"/>
    <w:rsid w:val="00495676"/>
    <w:rsid w:val="00495741"/>
    <w:rsid w:val="0049574A"/>
    <w:rsid w:val="00495756"/>
    <w:rsid w:val="004959E7"/>
    <w:rsid w:val="00495B3A"/>
    <w:rsid w:val="00495B9F"/>
    <w:rsid w:val="00495BDB"/>
    <w:rsid w:val="00495DDD"/>
    <w:rsid w:val="00495E9E"/>
    <w:rsid w:val="00495EF1"/>
    <w:rsid w:val="004960C0"/>
    <w:rsid w:val="004960DD"/>
    <w:rsid w:val="0049619E"/>
    <w:rsid w:val="00496275"/>
    <w:rsid w:val="00496317"/>
    <w:rsid w:val="00496384"/>
    <w:rsid w:val="004964FD"/>
    <w:rsid w:val="00496563"/>
    <w:rsid w:val="004965DF"/>
    <w:rsid w:val="004965E3"/>
    <w:rsid w:val="004965FB"/>
    <w:rsid w:val="004966CF"/>
    <w:rsid w:val="0049687C"/>
    <w:rsid w:val="00496BBE"/>
    <w:rsid w:val="00497122"/>
    <w:rsid w:val="0049716B"/>
    <w:rsid w:val="004972C7"/>
    <w:rsid w:val="004974F8"/>
    <w:rsid w:val="004975F4"/>
    <w:rsid w:val="00497762"/>
    <w:rsid w:val="0049778D"/>
    <w:rsid w:val="00497798"/>
    <w:rsid w:val="00497AC4"/>
    <w:rsid w:val="00497BBF"/>
    <w:rsid w:val="00497C25"/>
    <w:rsid w:val="00497F96"/>
    <w:rsid w:val="004A04CB"/>
    <w:rsid w:val="004A086E"/>
    <w:rsid w:val="004A08BD"/>
    <w:rsid w:val="004A08D9"/>
    <w:rsid w:val="004A0D85"/>
    <w:rsid w:val="004A0FC4"/>
    <w:rsid w:val="004A0FD0"/>
    <w:rsid w:val="004A1111"/>
    <w:rsid w:val="004A121A"/>
    <w:rsid w:val="004A1308"/>
    <w:rsid w:val="004A1343"/>
    <w:rsid w:val="004A13B8"/>
    <w:rsid w:val="004A14D6"/>
    <w:rsid w:val="004A1617"/>
    <w:rsid w:val="004A1827"/>
    <w:rsid w:val="004A18B5"/>
    <w:rsid w:val="004A1951"/>
    <w:rsid w:val="004A1C4C"/>
    <w:rsid w:val="004A2082"/>
    <w:rsid w:val="004A219B"/>
    <w:rsid w:val="004A21B2"/>
    <w:rsid w:val="004A21FA"/>
    <w:rsid w:val="004A2363"/>
    <w:rsid w:val="004A241F"/>
    <w:rsid w:val="004A2508"/>
    <w:rsid w:val="004A258B"/>
    <w:rsid w:val="004A2603"/>
    <w:rsid w:val="004A2897"/>
    <w:rsid w:val="004A289A"/>
    <w:rsid w:val="004A2A70"/>
    <w:rsid w:val="004A2BEA"/>
    <w:rsid w:val="004A2C21"/>
    <w:rsid w:val="004A2C39"/>
    <w:rsid w:val="004A2C84"/>
    <w:rsid w:val="004A2E81"/>
    <w:rsid w:val="004A3149"/>
    <w:rsid w:val="004A3446"/>
    <w:rsid w:val="004A3576"/>
    <w:rsid w:val="004A3672"/>
    <w:rsid w:val="004A391B"/>
    <w:rsid w:val="004A3B5D"/>
    <w:rsid w:val="004A3D6F"/>
    <w:rsid w:val="004A3F9F"/>
    <w:rsid w:val="004A3FBF"/>
    <w:rsid w:val="004A4123"/>
    <w:rsid w:val="004A4261"/>
    <w:rsid w:val="004A4613"/>
    <w:rsid w:val="004A4631"/>
    <w:rsid w:val="004A469F"/>
    <w:rsid w:val="004A47FF"/>
    <w:rsid w:val="004A499C"/>
    <w:rsid w:val="004A4B7B"/>
    <w:rsid w:val="004A4CE8"/>
    <w:rsid w:val="004A4D5A"/>
    <w:rsid w:val="004A4E44"/>
    <w:rsid w:val="004A4F13"/>
    <w:rsid w:val="004A523A"/>
    <w:rsid w:val="004A52DD"/>
    <w:rsid w:val="004A53F2"/>
    <w:rsid w:val="004A55A5"/>
    <w:rsid w:val="004A55DA"/>
    <w:rsid w:val="004A5747"/>
    <w:rsid w:val="004A5777"/>
    <w:rsid w:val="004A5DCD"/>
    <w:rsid w:val="004A5E48"/>
    <w:rsid w:val="004A5F72"/>
    <w:rsid w:val="004A61AE"/>
    <w:rsid w:val="004A62D1"/>
    <w:rsid w:val="004A63F0"/>
    <w:rsid w:val="004A64F6"/>
    <w:rsid w:val="004A6556"/>
    <w:rsid w:val="004A6632"/>
    <w:rsid w:val="004A66CE"/>
    <w:rsid w:val="004A6721"/>
    <w:rsid w:val="004A6941"/>
    <w:rsid w:val="004A6987"/>
    <w:rsid w:val="004A69FA"/>
    <w:rsid w:val="004A6CC3"/>
    <w:rsid w:val="004A6D06"/>
    <w:rsid w:val="004A7043"/>
    <w:rsid w:val="004A72E5"/>
    <w:rsid w:val="004A73B1"/>
    <w:rsid w:val="004A75B2"/>
    <w:rsid w:val="004A7750"/>
    <w:rsid w:val="004A7A45"/>
    <w:rsid w:val="004A7A55"/>
    <w:rsid w:val="004A7ABB"/>
    <w:rsid w:val="004A7BA3"/>
    <w:rsid w:val="004B0078"/>
    <w:rsid w:val="004B00BA"/>
    <w:rsid w:val="004B0284"/>
    <w:rsid w:val="004B0361"/>
    <w:rsid w:val="004B0467"/>
    <w:rsid w:val="004B05B6"/>
    <w:rsid w:val="004B0743"/>
    <w:rsid w:val="004B0850"/>
    <w:rsid w:val="004B0A38"/>
    <w:rsid w:val="004B0B07"/>
    <w:rsid w:val="004B0C00"/>
    <w:rsid w:val="004B0C43"/>
    <w:rsid w:val="004B0DF8"/>
    <w:rsid w:val="004B1160"/>
    <w:rsid w:val="004B1372"/>
    <w:rsid w:val="004B13D7"/>
    <w:rsid w:val="004B144C"/>
    <w:rsid w:val="004B1457"/>
    <w:rsid w:val="004B1502"/>
    <w:rsid w:val="004B1812"/>
    <w:rsid w:val="004B18D2"/>
    <w:rsid w:val="004B197B"/>
    <w:rsid w:val="004B1998"/>
    <w:rsid w:val="004B1A5D"/>
    <w:rsid w:val="004B1CE2"/>
    <w:rsid w:val="004B1CE7"/>
    <w:rsid w:val="004B2013"/>
    <w:rsid w:val="004B21BC"/>
    <w:rsid w:val="004B2229"/>
    <w:rsid w:val="004B224B"/>
    <w:rsid w:val="004B2274"/>
    <w:rsid w:val="004B23E5"/>
    <w:rsid w:val="004B2445"/>
    <w:rsid w:val="004B24D3"/>
    <w:rsid w:val="004B270F"/>
    <w:rsid w:val="004B2880"/>
    <w:rsid w:val="004B2974"/>
    <w:rsid w:val="004B2A48"/>
    <w:rsid w:val="004B2ACA"/>
    <w:rsid w:val="004B2AF7"/>
    <w:rsid w:val="004B2B9B"/>
    <w:rsid w:val="004B2D7E"/>
    <w:rsid w:val="004B2FAD"/>
    <w:rsid w:val="004B3049"/>
    <w:rsid w:val="004B3320"/>
    <w:rsid w:val="004B338C"/>
    <w:rsid w:val="004B33F6"/>
    <w:rsid w:val="004B3645"/>
    <w:rsid w:val="004B379E"/>
    <w:rsid w:val="004B3811"/>
    <w:rsid w:val="004B39B6"/>
    <w:rsid w:val="004B3ABA"/>
    <w:rsid w:val="004B3BCD"/>
    <w:rsid w:val="004B3BDD"/>
    <w:rsid w:val="004B3BE1"/>
    <w:rsid w:val="004B3F26"/>
    <w:rsid w:val="004B3FF5"/>
    <w:rsid w:val="004B40BD"/>
    <w:rsid w:val="004B40C1"/>
    <w:rsid w:val="004B40DC"/>
    <w:rsid w:val="004B474F"/>
    <w:rsid w:val="004B4811"/>
    <w:rsid w:val="004B48A0"/>
    <w:rsid w:val="004B495D"/>
    <w:rsid w:val="004B497D"/>
    <w:rsid w:val="004B4AC6"/>
    <w:rsid w:val="004B4B93"/>
    <w:rsid w:val="004B4BD9"/>
    <w:rsid w:val="004B4E11"/>
    <w:rsid w:val="004B4E90"/>
    <w:rsid w:val="004B4EB3"/>
    <w:rsid w:val="004B5044"/>
    <w:rsid w:val="004B50BC"/>
    <w:rsid w:val="004B5101"/>
    <w:rsid w:val="004B5161"/>
    <w:rsid w:val="004B5183"/>
    <w:rsid w:val="004B5348"/>
    <w:rsid w:val="004B53C5"/>
    <w:rsid w:val="004B5469"/>
    <w:rsid w:val="004B576E"/>
    <w:rsid w:val="004B5AEA"/>
    <w:rsid w:val="004B5B2A"/>
    <w:rsid w:val="004B5C86"/>
    <w:rsid w:val="004B5DDD"/>
    <w:rsid w:val="004B5EE8"/>
    <w:rsid w:val="004B5F5A"/>
    <w:rsid w:val="004B607A"/>
    <w:rsid w:val="004B6264"/>
    <w:rsid w:val="004B6278"/>
    <w:rsid w:val="004B63C6"/>
    <w:rsid w:val="004B6698"/>
    <w:rsid w:val="004B66C7"/>
    <w:rsid w:val="004B68C6"/>
    <w:rsid w:val="004B68E2"/>
    <w:rsid w:val="004B6962"/>
    <w:rsid w:val="004B698A"/>
    <w:rsid w:val="004B6A05"/>
    <w:rsid w:val="004B6A41"/>
    <w:rsid w:val="004B6BE6"/>
    <w:rsid w:val="004B7066"/>
    <w:rsid w:val="004B7131"/>
    <w:rsid w:val="004B71D5"/>
    <w:rsid w:val="004B71F9"/>
    <w:rsid w:val="004B727B"/>
    <w:rsid w:val="004B7316"/>
    <w:rsid w:val="004B732C"/>
    <w:rsid w:val="004B76AC"/>
    <w:rsid w:val="004B7759"/>
    <w:rsid w:val="004B7773"/>
    <w:rsid w:val="004B783D"/>
    <w:rsid w:val="004B7AA5"/>
    <w:rsid w:val="004B7B3D"/>
    <w:rsid w:val="004B7D50"/>
    <w:rsid w:val="004B7ECA"/>
    <w:rsid w:val="004C0012"/>
    <w:rsid w:val="004C002E"/>
    <w:rsid w:val="004C0250"/>
    <w:rsid w:val="004C0534"/>
    <w:rsid w:val="004C0686"/>
    <w:rsid w:val="004C0832"/>
    <w:rsid w:val="004C0B06"/>
    <w:rsid w:val="004C0C15"/>
    <w:rsid w:val="004C0D40"/>
    <w:rsid w:val="004C0DF4"/>
    <w:rsid w:val="004C0DFA"/>
    <w:rsid w:val="004C121F"/>
    <w:rsid w:val="004C12A5"/>
    <w:rsid w:val="004C140C"/>
    <w:rsid w:val="004C140D"/>
    <w:rsid w:val="004C14A0"/>
    <w:rsid w:val="004C1545"/>
    <w:rsid w:val="004C15CC"/>
    <w:rsid w:val="004C1660"/>
    <w:rsid w:val="004C1681"/>
    <w:rsid w:val="004C186D"/>
    <w:rsid w:val="004C19EA"/>
    <w:rsid w:val="004C1D1D"/>
    <w:rsid w:val="004C1D9E"/>
    <w:rsid w:val="004C1EB0"/>
    <w:rsid w:val="004C1FDD"/>
    <w:rsid w:val="004C2058"/>
    <w:rsid w:val="004C2132"/>
    <w:rsid w:val="004C21CE"/>
    <w:rsid w:val="004C24F5"/>
    <w:rsid w:val="004C2693"/>
    <w:rsid w:val="004C272C"/>
    <w:rsid w:val="004C2750"/>
    <w:rsid w:val="004C28D8"/>
    <w:rsid w:val="004C2919"/>
    <w:rsid w:val="004C2990"/>
    <w:rsid w:val="004C29B0"/>
    <w:rsid w:val="004C29E4"/>
    <w:rsid w:val="004C2A8B"/>
    <w:rsid w:val="004C2C7E"/>
    <w:rsid w:val="004C2EB8"/>
    <w:rsid w:val="004C30D0"/>
    <w:rsid w:val="004C31E6"/>
    <w:rsid w:val="004C3284"/>
    <w:rsid w:val="004C35A4"/>
    <w:rsid w:val="004C35F8"/>
    <w:rsid w:val="004C370C"/>
    <w:rsid w:val="004C3785"/>
    <w:rsid w:val="004C3A72"/>
    <w:rsid w:val="004C3EE2"/>
    <w:rsid w:val="004C408E"/>
    <w:rsid w:val="004C4293"/>
    <w:rsid w:val="004C43A8"/>
    <w:rsid w:val="004C464C"/>
    <w:rsid w:val="004C4758"/>
    <w:rsid w:val="004C478B"/>
    <w:rsid w:val="004C499F"/>
    <w:rsid w:val="004C49D3"/>
    <w:rsid w:val="004C4E84"/>
    <w:rsid w:val="004C4F0F"/>
    <w:rsid w:val="004C4FAF"/>
    <w:rsid w:val="004C50BA"/>
    <w:rsid w:val="004C50CF"/>
    <w:rsid w:val="004C5103"/>
    <w:rsid w:val="004C51AE"/>
    <w:rsid w:val="004C51EA"/>
    <w:rsid w:val="004C5489"/>
    <w:rsid w:val="004C5566"/>
    <w:rsid w:val="004C556B"/>
    <w:rsid w:val="004C5608"/>
    <w:rsid w:val="004C577A"/>
    <w:rsid w:val="004C582A"/>
    <w:rsid w:val="004C5899"/>
    <w:rsid w:val="004C59B1"/>
    <w:rsid w:val="004C59FB"/>
    <w:rsid w:val="004C5A5C"/>
    <w:rsid w:val="004C5B88"/>
    <w:rsid w:val="004C5CB8"/>
    <w:rsid w:val="004C5D13"/>
    <w:rsid w:val="004C5F83"/>
    <w:rsid w:val="004C606E"/>
    <w:rsid w:val="004C608D"/>
    <w:rsid w:val="004C6176"/>
    <w:rsid w:val="004C61F2"/>
    <w:rsid w:val="004C63BF"/>
    <w:rsid w:val="004C6411"/>
    <w:rsid w:val="004C66D2"/>
    <w:rsid w:val="004C671D"/>
    <w:rsid w:val="004C6780"/>
    <w:rsid w:val="004C6911"/>
    <w:rsid w:val="004C69A0"/>
    <w:rsid w:val="004C69A7"/>
    <w:rsid w:val="004C69DC"/>
    <w:rsid w:val="004C6B5F"/>
    <w:rsid w:val="004C6B72"/>
    <w:rsid w:val="004C6B9B"/>
    <w:rsid w:val="004C6C8B"/>
    <w:rsid w:val="004C6E3A"/>
    <w:rsid w:val="004C6F79"/>
    <w:rsid w:val="004C7116"/>
    <w:rsid w:val="004C7330"/>
    <w:rsid w:val="004C737D"/>
    <w:rsid w:val="004C738A"/>
    <w:rsid w:val="004C73C5"/>
    <w:rsid w:val="004C7403"/>
    <w:rsid w:val="004C7531"/>
    <w:rsid w:val="004C755A"/>
    <w:rsid w:val="004C75C3"/>
    <w:rsid w:val="004C77E8"/>
    <w:rsid w:val="004C78E8"/>
    <w:rsid w:val="004C7972"/>
    <w:rsid w:val="004C7994"/>
    <w:rsid w:val="004C79D6"/>
    <w:rsid w:val="004C7C7E"/>
    <w:rsid w:val="004D003B"/>
    <w:rsid w:val="004D03B1"/>
    <w:rsid w:val="004D0603"/>
    <w:rsid w:val="004D072F"/>
    <w:rsid w:val="004D0829"/>
    <w:rsid w:val="004D08CF"/>
    <w:rsid w:val="004D08E6"/>
    <w:rsid w:val="004D0A3B"/>
    <w:rsid w:val="004D0AA7"/>
    <w:rsid w:val="004D0B26"/>
    <w:rsid w:val="004D0CD5"/>
    <w:rsid w:val="004D0CDA"/>
    <w:rsid w:val="004D0FEE"/>
    <w:rsid w:val="004D12D4"/>
    <w:rsid w:val="004D12FC"/>
    <w:rsid w:val="004D1535"/>
    <w:rsid w:val="004D158F"/>
    <w:rsid w:val="004D17F2"/>
    <w:rsid w:val="004D1881"/>
    <w:rsid w:val="004D1893"/>
    <w:rsid w:val="004D18E1"/>
    <w:rsid w:val="004D195D"/>
    <w:rsid w:val="004D19FE"/>
    <w:rsid w:val="004D1A28"/>
    <w:rsid w:val="004D1B82"/>
    <w:rsid w:val="004D1C21"/>
    <w:rsid w:val="004D1CD4"/>
    <w:rsid w:val="004D1D49"/>
    <w:rsid w:val="004D1D9E"/>
    <w:rsid w:val="004D1E74"/>
    <w:rsid w:val="004D1F34"/>
    <w:rsid w:val="004D1F3C"/>
    <w:rsid w:val="004D213B"/>
    <w:rsid w:val="004D21EE"/>
    <w:rsid w:val="004D2257"/>
    <w:rsid w:val="004D237A"/>
    <w:rsid w:val="004D24D3"/>
    <w:rsid w:val="004D2510"/>
    <w:rsid w:val="004D2562"/>
    <w:rsid w:val="004D260B"/>
    <w:rsid w:val="004D2837"/>
    <w:rsid w:val="004D2A9F"/>
    <w:rsid w:val="004D2B4D"/>
    <w:rsid w:val="004D2D93"/>
    <w:rsid w:val="004D2D9C"/>
    <w:rsid w:val="004D2DB0"/>
    <w:rsid w:val="004D2F23"/>
    <w:rsid w:val="004D2F91"/>
    <w:rsid w:val="004D2F9E"/>
    <w:rsid w:val="004D2FDE"/>
    <w:rsid w:val="004D30EF"/>
    <w:rsid w:val="004D33BE"/>
    <w:rsid w:val="004D342B"/>
    <w:rsid w:val="004D34B9"/>
    <w:rsid w:val="004D34FC"/>
    <w:rsid w:val="004D351E"/>
    <w:rsid w:val="004D35B9"/>
    <w:rsid w:val="004D3609"/>
    <w:rsid w:val="004D362B"/>
    <w:rsid w:val="004D3687"/>
    <w:rsid w:val="004D389C"/>
    <w:rsid w:val="004D38A6"/>
    <w:rsid w:val="004D38EF"/>
    <w:rsid w:val="004D3A82"/>
    <w:rsid w:val="004D3D25"/>
    <w:rsid w:val="004D3D6B"/>
    <w:rsid w:val="004D3DCE"/>
    <w:rsid w:val="004D3F54"/>
    <w:rsid w:val="004D428C"/>
    <w:rsid w:val="004D4300"/>
    <w:rsid w:val="004D46EB"/>
    <w:rsid w:val="004D4706"/>
    <w:rsid w:val="004D47AF"/>
    <w:rsid w:val="004D4831"/>
    <w:rsid w:val="004D487A"/>
    <w:rsid w:val="004D48A7"/>
    <w:rsid w:val="004D48CA"/>
    <w:rsid w:val="004D49A4"/>
    <w:rsid w:val="004D49B6"/>
    <w:rsid w:val="004D49E2"/>
    <w:rsid w:val="004D4A32"/>
    <w:rsid w:val="004D4CEA"/>
    <w:rsid w:val="004D4CEF"/>
    <w:rsid w:val="004D4E07"/>
    <w:rsid w:val="004D4E93"/>
    <w:rsid w:val="004D4F47"/>
    <w:rsid w:val="004D50EE"/>
    <w:rsid w:val="004D52B1"/>
    <w:rsid w:val="004D53A3"/>
    <w:rsid w:val="004D553E"/>
    <w:rsid w:val="004D55D0"/>
    <w:rsid w:val="004D55F9"/>
    <w:rsid w:val="004D5711"/>
    <w:rsid w:val="004D5763"/>
    <w:rsid w:val="004D57A8"/>
    <w:rsid w:val="004D5A7C"/>
    <w:rsid w:val="004D5B0F"/>
    <w:rsid w:val="004D5D09"/>
    <w:rsid w:val="004D5D74"/>
    <w:rsid w:val="004D610C"/>
    <w:rsid w:val="004D616A"/>
    <w:rsid w:val="004D61D5"/>
    <w:rsid w:val="004D61E1"/>
    <w:rsid w:val="004D62CE"/>
    <w:rsid w:val="004D6328"/>
    <w:rsid w:val="004D6513"/>
    <w:rsid w:val="004D651D"/>
    <w:rsid w:val="004D6881"/>
    <w:rsid w:val="004D6E22"/>
    <w:rsid w:val="004D6F35"/>
    <w:rsid w:val="004D6FBC"/>
    <w:rsid w:val="004D716F"/>
    <w:rsid w:val="004D7319"/>
    <w:rsid w:val="004D734E"/>
    <w:rsid w:val="004D754D"/>
    <w:rsid w:val="004D7609"/>
    <w:rsid w:val="004D761E"/>
    <w:rsid w:val="004D7649"/>
    <w:rsid w:val="004D7861"/>
    <w:rsid w:val="004D79F2"/>
    <w:rsid w:val="004D7A08"/>
    <w:rsid w:val="004D7A11"/>
    <w:rsid w:val="004D7D4B"/>
    <w:rsid w:val="004D7D84"/>
    <w:rsid w:val="004D7DBD"/>
    <w:rsid w:val="004D7F65"/>
    <w:rsid w:val="004D7FAF"/>
    <w:rsid w:val="004E00A2"/>
    <w:rsid w:val="004E0112"/>
    <w:rsid w:val="004E0252"/>
    <w:rsid w:val="004E0338"/>
    <w:rsid w:val="004E0508"/>
    <w:rsid w:val="004E0677"/>
    <w:rsid w:val="004E0995"/>
    <w:rsid w:val="004E0A09"/>
    <w:rsid w:val="004E0A86"/>
    <w:rsid w:val="004E0EF3"/>
    <w:rsid w:val="004E0F54"/>
    <w:rsid w:val="004E0F95"/>
    <w:rsid w:val="004E1289"/>
    <w:rsid w:val="004E12DE"/>
    <w:rsid w:val="004E15CC"/>
    <w:rsid w:val="004E1660"/>
    <w:rsid w:val="004E1701"/>
    <w:rsid w:val="004E1825"/>
    <w:rsid w:val="004E1911"/>
    <w:rsid w:val="004E191E"/>
    <w:rsid w:val="004E1C15"/>
    <w:rsid w:val="004E1CA6"/>
    <w:rsid w:val="004E203D"/>
    <w:rsid w:val="004E2067"/>
    <w:rsid w:val="004E20CE"/>
    <w:rsid w:val="004E2248"/>
    <w:rsid w:val="004E2389"/>
    <w:rsid w:val="004E23E9"/>
    <w:rsid w:val="004E25AE"/>
    <w:rsid w:val="004E25B6"/>
    <w:rsid w:val="004E271C"/>
    <w:rsid w:val="004E2833"/>
    <w:rsid w:val="004E2898"/>
    <w:rsid w:val="004E2B73"/>
    <w:rsid w:val="004E2C2B"/>
    <w:rsid w:val="004E2D98"/>
    <w:rsid w:val="004E2F00"/>
    <w:rsid w:val="004E2FF0"/>
    <w:rsid w:val="004E32EE"/>
    <w:rsid w:val="004E33C5"/>
    <w:rsid w:val="004E3528"/>
    <w:rsid w:val="004E36C0"/>
    <w:rsid w:val="004E36C1"/>
    <w:rsid w:val="004E376C"/>
    <w:rsid w:val="004E3813"/>
    <w:rsid w:val="004E39CB"/>
    <w:rsid w:val="004E3B6A"/>
    <w:rsid w:val="004E3C1A"/>
    <w:rsid w:val="004E3CB1"/>
    <w:rsid w:val="004E3D68"/>
    <w:rsid w:val="004E3D8D"/>
    <w:rsid w:val="004E3DEB"/>
    <w:rsid w:val="004E45C9"/>
    <w:rsid w:val="004E45F2"/>
    <w:rsid w:val="004E460E"/>
    <w:rsid w:val="004E47CC"/>
    <w:rsid w:val="004E4808"/>
    <w:rsid w:val="004E480D"/>
    <w:rsid w:val="004E4881"/>
    <w:rsid w:val="004E488D"/>
    <w:rsid w:val="004E4A1D"/>
    <w:rsid w:val="004E4BFD"/>
    <w:rsid w:val="004E4CAF"/>
    <w:rsid w:val="004E4DD8"/>
    <w:rsid w:val="004E4EAA"/>
    <w:rsid w:val="004E51E7"/>
    <w:rsid w:val="004E5387"/>
    <w:rsid w:val="004E5547"/>
    <w:rsid w:val="004E5597"/>
    <w:rsid w:val="004E5623"/>
    <w:rsid w:val="004E56EB"/>
    <w:rsid w:val="004E58D2"/>
    <w:rsid w:val="004E58FB"/>
    <w:rsid w:val="004E5ABB"/>
    <w:rsid w:val="004E5AD5"/>
    <w:rsid w:val="004E5C7F"/>
    <w:rsid w:val="004E5D06"/>
    <w:rsid w:val="004E5F23"/>
    <w:rsid w:val="004E5F55"/>
    <w:rsid w:val="004E6004"/>
    <w:rsid w:val="004E60C7"/>
    <w:rsid w:val="004E63C1"/>
    <w:rsid w:val="004E647F"/>
    <w:rsid w:val="004E64A7"/>
    <w:rsid w:val="004E6685"/>
    <w:rsid w:val="004E66E6"/>
    <w:rsid w:val="004E693F"/>
    <w:rsid w:val="004E6975"/>
    <w:rsid w:val="004E698C"/>
    <w:rsid w:val="004E6AB7"/>
    <w:rsid w:val="004E6ABE"/>
    <w:rsid w:val="004E6BE9"/>
    <w:rsid w:val="004E6DD9"/>
    <w:rsid w:val="004E6DFE"/>
    <w:rsid w:val="004E6E2D"/>
    <w:rsid w:val="004E6E60"/>
    <w:rsid w:val="004E6FA2"/>
    <w:rsid w:val="004E700A"/>
    <w:rsid w:val="004E703D"/>
    <w:rsid w:val="004E7150"/>
    <w:rsid w:val="004E7158"/>
    <w:rsid w:val="004E729D"/>
    <w:rsid w:val="004E75AD"/>
    <w:rsid w:val="004E76E3"/>
    <w:rsid w:val="004E7736"/>
    <w:rsid w:val="004E7854"/>
    <w:rsid w:val="004E7C0F"/>
    <w:rsid w:val="004E7C2A"/>
    <w:rsid w:val="004F00B2"/>
    <w:rsid w:val="004F02EB"/>
    <w:rsid w:val="004F032C"/>
    <w:rsid w:val="004F03A3"/>
    <w:rsid w:val="004F0456"/>
    <w:rsid w:val="004F045F"/>
    <w:rsid w:val="004F07A3"/>
    <w:rsid w:val="004F09B3"/>
    <w:rsid w:val="004F0A32"/>
    <w:rsid w:val="004F0A3B"/>
    <w:rsid w:val="004F0C0E"/>
    <w:rsid w:val="004F0D74"/>
    <w:rsid w:val="004F0F69"/>
    <w:rsid w:val="004F105D"/>
    <w:rsid w:val="004F10E8"/>
    <w:rsid w:val="004F10ED"/>
    <w:rsid w:val="004F1436"/>
    <w:rsid w:val="004F1482"/>
    <w:rsid w:val="004F16BD"/>
    <w:rsid w:val="004F178A"/>
    <w:rsid w:val="004F18CF"/>
    <w:rsid w:val="004F1B36"/>
    <w:rsid w:val="004F1C4A"/>
    <w:rsid w:val="004F1D55"/>
    <w:rsid w:val="004F1D6A"/>
    <w:rsid w:val="004F1F50"/>
    <w:rsid w:val="004F1FD2"/>
    <w:rsid w:val="004F2175"/>
    <w:rsid w:val="004F21C1"/>
    <w:rsid w:val="004F22D6"/>
    <w:rsid w:val="004F2304"/>
    <w:rsid w:val="004F2313"/>
    <w:rsid w:val="004F254A"/>
    <w:rsid w:val="004F259B"/>
    <w:rsid w:val="004F25C7"/>
    <w:rsid w:val="004F25F5"/>
    <w:rsid w:val="004F266B"/>
    <w:rsid w:val="004F26AF"/>
    <w:rsid w:val="004F279B"/>
    <w:rsid w:val="004F2849"/>
    <w:rsid w:val="004F289E"/>
    <w:rsid w:val="004F2A38"/>
    <w:rsid w:val="004F2ACD"/>
    <w:rsid w:val="004F2DFC"/>
    <w:rsid w:val="004F2E4C"/>
    <w:rsid w:val="004F2FFC"/>
    <w:rsid w:val="004F309B"/>
    <w:rsid w:val="004F30E3"/>
    <w:rsid w:val="004F3202"/>
    <w:rsid w:val="004F3277"/>
    <w:rsid w:val="004F338C"/>
    <w:rsid w:val="004F3474"/>
    <w:rsid w:val="004F34D7"/>
    <w:rsid w:val="004F361B"/>
    <w:rsid w:val="004F377C"/>
    <w:rsid w:val="004F37B1"/>
    <w:rsid w:val="004F3868"/>
    <w:rsid w:val="004F39B3"/>
    <w:rsid w:val="004F3A10"/>
    <w:rsid w:val="004F3A86"/>
    <w:rsid w:val="004F3D40"/>
    <w:rsid w:val="004F3D84"/>
    <w:rsid w:val="004F3E13"/>
    <w:rsid w:val="004F3E3C"/>
    <w:rsid w:val="004F408F"/>
    <w:rsid w:val="004F40A5"/>
    <w:rsid w:val="004F429A"/>
    <w:rsid w:val="004F42F3"/>
    <w:rsid w:val="004F44EF"/>
    <w:rsid w:val="004F47A6"/>
    <w:rsid w:val="004F48A6"/>
    <w:rsid w:val="004F4967"/>
    <w:rsid w:val="004F4A95"/>
    <w:rsid w:val="004F4B5F"/>
    <w:rsid w:val="004F4CE8"/>
    <w:rsid w:val="004F4D3E"/>
    <w:rsid w:val="004F51EA"/>
    <w:rsid w:val="004F52A1"/>
    <w:rsid w:val="004F5300"/>
    <w:rsid w:val="004F535D"/>
    <w:rsid w:val="004F543D"/>
    <w:rsid w:val="004F5472"/>
    <w:rsid w:val="004F5928"/>
    <w:rsid w:val="004F5BB6"/>
    <w:rsid w:val="004F5BEA"/>
    <w:rsid w:val="004F5C99"/>
    <w:rsid w:val="004F5D29"/>
    <w:rsid w:val="004F5D78"/>
    <w:rsid w:val="004F5E24"/>
    <w:rsid w:val="004F5F0D"/>
    <w:rsid w:val="004F60E3"/>
    <w:rsid w:val="004F60E5"/>
    <w:rsid w:val="004F6406"/>
    <w:rsid w:val="004F643B"/>
    <w:rsid w:val="004F644F"/>
    <w:rsid w:val="004F65D7"/>
    <w:rsid w:val="004F6631"/>
    <w:rsid w:val="004F6846"/>
    <w:rsid w:val="004F68A4"/>
    <w:rsid w:val="004F68F5"/>
    <w:rsid w:val="004F6A37"/>
    <w:rsid w:val="004F6C49"/>
    <w:rsid w:val="004F6C99"/>
    <w:rsid w:val="004F6F1D"/>
    <w:rsid w:val="004F6F30"/>
    <w:rsid w:val="004F6FCF"/>
    <w:rsid w:val="004F703D"/>
    <w:rsid w:val="004F70E4"/>
    <w:rsid w:val="004F72D2"/>
    <w:rsid w:val="004F735A"/>
    <w:rsid w:val="004F73F6"/>
    <w:rsid w:val="004F7589"/>
    <w:rsid w:val="004F75D2"/>
    <w:rsid w:val="004F79C2"/>
    <w:rsid w:val="004F7DD4"/>
    <w:rsid w:val="004F7EF9"/>
    <w:rsid w:val="004F7F35"/>
    <w:rsid w:val="004F7FCA"/>
    <w:rsid w:val="0050005D"/>
    <w:rsid w:val="00500080"/>
    <w:rsid w:val="00500143"/>
    <w:rsid w:val="005002DE"/>
    <w:rsid w:val="005004E0"/>
    <w:rsid w:val="00500668"/>
    <w:rsid w:val="005008BC"/>
    <w:rsid w:val="005008C0"/>
    <w:rsid w:val="00500A24"/>
    <w:rsid w:val="00500A5F"/>
    <w:rsid w:val="005011EC"/>
    <w:rsid w:val="00501274"/>
    <w:rsid w:val="00501285"/>
    <w:rsid w:val="0050128B"/>
    <w:rsid w:val="0050128E"/>
    <w:rsid w:val="00501747"/>
    <w:rsid w:val="00501748"/>
    <w:rsid w:val="0050180A"/>
    <w:rsid w:val="005018CA"/>
    <w:rsid w:val="00501AE6"/>
    <w:rsid w:val="00501AF2"/>
    <w:rsid w:val="00501B8E"/>
    <w:rsid w:val="00501C26"/>
    <w:rsid w:val="00501C2D"/>
    <w:rsid w:val="00501E91"/>
    <w:rsid w:val="00502054"/>
    <w:rsid w:val="005020A3"/>
    <w:rsid w:val="00502119"/>
    <w:rsid w:val="005021C3"/>
    <w:rsid w:val="005021C6"/>
    <w:rsid w:val="00502231"/>
    <w:rsid w:val="00502567"/>
    <w:rsid w:val="0050263E"/>
    <w:rsid w:val="0050266D"/>
    <w:rsid w:val="00502888"/>
    <w:rsid w:val="005028B6"/>
    <w:rsid w:val="00502941"/>
    <w:rsid w:val="005029E1"/>
    <w:rsid w:val="00502AF1"/>
    <w:rsid w:val="00502C08"/>
    <w:rsid w:val="00502C31"/>
    <w:rsid w:val="00502DBF"/>
    <w:rsid w:val="00502FD8"/>
    <w:rsid w:val="00503469"/>
    <w:rsid w:val="0050360A"/>
    <w:rsid w:val="00503804"/>
    <w:rsid w:val="005038D8"/>
    <w:rsid w:val="00503945"/>
    <w:rsid w:val="005039DD"/>
    <w:rsid w:val="00503F1C"/>
    <w:rsid w:val="005041FE"/>
    <w:rsid w:val="005042BE"/>
    <w:rsid w:val="005043C1"/>
    <w:rsid w:val="00504408"/>
    <w:rsid w:val="0050444F"/>
    <w:rsid w:val="005047FE"/>
    <w:rsid w:val="00504968"/>
    <w:rsid w:val="00504B5A"/>
    <w:rsid w:val="00504C76"/>
    <w:rsid w:val="00504DBF"/>
    <w:rsid w:val="00504E97"/>
    <w:rsid w:val="00504F1E"/>
    <w:rsid w:val="00504FB9"/>
    <w:rsid w:val="00504FD3"/>
    <w:rsid w:val="00505090"/>
    <w:rsid w:val="005050F5"/>
    <w:rsid w:val="005051FD"/>
    <w:rsid w:val="0050527A"/>
    <w:rsid w:val="005052E5"/>
    <w:rsid w:val="005052EA"/>
    <w:rsid w:val="00505473"/>
    <w:rsid w:val="0050549F"/>
    <w:rsid w:val="00505729"/>
    <w:rsid w:val="00505818"/>
    <w:rsid w:val="005058E2"/>
    <w:rsid w:val="00505919"/>
    <w:rsid w:val="005059D8"/>
    <w:rsid w:val="005059E8"/>
    <w:rsid w:val="00505A47"/>
    <w:rsid w:val="00505B8A"/>
    <w:rsid w:val="00505DE4"/>
    <w:rsid w:val="00505DEA"/>
    <w:rsid w:val="00505F41"/>
    <w:rsid w:val="0050618A"/>
    <w:rsid w:val="005063DD"/>
    <w:rsid w:val="005063FF"/>
    <w:rsid w:val="00506424"/>
    <w:rsid w:val="00506466"/>
    <w:rsid w:val="005066CB"/>
    <w:rsid w:val="00506716"/>
    <w:rsid w:val="005067A9"/>
    <w:rsid w:val="00506C96"/>
    <w:rsid w:val="00506DC2"/>
    <w:rsid w:val="00506F27"/>
    <w:rsid w:val="00507291"/>
    <w:rsid w:val="005072E1"/>
    <w:rsid w:val="00507449"/>
    <w:rsid w:val="005074C4"/>
    <w:rsid w:val="005074FF"/>
    <w:rsid w:val="005076B5"/>
    <w:rsid w:val="005076FE"/>
    <w:rsid w:val="00507718"/>
    <w:rsid w:val="005077A0"/>
    <w:rsid w:val="00507B02"/>
    <w:rsid w:val="00507BDF"/>
    <w:rsid w:val="00507D29"/>
    <w:rsid w:val="00507E8A"/>
    <w:rsid w:val="0051002F"/>
    <w:rsid w:val="0051003A"/>
    <w:rsid w:val="00510152"/>
    <w:rsid w:val="00510248"/>
    <w:rsid w:val="00510316"/>
    <w:rsid w:val="005103BF"/>
    <w:rsid w:val="005103F5"/>
    <w:rsid w:val="0051053A"/>
    <w:rsid w:val="00510561"/>
    <w:rsid w:val="005106BE"/>
    <w:rsid w:val="005106E2"/>
    <w:rsid w:val="005107E9"/>
    <w:rsid w:val="00510887"/>
    <w:rsid w:val="00510991"/>
    <w:rsid w:val="005109F4"/>
    <w:rsid w:val="00510B53"/>
    <w:rsid w:val="00510B61"/>
    <w:rsid w:val="00510E78"/>
    <w:rsid w:val="00510FD0"/>
    <w:rsid w:val="00511193"/>
    <w:rsid w:val="0051121E"/>
    <w:rsid w:val="005113F4"/>
    <w:rsid w:val="005115F9"/>
    <w:rsid w:val="00511614"/>
    <w:rsid w:val="00511625"/>
    <w:rsid w:val="005116A0"/>
    <w:rsid w:val="005116B5"/>
    <w:rsid w:val="005117A5"/>
    <w:rsid w:val="00511886"/>
    <w:rsid w:val="00511B57"/>
    <w:rsid w:val="00511C4E"/>
    <w:rsid w:val="00511C72"/>
    <w:rsid w:val="00511CA9"/>
    <w:rsid w:val="00511CFE"/>
    <w:rsid w:val="0051210F"/>
    <w:rsid w:val="00512138"/>
    <w:rsid w:val="005121C8"/>
    <w:rsid w:val="00512438"/>
    <w:rsid w:val="0051247B"/>
    <w:rsid w:val="00512494"/>
    <w:rsid w:val="00512633"/>
    <w:rsid w:val="00512688"/>
    <w:rsid w:val="005126AC"/>
    <w:rsid w:val="005127C3"/>
    <w:rsid w:val="00512800"/>
    <w:rsid w:val="00512824"/>
    <w:rsid w:val="00512925"/>
    <w:rsid w:val="005129FE"/>
    <w:rsid w:val="00512C19"/>
    <w:rsid w:val="00512D1C"/>
    <w:rsid w:val="00512E2B"/>
    <w:rsid w:val="00512E7C"/>
    <w:rsid w:val="005131EB"/>
    <w:rsid w:val="00513382"/>
    <w:rsid w:val="00513413"/>
    <w:rsid w:val="00513487"/>
    <w:rsid w:val="00513605"/>
    <w:rsid w:val="00513676"/>
    <w:rsid w:val="0051367A"/>
    <w:rsid w:val="00513738"/>
    <w:rsid w:val="005137D7"/>
    <w:rsid w:val="00513A17"/>
    <w:rsid w:val="00513C25"/>
    <w:rsid w:val="00513D1D"/>
    <w:rsid w:val="00513D35"/>
    <w:rsid w:val="00513D8D"/>
    <w:rsid w:val="00513E89"/>
    <w:rsid w:val="0051447D"/>
    <w:rsid w:val="00514515"/>
    <w:rsid w:val="005146A0"/>
    <w:rsid w:val="0051483B"/>
    <w:rsid w:val="0051490B"/>
    <w:rsid w:val="00514940"/>
    <w:rsid w:val="005149F9"/>
    <w:rsid w:val="00514AD3"/>
    <w:rsid w:val="00514E41"/>
    <w:rsid w:val="00514F30"/>
    <w:rsid w:val="00515148"/>
    <w:rsid w:val="00515188"/>
    <w:rsid w:val="005152D5"/>
    <w:rsid w:val="00515573"/>
    <w:rsid w:val="00515668"/>
    <w:rsid w:val="00515770"/>
    <w:rsid w:val="005158F2"/>
    <w:rsid w:val="00515980"/>
    <w:rsid w:val="005159EC"/>
    <w:rsid w:val="005159F3"/>
    <w:rsid w:val="00515A39"/>
    <w:rsid w:val="00515B28"/>
    <w:rsid w:val="00515B5D"/>
    <w:rsid w:val="00515C69"/>
    <w:rsid w:val="00515CDF"/>
    <w:rsid w:val="00515E1A"/>
    <w:rsid w:val="00515EA2"/>
    <w:rsid w:val="005160CA"/>
    <w:rsid w:val="005160CB"/>
    <w:rsid w:val="005163C6"/>
    <w:rsid w:val="00516800"/>
    <w:rsid w:val="00516847"/>
    <w:rsid w:val="005169CD"/>
    <w:rsid w:val="00516B4D"/>
    <w:rsid w:val="00516B7D"/>
    <w:rsid w:val="00516DB4"/>
    <w:rsid w:val="00516EB1"/>
    <w:rsid w:val="00516ED8"/>
    <w:rsid w:val="00517157"/>
    <w:rsid w:val="00517372"/>
    <w:rsid w:val="005173BF"/>
    <w:rsid w:val="0051760F"/>
    <w:rsid w:val="00517615"/>
    <w:rsid w:val="005177C2"/>
    <w:rsid w:val="00517D6C"/>
    <w:rsid w:val="00517DE6"/>
    <w:rsid w:val="00517E0A"/>
    <w:rsid w:val="00520215"/>
    <w:rsid w:val="00520275"/>
    <w:rsid w:val="0052037A"/>
    <w:rsid w:val="00520496"/>
    <w:rsid w:val="00520709"/>
    <w:rsid w:val="00520740"/>
    <w:rsid w:val="0052079E"/>
    <w:rsid w:val="005209EF"/>
    <w:rsid w:val="00520A7E"/>
    <w:rsid w:val="00520B9E"/>
    <w:rsid w:val="00520BC2"/>
    <w:rsid w:val="00520EC3"/>
    <w:rsid w:val="00520FAB"/>
    <w:rsid w:val="00520FB7"/>
    <w:rsid w:val="00521128"/>
    <w:rsid w:val="005211A2"/>
    <w:rsid w:val="005211DA"/>
    <w:rsid w:val="005212D6"/>
    <w:rsid w:val="005212F3"/>
    <w:rsid w:val="005213AD"/>
    <w:rsid w:val="005214F4"/>
    <w:rsid w:val="00521669"/>
    <w:rsid w:val="005217E3"/>
    <w:rsid w:val="0052197C"/>
    <w:rsid w:val="005219C9"/>
    <w:rsid w:val="00521BF3"/>
    <w:rsid w:val="00521D90"/>
    <w:rsid w:val="00521E0A"/>
    <w:rsid w:val="00521E66"/>
    <w:rsid w:val="00521E72"/>
    <w:rsid w:val="00521E87"/>
    <w:rsid w:val="00521E90"/>
    <w:rsid w:val="005221ED"/>
    <w:rsid w:val="005222F8"/>
    <w:rsid w:val="00522384"/>
    <w:rsid w:val="00522537"/>
    <w:rsid w:val="0052269D"/>
    <w:rsid w:val="005226CA"/>
    <w:rsid w:val="005226D3"/>
    <w:rsid w:val="00522846"/>
    <w:rsid w:val="005228EE"/>
    <w:rsid w:val="005229D1"/>
    <w:rsid w:val="00522A11"/>
    <w:rsid w:val="00522B44"/>
    <w:rsid w:val="00522DBA"/>
    <w:rsid w:val="00522F52"/>
    <w:rsid w:val="00523062"/>
    <w:rsid w:val="005230B0"/>
    <w:rsid w:val="00523357"/>
    <w:rsid w:val="005233F8"/>
    <w:rsid w:val="005233FB"/>
    <w:rsid w:val="0052346F"/>
    <w:rsid w:val="005234EF"/>
    <w:rsid w:val="00523583"/>
    <w:rsid w:val="00523628"/>
    <w:rsid w:val="00523724"/>
    <w:rsid w:val="00523BFA"/>
    <w:rsid w:val="00523F08"/>
    <w:rsid w:val="00524010"/>
    <w:rsid w:val="00524043"/>
    <w:rsid w:val="005240C5"/>
    <w:rsid w:val="005242BA"/>
    <w:rsid w:val="005244A6"/>
    <w:rsid w:val="005245C6"/>
    <w:rsid w:val="00524637"/>
    <w:rsid w:val="005246C4"/>
    <w:rsid w:val="0052473D"/>
    <w:rsid w:val="005247EB"/>
    <w:rsid w:val="00524926"/>
    <w:rsid w:val="00524DD8"/>
    <w:rsid w:val="00524E66"/>
    <w:rsid w:val="00524F9F"/>
    <w:rsid w:val="00524FA4"/>
    <w:rsid w:val="0052503B"/>
    <w:rsid w:val="00525214"/>
    <w:rsid w:val="00525573"/>
    <w:rsid w:val="00525691"/>
    <w:rsid w:val="00525898"/>
    <w:rsid w:val="0052599E"/>
    <w:rsid w:val="00525A6F"/>
    <w:rsid w:val="00525B12"/>
    <w:rsid w:val="00525C0A"/>
    <w:rsid w:val="00525D6E"/>
    <w:rsid w:val="00525E56"/>
    <w:rsid w:val="0052601A"/>
    <w:rsid w:val="00526074"/>
    <w:rsid w:val="005260E6"/>
    <w:rsid w:val="005260F5"/>
    <w:rsid w:val="005261A6"/>
    <w:rsid w:val="005261E6"/>
    <w:rsid w:val="005263E7"/>
    <w:rsid w:val="005265E9"/>
    <w:rsid w:val="00526781"/>
    <w:rsid w:val="00526946"/>
    <w:rsid w:val="00526CA2"/>
    <w:rsid w:val="00526E18"/>
    <w:rsid w:val="00526E2F"/>
    <w:rsid w:val="00526F0F"/>
    <w:rsid w:val="00526F97"/>
    <w:rsid w:val="00526F9D"/>
    <w:rsid w:val="00527270"/>
    <w:rsid w:val="0052755D"/>
    <w:rsid w:val="00527682"/>
    <w:rsid w:val="0052792B"/>
    <w:rsid w:val="00527975"/>
    <w:rsid w:val="00527D57"/>
    <w:rsid w:val="00527D75"/>
    <w:rsid w:val="00527E37"/>
    <w:rsid w:val="00530454"/>
    <w:rsid w:val="005304E1"/>
    <w:rsid w:val="005306DC"/>
    <w:rsid w:val="00530896"/>
    <w:rsid w:val="0053092A"/>
    <w:rsid w:val="00530959"/>
    <w:rsid w:val="00530A4A"/>
    <w:rsid w:val="00530BF3"/>
    <w:rsid w:val="00530D3F"/>
    <w:rsid w:val="00530D5B"/>
    <w:rsid w:val="00530FC7"/>
    <w:rsid w:val="005310C4"/>
    <w:rsid w:val="0053140A"/>
    <w:rsid w:val="00531522"/>
    <w:rsid w:val="00531757"/>
    <w:rsid w:val="00531799"/>
    <w:rsid w:val="00531856"/>
    <w:rsid w:val="00531A89"/>
    <w:rsid w:val="00531B41"/>
    <w:rsid w:val="00531BD9"/>
    <w:rsid w:val="00531C79"/>
    <w:rsid w:val="00531C9B"/>
    <w:rsid w:val="00531CF0"/>
    <w:rsid w:val="00531E50"/>
    <w:rsid w:val="00531E69"/>
    <w:rsid w:val="0053217F"/>
    <w:rsid w:val="0053237C"/>
    <w:rsid w:val="005326D4"/>
    <w:rsid w:val="0053275D"/>
    <w:rsid w:val="0053276F"/>
    <w:rsid w:val="005327F9"/>
    <w:rsid w:val="00532AE9"/>
    <w:rsid w:val="00532AF5"/>
    <w:rsid w:val="00532B3B"/>
    <w:rsid w:val="00532C0A"/>
    <w:rsid w:val="00532C35"/>
    <w:rsid w:val="00532D21"/>
    <w:rsid w:val="00532D28"/>
    <w:rsid w:val="00532DBD"/>
    <w:rsid w:val="00533010"/>
    <w:rsid w:val="005330AF"/>
    <w:rsid w:val="005333CC"/>
    <w:rsid w:val="00533419"/>
    <w:rsid w:val="00533486"/>
    <w:rsid w:val="005334B1"/>
    <w:rsid w:val="00533528"/>
    <w:rsid w:val="00533624"/>
    <w:rsid w:val="0053398E"/>
    <w:rsid w:val="00533C04"/>
    <w:rsid w:val="00533DFB"/>
    <w:rsid w:val="0053417B"/>
    <w:rsid w:val="0053443E"/>
    <w:rsid w:val="005344C9"/>
    <w:rsid w:val="005344CF"/>
    <w:rsid w:val="005344E0"/>
    <w:rsid w:val="00534675"/>
    <w:rsid w:val="005346E3"/>
    <w:rsid w:val="00534851"/>
    <w:rsid w:val="005349B9"/>
    <w:rsid w:val="005349F2"/>
    <w:rsid w:val="00534AAA"/>
    <w:rsid w:val="00534BD4"/>
    <w:rsid w:val="00534BDF"/>
    <w:rsid w:val="00534D18"/>
    <w:rsid w:val="00534DAA"/>
    <w:rsid w:val="00534DFC"/>
    <w:rsid w:val="00534E7C"/>
    <w:rsid w:val="005350BB"/>
    <w:rsid w:val="005351B5"/>
    <w:rsid w:val="00535585"/>
    <w:rsid w:val="0053565C"/>
    <w:rsid w:val="005356B4"/>
    <w:rsid w:val="005357A9"/>
    <w:rsid w:val="005357D3"/>
    <w:rsid w:val="005357EB"/>
    <w:rsid w:val="00535987"/>
    <w:rsid w:val="00535B2E"/>
    <w:rsid w:val="00536011"/>
    <w:rsid w:val="00536054"/>
    <w:rsid w:val="00536114"/>
    <w:rsid w:val="00536158"/>
    <w:rsid w:val="00536279"/>
    <w:rsid w:val="00536312"/>
    <w:rsid w:val="0053634C"/>
    <w:rsid w:val="0053638C"/>
    <w:rsid w:val="00536665"/>
    <w:rsid w:val="00536903"/>
    <w:rsid w:val="00536B9A"/>
    <w:rsid w:val="00536C82"/>
    <w:rsid w:val="00536D0D"/>
    <w:rsid w:val="00536D2E"/>
    <w:rsid w:val="00536EBC"/>
    <w:rsid w:val="00536ED0"/>
    <w:rsid w:val="00536EFE"/>
    <w:rsid w:val="00537078"/>
    <w:rsid w:val="005370D6"/>
    <w:rsid w:val="0053746E"/>
    <w:rsid w:val="0053749B"/>
    <w:rsid w:val="005376AB"/>
    <w:rsid w:val="005376D8"/>
    <w:rsid w:val="005377DC"/>
    <w:rsid w:val="00537861"/>
    <w:rsid w:val="005379BC"/>
    <w:rsid w:val="00537BD0"/>
    <w:rsid w:val="00537CE3"/>
    <w:rsid w:val="00537EC2"/>
    <w:rsid w:val="00537EF4"/>
    <w:rsid w:val="00537F17"/>
    <w:rsid w:val="00537FDF"/>
    <w:rsid w:val="005400C8"/>
    <w:rsid w:val="005403EE"/>
    <w:rsid w:val="0054062E"/>
    <w:rsid w:val="005406C6"/>
    <w:rsid w:val="0054091C"/>
    <w:rsid w:val="005409FE"/>
    <w:rsid w:val="00540A9B"/>
    <w:rsid w:val="00540AD0"/>
    <w:rsid w:val="00540B17"/>
    <w:rsid w:val="00540D5B"/>
    <w:rsid w:val="00540F00"/>
    <w:rsid w:val="00540F42"/>
    <w:rsid w:val="00541272"/>
    <w:rsid w:val="005413AE"/>
    <w:rsid w:val="0054159A"/>
    <w:rsid w:val="00541696"/>
    <w:rsid w:val="0054172D"/>
    <w:rsid w:val="00541886"/>
    <w:rsid w:val="00541899"/>
    <w:rsid w:val="00541A91"/>
    <w:rsid w:val="00541DDD"/>
    <w:rsid w:val="00541FD4"/>
    <w:rsid w:val="005420F0"/>
    <w:rsid w:val="00542131"/>
    <w:rsid w:val="0054227B"/>
    <w:rsid w:val="0054231D"/>
    <w:rsid w:val="005423EE"/>
    <w:rsid w:val="00542430"/>
    <w:rsid w:val="00542494"/>
    <w:rsid w:val="005428C5"/>
    <w:rsid w:val="0054294F"/>
    <w:rsid w:val="00542A91"/>
    <w:rsid w:val="00542B69"/>
    <w:rsid w:val="00542B93"/>
    <w:rsid w:val="00542BC6"/>
    <w:rsid w:val="0054301A"/>
    <w:rsid w:val="00543161"/>
    <w:rsid w:val="00543262"/>
    <w:rsid w:val="0054331D"/>
    <w:rsid w:val="00543344"/>
    <w:rsid w:val="0054336B"/>
    <w:rsid w:val="005434B3"/>
    <w:rsid w:val="00543535"/>
    <w:rsid w:val="00543582"/>
    <w:rsid w:val="005437E8"/>
    <w:rsid w:val="0054384F"/>
    <w:rsid w:val="00543A5B"/>
    <w:rsid w:val="00543C4A"/>
    <w:rsid w:val="00543D4D"/>
    <w:rsid w:val="00543EE3"/>
    <w:rsid w:val="005440A6"/>
    <w:rsid w:val="005440C5"/>
    <w:rsid w:val="005442E0"/>
    <w:rsid w:val="0054434A"/>
    <w:rsid w:val="00544465"/>
    <w:rsid w:val="0054453A"/>
    <w:rsid w:val="00544629"/>
    <w:rsid w:val="005446A5"/>
    <w:rsid w:val="005447A6"/>
    <w:rsid w:val="00544A0E"/>
    <w:rsid w:val="00544C22"/>
    <w:rsid w:val="00544C73"/>
    <w:rsid w:val="00544DD7"/>
    <w:rsid w:val="00544E1A"/>
    <w:rsid w:val="00544E43"/>
    <w:rsid w:val="00545117"/>
    <w:rsid w:val="005452EA"/>
    <w:rsid w:val="0054535D"/>
    <w:rsid w:val="005453B4"/>
    <w:rsid w:val="00545488"/>
    <w:rsid w:val="005454CE"/>
    <w:rsid w:val="005455B2"/>
    <w:rsid w:val="005455EC"/>
    <w:rsid w:val="00545693"/>
    <w:rsid w:val="005456AC"/>
    <w:rsid w:val="005457D2"/>
    <w:rsid w:val="00545AA1"/>
    <w:rsid w:val="00545C49"/>
    <w:rsid w:val="00545C65"/>
    <w:rsid w:val="00545D95"/>
    <w:rsid w:val="00545E85"/>
    <w:rsid w:val="00545EB3"/>
    <w:rsid w:val="00545ED6"/>
    <w:rsid w:val="0054633E"/>
    <w:rsid w:val="005464E9"/>
    <w:rsid w:val="00546525"/>
    <w:rsid w:val="00546604"/>
    <w:rsid w:val="005467D0"/>
    <w:rsid w:val="00546989"/>
    <w:rsid w:val="005469E3"/>
    <w:rsid w:val="00546AF2"/>
    <w:rsid w:val="00546BBA"/>
    <w:rsid w:val="00546DA6"/>
    <w:rsid w:val="005470FF"/>
    <w:rsid w:val="005472A8"/>
    <w:rsid w:val="005473AB"/>
    <w:rsid w:val="00547693"/>
    <w:rsid w:val="00547898"/>
    <w:rsid w:val="00547924"/>
    <w:rsid w:val="00547987"/>
    <w:rsid w:val="00547B01"/>
    <w:rsid w:val="00547B49"/>
    <w:rsid w:val="00550327"/>
    <w:rsid w:val="00550362"/>
    <w:rsid w:val="005503CC"/>
    <w:rsid w:val="00550542"/>
    <w:rsid w:val="00550575"/>
    <w:rsid w:val="00550655"/>
    <w:rsid w:val="00550826"/>
    <w:rsid w:val="00550870"/>
    <w:rsid w:val="00550874"/>
    <w:rsid w:val="005508CC"/>
    <w:rsid w:val="00550909"/>
    <w:rsid w:val="00550940"/>
    <w:rsid w:val="00550A63"/>
    <w:rsid w:val="00550FB3"/>
    <w:rsid w:val="00551353"/>
    <w:rsid w:val="005513D5"/>
    <w:rsid w:val="00551400"/>
    <w:rsid w:val="00551411"/>
    <w:rsid w:val="00551543"/>
    <w:rsid w:val="0055154E"/>
    <w:rsid w:val="00551568"/>
    <w:rsid w:val="0055177E"/>
    <w:rsid w:val="00551789"/>
    <w:rsid w:val="00551AD9"/>
    <w:rsid w:val="00551AE9"/>
    <w:rsid w:val="00551F6E"/>
    <w:rsid w:val="00551F9D"/>
    <w:rsid w:val="00552080"/>
    <w:rsid w:val="0055219E"/>
    <w:rsid w:val="005521A3"/>
    <w:rsid w:val="00552241"/>
    <w:rsid w:val="0055228B"/>
    <w:rsid w:val="005522C0"/>
    <w:rsid w:val="0055230E"/>
    <w:rsid w:val="0055237A"/>
    <w:rsid w:val="0055240C"/>
    <w:rsid w:val="005524AA"/>
    <w:rsid w:val="00552531"/>
    <w:rsid w:val="00552668"/>
    <w:rsid w:val="00552885"/>
    <w:rsid w:val="00552A42"/>
    <w:rsid w:val="00552B43"/>
    <w:rsid w:val="00552D87"/>
    <w:rsid w:val="0055323E"/>
    <w:rsid w:val="00553244"/>
    <w:rsid w:val="00553586"/>
    <w:rsid w:val="005536AA"/>
    <w:rsid w:val="00553771"/>
    <w:rsid w:val="005537A5"/>
    <w:rsid w:val="00553937"/>
    <w:rsid w:val="00553AED"/>
    <w:rsid w:val="00553BCA"/>
    <w:rsid w:val="00553CFC"/>
    <w:rsid w:val="00553DA4"/>
    <w:rsid w:val="00553E7B"/>
    <w:rsid w:val="00553EEE"/>
    <w:rsid w:val="0055403D"/>
    <w:rsid w:val="00554208"/>
    <w:rsid w:val="00554294"/>
    <w:rsid w:val="005542AE"/>
    <w:rsid w:val="005545DD"/>
    <w:rsid w:val="005547E2"/>
    <w:rsid w:val="0055482A"/>
    <w:rsid w:val="00554861"/>
    <w:rsid w:val="00554982"/>
    <w:rsid w:val="00554B80"/>
    <w:rsid w:val="00554C28"/>
    <w:rsid w:val="00554E42"/>
    <w:rsid w:val="00554ECA"/>
    <w:rsid w:val="00554EE7"/>
    <w:rsid w:val="00554F2B"/>
    <w:rsid w:val="00555271"/>
    <w:rsid w:val="00555490"/>
    <w:rsid w:val="005555A8"/>
    <w:rsid w:val="005558E1"/>
    <w:rsid w:val="0055592B"/>
    <w:rsid w:val="00555A6D"/>
    <w:rsid w:val="00555AFD"/>
    <w:rsid w:val="00555BB3"/>
    <w:rsid w:val="00555CB1"/>
    <w:rsid w:val="00555D4C"/>
    <w:rsid w:val="00555DFB"/>
    <w:rsid w:val="00555EF0"/>
    <w:rsid w:val="00555EFE"/>
    <w:rsid w:val="00555F0B"/>
    <w:rsid w:val="00555FBB"/>
    <w:rsid w:val="00556614"/>
    <w:rsid w:val="00556768"/>
    <w:rsid w:val="00556805"/>
    <w:rsid w:val="00556963"/>
    <w:rsid w:val="00556998"/>
    <w:rsid w:val="005569F2"/>
    <w:rsid w:val="00556AB7"/>
    <w:rsid w:val="00556BD7"/>
    <w:rsid w:val="0055736A"/>
    <w:rsid w:val="0055741D"/>
    <w:rsid w:val="00557449"/>
    <w:rsid w:val="005575A2"/>
    <w:rsid w:val="0055783F"/>
    <w:rsid w:val="00557845"/>
    <w:rsid w:val="0055796E"/>
    <w:rsid w:val="00557997"/>
    <w:rsid w:val="00557B17"/>
    <w:rsid w:val="00557B96"/>
    <w:rsid w:val="00557C16"/>
    <w:rsid w:val="00560105"/>
    <w:rsid w:val="00560188"/>
    <w:rsid w:val="00560362"/>
    <w:rsid w:val="005605BA"/>
    <w:rsid w:val="005606D1"/>
    <w:rsid w:val="00560703"/>
    <w:rsid w:val="0056070A"/>
    <w:rsid w:val="00560807"/>
    <w:rsid w:val="005609B6"/>
    <w:rsid w:val="00560AEB"/>
    <w:rsid w:val="00560B9A"/>
    <w:rsid w:val="00560E5A"/>
    <w:rsid w:val="00560E7B"/>
    <w:rsid w:val="00560F30"/>
    <w:rsid w:val="00560FD2"/>
    <w:rsid w:val="0056113D"/>
    <w:rsid w:val="005612D8"/>
    <w:rsid w:val="0056158A"/>
    <w:rsid w:val="005616F6"/>
    <w:rsid w:val="00561810"/>
    <w:rsid w:val="00561894"/>
    <w:rsid w:val="005618C2"/>
    <w:rsid w:val="0056195B"/>
    <w:rsid w:val="0056199D"/>
    <w:rsid w:val="005619D0"/>
    <w:rsid w:val="00561A1B"/>
    <w:rsid w:val="00561A62"/>
    <w:rsid w:val="00561AEC"/>
    <w:rsid w:val="00561C79"/>
    <w:rsid w:val="00561DF9"/>
    <w:rsid w:val="00561EDB"/>
    <w:rsid w:val="00561EED"/>
    <w:rsid w:val="00561F1B"/>
    <w:rsid w:val="00561F78"/>
    <w:rsid w:val="005620B0"/>
    <w:rsid w:val="005620C4"/>
    <w:rsid w:val="005623E4"/>
    <w:rsid w:val="0056245D"/>
    <w:rsid w:val="0056267B"/>
    <w:rsid w:val="00562702"/>
    <w:rsid w:val="00562707"/>
    <w:rsid w:val="0056272A"/>
    <w:rsid w:val="00562858"/>
    <w:rsid w:val="005628A9"/>
    <w:rsid w:val="005629FE"/>
    <w:rsid w:val="00562A1F"/>
    <w:rsid w:val="00562B0D"/>
    <w:rsid w:val="00562C02"/>
    <w:rsid w:val="00562C4C"/>
    <w:rsid w:val="00562CF1"/>
    <w:rsid w:val="00562D7B"/>
    <w:rsid w:val="00562E76"/>
    <w:rsid w:val="00562F02"/>
    <w:rsid w:val="00562F4B"/>
    <w:rsid w:val="00563198"/>
    <w:rsid w:val="005631C9"/>
    <w:rsid w:val="005636FF"/>
    <w:rsid w:val="005637D7"/>
    <w:rsid w:val="0056393D"/>
    <w:rsid w:val="00563994"/>
    <w:rsid w:val="00563AE7"/>
    <w:rsid w:val="00563B14"/>
    <w:rsid w:val="00563B21"/>
    <w:rsid w:val="00563C98"/>
    <w:rsid w:val="00563CB8"/>
    <w:rsid w:val="00563CEF"/>
    <w:rsid w:val="00563F45"/>
    <w:rsid w:val="0056403D"/>
    <w:rsid w:val="00564124"/>
    <w:rsid w:val="00564497"/>
    <w:rsid w:val="005645C7"/>
    <w:rsid w:val="00564775"/>
    <w:rsid w:val="005647C1"/>
    <w:rsid w:val="00564C0C"/>
    <w:rsid w:val="00564C88"/>
    <w:rsid w:val="00564D1B"/>
    <w:rsid w:val="00564E0E"/>
    <w:rsid w:val="00564E40"/>
    <w:rsid w:val="00564FEC"/>
    <w:rsid w:val="00564FFE"/>
    <w:rsid w:val="00565059"/>
    <w:rsid w:val="005651AC"/>
    <w:rsid w:val="005651B4"/>
    <w:rsid w:val="00565353"/>
    <w:rsid w:val="005653D7"/>
    <w:rsid w:val="0056550E"/>
    <w:rsid w:val="00565699"/>
    <w:rsid w:val="005656F3"/>
    <w:rsid w:val="005657DD"/>
    <w:rsid w:val="00565926"/>
    <w:rsid w:val="00565949"/>
    <w:rsid w:val="005659F5"/>
    <w:rsid w:val="00565AB8"/>
    <w:rsid w:val="00565BFA"/>
    <w:rsid w:val="00565FC9"/>
    <w:rsid w:val="005660E0"/>
    <w:rsid w:val="0056615C"/>
    <w:rsid w:val="00566204"/>
    <w:rsid w:val="0056639F"/>
    <w:rsid w:val="005666E9"/>
    <w:rsid w:val="00566906"/>
    <w:rsid w:val="00566925"/>
    <w:rsid w:val="00566931"/>
    <w:rsid w:val="00566998"/>
    <w:rsid w:val="00566C40"/>
    <w:rsid w:val="00566D2B"/>
    <w:rsid w:val="00566D2C"/>
    <w:rsid w:val="00566D9E"/>
    <w:rsid w:val="00566DD2"/>
    <w:rsid w:val="00566E81"/>
    <w:rsid w:val="005670DB"/>
    <w:rsid w:val="0056713B"/>
    <w:rsid w:val="00567196"/>
    <w:rsid w:val="0056755D"/>
    <w:rsid w:val="0056758B"/>
    <w:rsid w:val="0056768B"/>
    <w:rsid w:val="00567767"/>
    <w:rsid w:val="005678A6"/>
    <w:rsid w:val="00567B8A"/>
    <w:rsid w:val="00567D08"/>
    <w:rsid w:val="00570108"/>
    <w:rsid w:val="00570130"/>
    <w:rsid w:val="005701D1"/>
    <w:rsid w:val="005702B8"/>
    <w:rsid w:val="00570454"/>
    <w:rsid w:val="005706F6"/>
    <w:rsid w:val="00570839"/>
    <w:rsid w:val="005708D7"/>
    <w:rsid w:val="005709F8"/>
    <w:rsid w:val="00570B7B"/>
    <w:rsid w:val="00570B85"/>
    <w:rsid w:val="00570B94"/>
    <w:rsid w:val="00570C4B"/>
    <w:rsid w:val="00570CDA"/>
    <w:rsid w:val="00570E9A"/>
    <w:rsid w:val="005711C1"/>
    <w:rsid w:val="00571211"/>
    <w:rsid w:val="0057121B"/>
    <w:rsid w:val="00571278"/>
    <w:rsid w:val="00571344"/>
    <w:rsid w:val="0057151A"/>
    <w:rsid w:val="00571693"/>
    <w:rsid w:val="005719E7"/>
    <w:rsid w:val="00571A3E"/>
    <w:rsid w:val="00571AEA"/>
    <w:rsid w:val="00571B74"/>
    <w:rsid w:val="00571DB6"/>
    <w:rsid w:val="00571E5A"/>
    <w:rsid w:val="0057217B"/>
    <w:rsid w:val="00572283"/>
    <w:rsid w:val="005722DC"/>
    <w:rsid w:val="00572378"/>
    <w:rsid w:val="00572411"/>
    <w:rsid w:val="00572502"/>
    <w:rsid w:val="005726A0"/>
    <w:rsid w:val="005727FD"/>
    <w:rsid w:val="00572A41"/>
    <w:rsid w:val="00572AAF"/>
    <w:rsid w:val="00572DBD"/>
    <w:rsid w:val="00572F90"/>
    <w:rsid w:val="00573085"/>
    <w:rsid w:val="005730F6"/>
    <w:rsid w:val="0057332E"/>
    <w:rsid w:val="00573421"/>
    <w:rsid w:val="005734DB"/>
    <w:rsid w:val="005736B3"/>
    <w:rsid w:val="00573B3F"/>
    <w:rsid w:val="00573CCB"/>
    <w:rsid w:val="00573E88"/>
    <w:rsid w:val="00573EF7"/>
    <w:rsid w:val="00574037"/>
    <w:rsid w:val="00574070"/>
    <w:rsid w:val="00574089"/>
    <w:rsid w:val="005741BD"/>
    <w:rsid w:val="005742AD"/>
    <w:rsid w:val="005743B5"/>
    <w:rsid w:val="005743B6"/>
    <w:rsid w:val="00574496"/>
    <w:rsid w:val="005744C1"/>
    <w:rsid w:val="0057471B"/>
    <w:rsid w:val="00574AB2"/>
    <w:rsid w:val="0057510B"/>
    <w:rsid w:val="0057520A"/>
    <w:rsid w:val="0057522F"/>
    <w:rsid w:val="0057528F"/>
    <w:rsid w:val="00575300"/>
    <w:rsid w:val="00575768"/>
    <w:rsid w:val="005758B5"/>
    <w:rsid w:val="0057594B"/>
    <w:rsid w:val="005759EE"/>
    <w:rsid w:val="00575BA0"/>
    <w:rsid w:val="00575D42"/>
    <w:rsid w:val="00575D8C"/>
    <w:rsid w:val="00575E49"/>
    <w:rsid w:val="00575E92"/>
    <w:rsid w:val="00576195"/>
    <w:rsid w:val="0057654B"/>
    <w:rsid w:val="005767DA"/>
    <w:rsid w:val="00576800"/>
    <w:rsid w:val="00576A2F"/>
    <w:rsid w:val="00576AEF"/>
    <w:rsid w:val="00576E20"/>
    <w:rsid w:val="00576E39"/>
    <w:rsid w:val="00577249"/>
    <w:rsid w:val="00577335"/>
    <w:rsid w:val="00577540"/>
    <w:rsid w:val="005776F1"/>
    <w:rsid w:val="005776FB"/>
    <w:rsid w:val="00577880"/>
    <w:rsid w:val="00577A11"/>
    <w:rsid w:val="00577A8F"/>
    <w:rsid w:val="00577B42"/>
    <w:rsid w:val="00577B4E"/>
    <w:rsid w:val="00577D69"/>
    <w:rsid w:val="00577F3B"/>
    <w:rsid w:val="00577FD4"/>
    <w:rsid w:val="005800A4"/>
    <w:rsid w:val="005800ED"/>
    <w:rsid w:val="005803A9"/>
    <w:rsid w:val="00580679"/>
    <w:rsid w:val="0058069A"/>
    <w:rsid w:val="00580704"/>
    <w:rsid w:val="0058071D"/>
    <w:rsid w:val="005807C2"/>
    <w:rsid w:val="00580CE3"/>
    <w:rsid w:val="00580DAE"/>
    <w:rsid w:val="00580EB3"/>
    <w:rsid w:val="00580FE0"/>
    <w:rsid w:val="005811EE"/>
    <w:rsid w:val="005812CE"/>
    <w:rsid w:val="005812F8"/>
    <w:rsid w:val="005813AF"/>
    <w:rsid w:val="00581492"/>
    <w:rsid w:val="005816F7"/>
    <w:rsid w:val="00581846"/>
    <w:rsid w:val="005818BD"/>
    <w:rsid w:val="00581997"/>
    <w:rsid w:val="00581B6A"/>
    <w:rsid w:val="00581D70"/>
    <w:rsid w:val="00581E96"/>
    <w:rsid w:val="005820E6"/>
    <w:rsid w:val="0058226F"/>
    <w:rsid w:val="0058228E"/>
    <w:rsid w:val="00582384"/>
    <w:rsid w:val="00582441"/>
    <w:rsid w:val="005826AC"/>
    <w:rsid w:val="00582870"/>
    <w:rsid w:val="00582B77"/>
    <w:rsid w:val="00582DD4"/>
    <w:rsid w:val="00582DEB"/>
    <w:rsid w:val="00582F86"/>
    <w:rsid w:val="00583056"/>
    <w:rsid w:val="00583151"/>
    <w:rsid w:val="005832D4"/>
    <w:rsid w:val="00583407"/>
    <w:rsid w:val="0058354E"/>
    <w:rsid w:val="00583653"/>
    <w:rsid w:val="00583665"/>
    <w:rsid w:val="00583704"/>
    <w:rsid w:val="005837B9"/>
    <w:rsid w:val="005838CD"/>
    <w:rsid w:val="005838E8"/>
    <w:rsid w:val="00583960"/>
    <w:rsid w:val="005839E3"/>
    <w:rsid w:val="00583A63"/>
    <w:rsid w:val="00583A7A"/>
    <w:rsid w:val="00583A9E"/>
    <w:rsid w:val="0058456E"/>
    <w:rsid w:val="00584615"/>
    <w:rsid w:val="00584633"/>
    <w:rsid w:val="00584641"/>
    <w:rsid w:val="005846E6"/>
    <w:rsid w:val="005847B8"/>
    <w:rsid w:val="00584834"/>
    <w:rsid w:val="005848F5"/>
    <w:rsid w:val="00584C85"/>
    <w:rsid w:val="00584C9C"/>
    <w:rsid w:val="00585091"/>
    <w:rsid w:val="0058517F"/>
    <w:rsid w:val="005851BA"/>
    <w:rsid w:val="005851CF"/>
    <w:rsid w:val="005851F1"/>
    <w:rsid w:val="00585321"/>
    <w:rsid w:val="005853C2"/>
    <w:rsid w:val="005854C0"/>
    <w:rsid w:val="00585745"/>
    <w:rsid w:val="00585A62"/>
    <w:rsid w:val="00585B3C"/>
    <w:rsid w:val="00585B84"/>
    <w:rsid w:val="00585BD1"/>
    <w:rsid w:val="00585BEA"/>
    <w:rsid w:val="00585D7A"/>
    <w:rsid w:val="00585E5B"/>
    <w:rsid w:val="00585E5C"/>
    <w:rsid w:val="005861C1"/>
    <w:rsid w:val="0058631B"/>
    <w:rsid w:val="005863A6"/>
    <w:rsid w:val="0058658E"/>
    <w:rsid w:val="005866CA"/>
    <w:rsid w:val="005868D9"/>
    <w:rsid w:val="00586AA4"/>
    <w:rsid w:val="00586B23"/>
    <w:rsid w:val="00586B47"/>
    <w:rsid w:val="00586C70"/>
    <w:rsid w:val="00586EEF"/>
    <w:rsid w:val="005871D8"/>
    <w:rsid w:val="0058723B"/>
    <w:rsid w:val="00587388"/>
    <w:rsid w:val="005874FB"/>
    <w:rsid w:val="0058763F"/>
    <w:rsid w:val="005877AA"/>
    <w:rsid w:val="00587937"/>
    <w:rsid w:val="00587BEE"/>
    <w:rsid w:val="00587E28"/>
    <w:rsid w:val="00587E71"/>
    <w:rsid w:val="00587F0A"/>
    <w:rsid w:val="005900AF"/>
    <w:rsid w:val="0059017D"/>
    <w:rsid w:val="00590282"/>
    <w:rsid w:val="00590431"/>
    <w:rsid w:val="005907D6"/>
    <w:rsid w:val="00590BDA"/>
    <w:rsid w:val="00590C07"/>
    <w:rsid w:val="00590D1F"/>
    <w:rsid w:val="00590FF6"/>
    <w:rsid w:val="00591033"/>
    <w:rsid w:val="005910F1"/>
    <w:rsid w:val="0059120D"/>
    <w:rsid w:val="005912B2"/>
    <w:rsid w:val="005913AD"/>
    <w:rsid w:val="0059173F"/>
    <w:rsid w:val="00591757"/>
    <w:rsid w:val="00591A55"/>
    <w:rsid w:val="00591B86"/>
    <w:rsid w:val="00591E2F"/>
    <w:rsid w:val="00591E5A"/>
    <w:rsid w:val="005921F7"/>
    <w:rsid w:val="005923EE"/>
    <w:rsid w:val="005923F6"/>
    <w:rsid w:val="005924BA"/>
    <w:rsid w:val="00592618"/>
    <w:rsid w:val="005928A5"/>
    <w:rsid w:val="005929C6"/>
    <w:rsid w:val="00592A04"/>
    <w:rsid w:val="00592A68"/>
    <w:rsid w:val="00592A70"/>
    <w:rsid w:val="00592BA2"/>
    <w:rsid w:val="00592EDF"/>
    <w:rsid w:val="00592F1A"/>
    <w:rsid w:val="00592F73"/>
    <w:rsid w:val="005930C6"/>
    <w:rsid w:val="0059310D"/>
    <w:rsid w:val="00593138"/>
    <w:rsid w:val="005933AE"/>
    <w:rsid w:val="005933FB"/>
    <w:rsid w:val="0059349C"/>
    <w:rsid w:val="00593598"/>
    <w:rsid w:val="00593684"/>
    <w:rsid w:val="005938D7"/>
    <w:rsid w:val="005939CE"/>
    <w:rsid w:val="00593A21"/>
    <w:rsid w:val="00593A30"/>
    <w:rsid w:val="00593A7B"/>
    <w:rsid w:val="00593B92"/>
    <w:rsid w:val="00593C51"/>
    <w:rsid w:val="00593C77"/>
    <w:rsid w:val="00593E16"/>
    <w:rsid w:val="00593E9D"/>
    <w:rsid w:val="00593EBA"/>
    <w:rsid w:val="005940CB"/>
    <w:rsid w:val="00594130"/>
    <w:rsid w:val="005942E2"/>
    <w:rsid w:val="005945F0"/>
    <w:rsid w:val="0059468E"/>
    <w:rsid w:val="00594698"/>
    <w:rsid w:val="005946C1"/>
    <w:rsid w:val="005948A1"/>
    <w:rsid w:val="0059492D"/>
    <w:rsid w:val="005949E4"/>
    <w:rsid w:val="00594ADA"/>
    <w:rsid w:val="00594BF1"/>
    <w:rsid w:val="00594C53"/>
    <w:rsid w:val="00594C68"/>
    <w:rsid w:val="00594E98"/>
    <w:rsid w:val="00595040"/>
    <w:rsid w:val="005950AE"/>
    <w:rsid w:val="0059520F"/>
    <w:rsid w:val="00595269"/>
    <w:rsid w:val="00595389"/>
    <w:rsid w:val="0059541B"/>
    <w:rsid w:val="00595668"/>
    <w:rsid w:val="005956CB"/>
    <w:rsid w:val="005957F6"/>
    <w:rsid w:val="005958C1"/>
    <w:rsid w:val="00595C44"/>
    <w:rsid w:val="00595CBB"/>
    <w:rsid w:val="00595D00"/>
    <w:rsid w:val="00595DD9"/>
    <w:rsid w:val="00595E0E"/>
    <w:rsid w:val="00595FC8"/>
    <w:rsid w:val="00595FFE"/>
    <w:rsid w:val="005960B4"/>
    <w:rsid w:val="00596103"/>
    <w:rsid w:val="0059627E"/>
    <w:rsid w:val="00596402"/>
    <w:rsid w:val="005964AF"/>
    <w:rsid w:val="00596B3E"/>
    <w:rsid w:val="00596C05"/>
    <w:rsid w:val="00596C11"/>
    <w:rsid w:val="00596DE1"/>
    <w:rsid w:val="00596E66"/>
    <w:rsid w:val="00596F99"/>
    <w:rsid w:val="00596F9F"/>
    <w:rsid w:val="005971D5"/>
    <w:rsid w:val="005972E5"/>
    <w:rsid w:val="005972F1"/>
    <w:rsid w:val="005975BF"/>
    <w:rsid w:val="0059762E"/>
    <w:rsid w:val="00597879"/>
    <w:rsid w:val="00597919"/>
    <w:rsid w:val="00597B21"/>
    <w:rsid w:val="00597F7A"/>
    <w:rsid w:val="00597FB0"/>
    <w:rsid w:val="005A02E1"/>
    <w:rsid w:val="005A044C"/>
    <w:rsid w:val="005A0452"/>
    <w:rsid w:val="005A0503"/>
    <w:rsid w:val="005A0745"/>
    <w:rsid w:val="005A07CA"/>
    <w:rsid w:val="005A07E7"/>
    <w:rsid w:val="005A0871"/>
    <w:rsid w:val="005A08E3"/>
    <w:rsid w:val="005A0A88"/>
    <w:rsid w:val="005A0C68"/>
    <w:rsid w:val="005A0CC2"/>
    <w:rsid w:val="005A0D56"/>
    <w:rsid w:val="005A0FC4"/>
    <w:rsid w:val="005A1073"/>
    <w:rsid w:val="005A10B5"/>
    <w:rsid w:val="005A11F5"/>
    <w:rsid w:val="005A11F9"/>
    <w:rsid w:val="005A1231"/>
    <w:rsid w:val="005A13C1"/>
    <w:rsid w:val="005A13FF"/>
    <w:rsid w:val="005A142C"/>
    <w:rsid w:val="005A1459"/>
    <w:rsid w:val="005A14DF"/>
    <w:rsid w:val="005A1599"/>
    <w:rsid w:val="005A19C3"/>
    <w:rsid w:val="005A19FB"/>
    <w:rsid w:val="005A1A8A"/>
    <w:rsid w:val="005A1B58"/>
    <w:rsid w:val="005A1B82"/>
    <w:rsid w:val="005A1FB7"/>
    <w:rsid w:val="005A20F1"/>
    <w:rsid w:val="005A210D"/>
    <w:rsid w:val="005A2183"/>
    <w:rsid w:val="005A21DE"/>
    <w:rsid w:val="005A23DE"/>
    <w:rsid w:val="005A2428"/>
    <w:rsid w:val="005A2601"/>
    <w:rsid w:val="005A26D3"/>
    <w:rsid w:val="005A276C"/>
    <w:rsid w:val="005A27B8"/>
    <w:rsid w:val="005A292E"/>
    <w:rsid w:val="005A2A05"/>
    <w:rsid w:val="005A2A2C"/>
    <w:rsid w:val="005A2C58"/>
    <w:rsid w:val="005A2E26"/>
    <w:rsid w:val="005A2F27"/>
    <w:rsid w:val="005A347B"/>
    <w:rsid w:val="005A34AD"/>
    <w:rsid w:val="005A3663"/>
    <w:rsid w:val="005A3724"/>
    <w:rsid w:val="005A380E"/>
    <w:rsid w:val="005A3888"/>
    <w:rsid w:val="005A3BBD"/>
    <w:rsid w:val="005A3C01"/>
    <w:rsid w:val="005A3DC7"/>
    <w:rsid w:val="005A3E98"/>
    <w:rsid w:val="005A3F0C"/>
    <w:rsid w:val="005A40C4"/>
    <w:rsid w:val="005A41EA"/>
    <w:rsid w:val="005A41F8"/>
    <w:rsid w:val="005A43F8"/>
    <w:rsid w:val="005A4502"/>
    <w:rsid w:val="005A452E"/>
    <w:rsid w:val="005A4543"/>
    <w:rsid w:val="005A45F6"/>
    <w:rsid w:val="005A462B"/>
    <w:rsid w:val="005A49B2"/>
    <w:rsid w:val="005A4A70"/>
    <w:rsid w:val="005A4D9B"/>
    <w:rsid w:val="005A4DE8"/>
    <w:rsid w:val="005A4E58"/>
    <w:rsid w:val="005A4F02"/>
    <w:rsid w:val="005A5156"/>
    <w:rsid w:val="005A519F"/>
    <w:rsid w:val="005A5314"/>
    <w:rsid w:val="005A5485"/>
    <w:rsid w:val="005A5500"/>
    <w:rsid w:val="005A55CC"/>
    <w:rsid w:val="005A57F2"/>
    <w:rsid w:val="005A59B3"/>
    <w:rsid w:val="005A5B45"/>
    <w:rsid w:val="005A5E02"/>
    <w:rsid w:val="005A5E36"/>
    <w:rsid w:val="005A5E86"/>
    <w:rsid w:val="005A6041"/>
    <w:rsid w:val="005A6279"/>
    <w:rsid w:val="005A628F"/>
    <w:rsid w:val="005A632D"/>
    <w:rsid w:val="005A6684"/>
    <w:rsid w:val="005A66AE"/>
    <w:rsid w:val="005A66CE"/>
    <w:rsid w:val="005A66E6"/>
    <w:rsid w:val="005A6893"/>
    <w:rsid w:val="005A68E6"/>
    <w:rsid w:val="005A6945"/>
    <w:rsid w:val="005A6983"/>
    <w:rsid w:val="005A6A27"/>
    <w:rsid w:val="005A6B29"/>
    <w:rsid w:val="005A6D12"/>
    <w:rsid w:val="005A6E63"/>
    <w:rsid w:val="005A6F9F"/>
    <w:rsid w:val="005A7022"/>
    <w:rsid w:val="005A714D"/>
    <w:rsid w:val="005A716A"/>
    <w:rsid w:val="005A721A"/>
    <w:rsid w:val="005A72C0"/>
    <w:rsid w:val="005A73E6"/>
    <w:rsid w:val="005A7577"/>
    <w:rsid w:val="005A76E9"/>
    <w:rsid w:val="005A7823"/>
    <w:rsid w:val="005A786E"/>
    <w:rsid w:val="005A795D"/>
    <w:rsid w:val="005A79C0"/>
    <w:rsid w:val="005A7BA6"/>
    <w:rsid w:val="005A7CED"/>
    <w:rsid w:val="005A7D2F"/>
    <w:rsid w:val="005A7E4C"/>
    <w:rsid w:val="005A7EF5"/>
    <w:rsid w:val="005B00C7"/>
    <w:rsid w:val="005B0117"/>
    <w:rsid w:val="005B0136"/>
    <w:rsid w:val="005B0281"/>
    <w:rsid w:val="005B02D7"/>
    <w:rsid w:val="005B03B4"/>
    <w:rsid w:val="005B066D"/>
    <w:rsid w:val="005B06BD"/>
    <w:rsid w:val="005B07CC"/>
    <w:rsid w:val="005B091D"/>
    <w:rsid w:val="005B09EF"/>
    <w:rsid w:val="005B0FAA"/>
    <w:rsid w:val="005B1155"/>
    <w:rsid w:val="005B13CF"/>
    <w:rsid w:val="005B15B6"/>
    <w:rsid w:val="005B165F"/>
    <w:rsid w:val="005B1711"/>
    <w:rsid w:val="005B18B3"/>
    <w:rsid w:val="005B19CD"/>
    <w:rsid w:val="005B19E7"/>
    <w:rsid w:val="005B1AE4"/>
    <w:rsid w:val="005B1AE5"/>
    <w:rsid w:val="005B1DD3"/>
    <w:rsid w:val="005B1EEA"/>
    <w:rsid w:val="005B2395"/>
    <w:rsid w:val="005B2808"/>
    <w:rsid w:val="005B2925"/>
    <w:rsid w:val="005B29B4"/>
    <w:rsid w:val="005B29C1"/>
    <w:rsid w:val="005B2A1D"/>
    <w:rsid w:val="005B2AE8"/>
    <w:rsid w:val="005B2C79"/>
    <w:rsid w:val="005B2C8D"/>
    <w:rsid w:val="005B2CC7"/>
    <w:rsid w:val="005B2CFF"/>
    <w:rsid w:val="005B2D2A"/>
    <w:rsid w:val="005B2DE6"/>
    <w:rsid w:val="005B3090"/>
    <w:rsid w:val="005B3098"/>
    <w:rsid w:val="005B3108"/>
    <w:rsid w:val="005B3158"/>
    <w:rsid w:val="005B3295"/>
    <w:rsid w:val="005B32CD"/>
    <w:rsid w:val="005B3301"/>
    <w:rsid w:val="005B33BF"/>
    <w:rsid w:val="005B34EA"/>
    <w:rsid w:val="005B353E"/>
    <w:rsid w:val="005B3779"/>
    <w:rsid w:val="005B37E1"/>
    <w:rsid w:val="005B38F6"/>
    <w:rsid w:val="005B39A3"/>
    <w:rsid w:val="005B3B79"/>
    <w:rsid w:val="005B40E8"/>
    <w:rsid w:val="005B412B"/>
    <w:rsid w:val="005B4141"/>
    <w:rsid w:val="005B4268"/>
    <w:rsid w:val="005B43BB"/>
    <w:rsid w:val="005B4437"/>
    <w:rsid w:val="005B4478"/>
    <w:rsid w:val="005B459D"/>
    <w:rsid w:val="005B45E0"/>
    <w:rsid w:val="005B4624"/>
    <w:rsid w:val="005B46E1"/>
    <w:rsid w:val="005B47A9"/>
    <w:rsid w:val="005B486B"/>
    <w:rsid w:val="005B49AF"/>
    <w:rsid w:val="005B4B8F"/>
    <w:rsid w:val="005B4D59"/>
    <w:rsid w:val="005B4DB3"/>
    <w:rsid w:val="005B4EB7"/>
    <w:rsid w:val="005B502F"/>
    <w:rsid w:val="005B5094"/>
    <w:rsid w:val="005B50A2"/>
    <w:rsid w:val="005B511A"/>
    <w:rsid w:val="005B51D5"/>
    <w:rsid w:val="005B52C9"/>
    <w:rsid w:val="005B535F"/>
    <w:rsid w:val="005B5419"/>
    <w:rsid w:val="005B551A"/>
    <w:rsid w:val="005B56F7"/>
    <w:rsid w:val="005B5743"/>
    <w:rsid w:val="005B57C6"/>
    <w:rsid w:val="005B5834"/>
    <w:rsid w:val="005B58C1"/>
    <w:rsid w:val="005B5970"/>
    <w:rsid w:val="005B5982"/>
    <w:rsid w:val="005B5995"/>
    <w:rsid w:val="005B5A23"/>
    <w:rsid w:val="005B6113"/>
    <w:rsid w:val="005B62FF"/>
    <w:rsid w:val="005B640D"/>
    <w:rsid w:val="005B6551"/>
    <w:rsid w:val="005B65AA"/>
    <w:rsid w:val="005B65C6"/>
    <w:rsid w:val="005B6650"/>
    <w:rsid w:val="005B66FE"/>
    <w:rsid w:val="005B6759"/>
    <w:rsid w:val="005B68D5"/>
    <w:rsid w:val="005B6A2D"/>
    <w:rsid w:val="005B6AA0"/>
    <w:rsid w:val="005B6B6B"/>
    <w:rsid w:val="005B6B77"/>
    <w:rsid w:val="005B6C61"/>
    <w:rsid w:val="005B6D99"/>
    <w:rsid w:val="005B6DF6"/>
    <w:rsid w:val="005B6E81"/>
    <w:rsid w:val="005B6EE2"/>
    <w:rsid w:val="005B6F0F"/>
    <w:rsid w:val="005B6FC5"/>
    <w:rsid w:val="005B703A"/>
    <w:rsid w:val="005B7117"/>
    <w:rsid w:val="005B7191"/>
    <w:rsid w:val="005B726D"/>
    <w:rsid w:val="005B73E9"/>
    <w:rsid w:val="005B744B"/>
    <w:rsid w:val="005B7571"/>
    <w:rsid w:val="005B7919"/>
    <w:rsid w:val="005B7A04"/>
    <w:rsid w:val="005B7D9F"/>
    <w:rsid w:val="005B7DB4"/>
    <w:rsid w:val="005B7EE3"/>
    <w:rsid w:val="005B7FEB"/>
    <w:rsid w:val="005C0077"/>
    <w:rsid w:val="005C00A2"/>
    <w:rsid w:val="005C0115"/>
    <w:rsid w:val="005C02CF"/>
    <w:rsid w:val="005C0360"/>
    <w:rsid w:val="005C036D"/>
    <w:rsid w:val="005C0378"/>
    <w:rsid w:val="005C0386"/>
    <w:rsid w:val="005C075C"/>
    <w:rsid w:val="005C0901"/>
    <w:rsid w:val="005C0A26"/>
    <w:rsid w:val="005C0ABE"/>
    <w:rsid w:val="005C0B28"/>
    <w:rsid w:val="005C0B67"/>
    <w:rsid w:val="005C0CA5"/>
    <w:rsid w:val="005C0CEB"/>
    <w:rsid w:val="005C0E1F"/>
    <w:rsid w:val="005C0F6B"/>
    <w:rsid w:val="005C0F99"/>
    <w:rsid w:val="005C113C"/>
    <w:rsid w:val="005C1549"/>
    <w:rsid w:val="005C17DF"/>
    <w:rsid w:val="005C17F2"/>
    <w:rsid w:val="005C19E3"/>
    <w:rsid w:val="005C1C8D"/>
    <w:rsid w:val="005C215A"/>
    <w:rsid w:val="005C23C5"/>
    <w:rsid w:val="005C240E"/>
    <w:rsid w:val="005C24FE"/>
    <w:rsid w:val="005C2586"/>
    <w:rsid w:val="005C25AF"/>
    <w:rsid w:val="005C25F1"/>
    <w:rsid w:val="005C26AA"/>
    <w:rsid w:val="005C26C5"/>
    <w:rsid w:val="005C2896"/>
    <w:rsid w:val="005C2A03"/>
    <w:rsid w:val="005C2CC1"/>
    <w:rsid w:val="005C2D56"/>
    <w:rsid w:val="005C2E8D"/>
    <w:rsid w:val="005C2FCF"/>
    <w:rsid w:val="005C31CF"/>
    <w:rsid w:val="005C34D0"/>
    <w:rsid w:val="005C358A"/>
    <w:rsid w:val="005C3736"/>
    <w:rsid w:val="005C37A5"/>
    <w:rsid w:val="005C37D9"/>
    <w:rsid w:val="005C38A8"/>
    <w:rsid w:val="005C395F"/>
    <w:rsid w:val="005C3AD0"/>
    <w:rsid w:val="005C3C19"/>
    <w:rsid w:val="005C3DCC"/>
    <w:rsid w:val="005C3EA7"/>
    <w:rsid w:val="005C3ED6"/>
    <w:rsid w:val="005C408D"/>
    <w:rsid w:val="005C4152"/>
    <w:rsid w:val="005C4220"/>
    <w:rsid w:val="005C42DA"/>
    <w:rsid w:val="005C42E4"/>
    <w:rsid w:val="005C44C3"/>
    <w:rsid w:val="005C4562"/>
    <w:rsid w:val="005C469E"/>
    <w:rsid w:val="005C46A1"/>
    <w:rsid w:val="005C4739"/>
    <w:rsid w:val="005C4871"/>
    <w:rsid w:val="005C4883"/>
    <w:rsid w:val="005C49DD"/>
    <w:rsid w:val="005C4ABB"/>
    <w:rsid w:val="005C4EBE"/>
    <w:rsid w:val="005C502C"/>
    <w:rsid w:val="005C5036"/>
    <w:rsid w:val="005C5192"/>
    <w:rsid w:val="005C519D"/>
    <w:rsid w:val="005C51B3"/>
    <w:rsid w:val="005C549F"/>
    <w:rsid w:val="005C5732"/>
    <w:rsid w:val="005C57DF"/>
    <w:rsid w:val="005C588E"/>
    <w:rsid w:val="005C5956"/>
    <w:rsid w:val="005C5963"/>
    <w:rsid w:val="005C5AAA"/>
    <w:rsid w:val="005C5AF1"/>
    <w:rsid w:val="005C5B67"/>
    <w:rsid w:val="005C5BA8"/>
    <w:rsid w:val="005C5D19"/>
    <w:rsid w:val="005C5D90"/>
    <w:rsid w:val="005C5F9A"/>
    <w:rsid w:val="005C5FC0"/>
    <w:rsid w:val="005C5FF6"/>
    <w:rsid w:val="005C6120"/>
    <w:rsid w:val="005C62EB"/>
    <w:rsid w:val="005C62F0"/>
    <w:rsid w:val="005C62FA"/>
    <w:rsid w:val="005C6323"/>
    <w:rsid w:val="005C64EC"/>
    <w:rsid w:val="005C6692"/>
    <w:rsid w:val="005C672E"/>
    <w:rsid w:val="005C679D"/>
    <w:rsid w:val="005C67D3"/>
    <w:rsid w:val="005C68A8"/>
    <w:rsid w:val="005C68BD"/>
    <w:rsid w:val="005C68CE"/>
    <w:rsid w:val="005C6A79"/>
    <w:rsid w:val="005C6CD9"/>
    <w:rsid w:val="005C7012"/>
    <w:rsid w:val="005C703B"/>
    <w:rsid w:val="005C708E"/>
    <w:rsid w:val="005C70A9"/>
    <w:rsid w:val="005C714B"/>
    <w:rsid w:val="005C71D1"/>
    <w:rsid w:val="005C72B6"/>
    <w:rsid w:val="005C72FC"/>
    <w:rsid w:val="005C7431"/>
    <w:rsid w:val="005C746D"/>
    <w:rsid w:val="005C74AD"/>
    <w:rsid w:val="005C74E6"/>
    <w:rsid w:val="005C759E"/>
    <w:rsid w:val="005C7635"/>
    <w:rsid w:val="005C793A"/>
    <w:rsid w:val="005C7A54"/>
    <w:rsid w:val="005C7B49"/>
    <w:rsid w:val="005C7D28"/>
    <w:rsid w:val="005C7E14"/>
    <w:rsid w:val="005C7E27"/>
    <w:rsid w:val="005C7F9D"/>
    <w:rsid w:val="005C7FE7"/>
    <w:rsid w:val="005D0002"/>
    <w:rsid w:val="005D0140"/>
    <w:rsid w:val="005D021E"/>
    <w:rsid w:val="005D0423"/>
    <w:rsid w:val="005D0645"/>
    <w:rsid w:val="005D0785"/>
    <w:rsid w:val="005D0BCE"/>
    <w:rsid w:val="005D0D66"/>
    <w:rsid w:val="005D0E0E"/>
    <w:rsid w:val="005D0E17"/>
    <w:rsid w:val="005D0F13"/>
    <w:rsid w:val="005D0F86"/>
    <w:rsid w:val="005D108B"/>
    <w:rsid w:val="005D1115"/>
    <w:rsid w:val="005D1202"/>
    <w:rsid w:val="005D13AE"/>
    <w:rsid w:val="005D1438"/>
    <w:rsid w:val="005D1457"/>
    <w:rsid w:val="005D1469"/>
    <w:rsid w:val="005D14B0"/>
    <w:rsid w:val="005D1577"/>
    <w:rsid w:val="005D16D5"/>
    <w:rsid w:val="005D1787"/>
    <w:rsid w:val="005D17E7"/>
    <w:rsid w:val="005D17F1"/>
    <w:rsid w:val="005D19C1"/>
    <w:rsid w:val="005D1A20"/>
    <w:rsid w:val="005D1B0B"/>
    <w:rsid w:val="005D1C9F"/>
    <w:rsid w:val="005D1CBC"/>
    <w:rsid w:val="005D1CF4"/>
    <w:rsid w:val="005D1D3D"/>
    <w:rsid w:val="005D1E11"/>
    <w:rsid w:val="005D1E88"/>
    <w:rsid w:val="005D1F4A"/>
    <w:rsid w:val="005D1FF4"/>
    <w:rsid w:val="005D20C2"/>
    <w:rsid w:val="005D2103"/>
    <w:rsid w:val="005D2280"/>
    <w:rsid w:val="005D22F4"/>
    <w:rsid w:val="005D233A"/>
    <w:rsid w:val="005D2349"/>
    <w:rsid w:val="005D248B"/>
    <w:rsid w:val="005D25ED"/>
    <w:rsid w:val="005D2627"/>
    <w:rsid w:val="005D2A71"/>
    <w:rsid w:val="005D2B0F"/>
    <w:rsid w:val="005D2C98"/>
    <w:rsid w:val="005D2CDE"/>
    <w:rsid w:val="005D2F8C"/>
    <w:rsid w:val="005D3128"/>
    <w:rsid w:val="005D332E"/>
    <w:rsid w:val="005D351A"/>
    <w:rsid w:val="005D36D3"/>
    <w:rsid w:val="005D375C"/>
    <w:rsid w:val="005D3AAF"/>
    <w:rsid w:val="005D3B7F"/>
    <w:rsid w:val="005D3DCF"/>
    <w:rsid w:val="005D3F1E"/>
    <w:rsid w:val="005D40F2"/>
    <w:rsid w:val="005D40F8"/>
    <w:rsid w:val="005D4167"/>
    <w:rsid w:val="005D417C"/>
    <w:rsid w:val="005D4198"/>
    <w:rsid w:val="005D41C3"/>
    <w:rsid w:val="005D4259"/>
    <w:rsid w:val="005D44FF"/>
    <w:rsid w:val="005D4534"/>
    <w:rsid w:val="005D45D9"/>
    <w:rsid w:val="005D4861"/>
    <w:rsid w:val="005D4895"/>
    <w:rsid w:val="005D4990"/>
    <w:rsid w:val="005D4A12"/>
    <w:rsid w:val="005D4AC6"/>
    <w:rsid w:val="005D4C45"/>
    <w:rsid w:val="005D4C64"/>
    <w:rsid w:val="005D4DB4"/>
    <w:rsid w:val="005D4E79"/>
    <w:rsid w:val="005D54E6"/>
    <w:rsid w:val="005D5517"/>
    <w:rsid w:val="005D5527"/>
    <w:rsid w:val="005D56C7"/>
    <w:rsid w:val="005D5720"/>
    <w:rsid w:val="005D57D6"/>
    <w:rsid w:val="005D57E5"/>
    <w:rsid w:val="005D5980"/>
    <w:rsid w:val="005D5ACB"/>
    <w:rsid w:val="005D5B70"/>
    <w:rsid w:val="005D5C24"/>
    <w:rsid w:val="005D5CA9"/>
    <w:rsid w:val="005D5EEB"/>
    <w:rsid w:val="005D5F37"/>
    <w:rsid w:val="005D600F"/>
    <w:rsid w:val="005D6191"/>
    <w:rsid w:val="005D61D4"/>
    <w:rsid w:val="005D6308"/>
    <w:rsid w:val="005D6655"/>
    <w:rsid w:val="005D6696"/>
    <w:rsid w:val="005D66AB"/>
    <w:rsid w:val="005D6825"/>
    <w:rsid w:val="005D6885"/>
    <w:rsid w:val="005D6907"/>
    <w:rsid w:val="005D6923"/>
    <w:rsid w:val="005D6A1F"/>
    <w:rsid w:val="005D6AB9"/>
    <w:rsid w:val="005D6CF6"/>
    <w:rsid w:val="005D6D34"/>
    <w:rsid w:val="005D6DF9"/>
    <w:rsid w:val="005D6F6A"/>
    <w:rsid w:val="005D7086"/>
    <w:rsid w:val="005D708E"/>
    <w:rsid w:val="005D719C"/>
    <w:rsid w:val="005D72C9"/>
    <w:rsid w:val="005D7345"/>
    <w:rsid w:val="005D7462"/>
    <w:rsid w:val="005D75FD"/>
    <w:rsid w:val="005D765A"/>
    <w:rsid w:val="005D776A"/>
    <w:rsid w:val="005D78D9"/>
    <w:rsid w:val="005D7BF8"/>
    <w:rsid w:val="005D7C29"/>
    <w:rsid w:val="005D7EFA"/>
    <w:rsid w:val="005E033C"/>
    <w:rsid w:val="005E03BA"/>
    <w:rsid w:val="005E0479"/>
    <w:rsid w:val="005E04A9"/>
    <w:rsid w:val="005E050F"/>
    <w:rsid w:val="005E0558"/>
    <w:rsid w:val="005E070A"/>
    <w:rsid w:val="005E0947"/>
    <w:rsid w:val="005E0A92"/>
    <w:rsid w:val="005E0B08"/>
    <w:rsid w:val="005E0C6F"/>
    <w:rsid w:val="005E0F75"/>
    <w:rsid w:val="005E101F"/>
    <w:rsid w:val="005E10C0"/>
    <w:rsid w:val="005E10CB"/>
    <w:rsid w:val="005E10EC"/>
    <w:rsid w:val="005E1106"/>
    <w:rsid w:val="005E1136"/>
    <w:rsid w:val="005E1191"/>
    <w:rsid w:val="005E1346"/>
    <w:rsid w:val="005E1371"/>
    <w:rsid w:val="005E137B"/>
    <w:rsid w:val="005E15E5"/>
    <w:rsid w:val="005E1662"/>
    <w:rsid w:val="005E16C5"/>
    <w:rsid w:val="005E1707"/>
    <w:rsid w:val="005E182C"/>
    <w:rsid w:val="005E185B"/>
    <w:rsid w:val="005E19A7"/>
    <w:rsid w:val="005E1C02"/>
    <w:rsid w:val="005E1E33"/>
    <w:rsid w:val="005E1E6F"/>
    <w:rsid w:val="005E1FA7"/>
    <w:rsid w:val="005E204A"/>
    <w:rsid w:val="005E2348"/>
    <w:rsid w:val="005E23B6"/>
    <w:rsid w:val="005E2596"/>
    <w:rsid w:val="005E268F"/>
    <w:rsid w:val="005E26BB"/>
    <w:rsid w:val="005E2756"/>
    <w:rsid w:val="005E29A3"/>
    <w:rsid w:val="005E2B54"/>
    <w:rsid w:val="005E2BF3"/>
    <w:rsid w:val="005E2CFF"/>
    <w:rsid w:val="005E2EFF"/>
    <w:rsid w:val="005E3101"/>
    <w:rsid w:val="005E3103"/>
    <w:rsid w:val="005E3198"/>
    <w:rsid w:val="005E321E"/>
    <w:rsid w:val="005E33C0"/>
    <w:rsid w:val="005E33F5"/>
    <w:rsid w:val="005E350B"/>
    <w:rsid w:val="005E368C"/>
    <w:rsid w:val="005E3766"/>
    <w:rsid w:val="005E37CD"/>
    <w:rsid w:val="005E38D3"/>
    <w:rsid w:val="005E3CFC"/>
    <w:rsid w:val="005E3F13"/>
    <w:rsid w:val="005E4163"/>
    <w:rsid w:val="005E41DB"/>
    <w:rsid w:val="005E41F6"/>
    <w:rsid w:val="005E42B1"/>
    <w:rsid w:val="005E43C0"/>
    <w:rsid w:val="005E4584"/>
    <w:rsid w:val="005E45E7"/>
    <w:rsid w:val="005E46A6"/>
    <w:rsid w:val="005E46AA"/>
    <w:rsid w:val="005E4713"/>
    <w:rsid w:val="005E471D"/>
    <w:rsid w:val="005E478C"/>
    <w:rsid w:val="005E47DA"/>
    <w:rsid w:val="005E4894"/>
    <w:rsid w:val="005E4925"/>
    <w:rsid w:val="005E4A2C"/>
    <w:rsid w:val="005E4D5C"/>
    <w:rsid w:val="005E4EAB"/>
    <w:rsid w:val="005E4ED1"/>
    <w:rsid w:val="005E4FE2"/>
    <w:rsid w:val="005E504D"/>
    <w:rsid w:val="005E548D"/>
    <w:rsid w:val="005E565A"/>
    <w:rsid w:val="005E56A4"/>
    <w:rsid w:val="005E58BC"/>
    <w:rsid w:val="005E5C8C"/>
    <w:rsid w:val="005E617D"/>
    <w:rsid w:val="005E6422"/>
    <w:rsid w:val="005E6490"/>
    <w:rsid w:val="005E64EC"/>
    <w:rsid w:val="005E658B"/>
    <w:rsid w:val="005E67BF"/>
    <w:rsid w:val="005E67CE"/>
    <w:rsid w:val="005E68F4"/>
    <w:rsid w:val="005E6A24"/>
    <w:rsid w:val="005E6AA1"/>
    <w:rsid w:val="005E6B83"/>
    <w:rsid w:val="005E6D7C"/>
    <w:rsid w:val="005E6E9C"/>
    <w:rsid w:val="005E6FAF"/>
    <w:rsid w:val="005E7083"/>
    <w:rsid w:val="005E719B"/>
    <w:rsid w:val="005E72B6"/>
    <w:rsid w:val="005E73A5"/>
    <w:rsid w:val="005E75EC"/>
    <w:rsid w:val="005E777A"/>
    <w:rsid w:val="005E78CE"/>
    <w:rsid w:val="005E7A41"/>
    <w:rsid w:val="005E7AC4"/>
    <w:rsid w:val="005E7D34"/>
    <w:rsid w:val="005E7EBD"/>
    <w:rsid w:val="005E7EDD"/>
    <w:rsid w:val="005F0079"/>
    <w:rsid w:val="005F0298"/>
    <w:rsid w:val="005F0389"/>
    <w:rsid w:val="005F039C"/>
    <w:rsid w:val="005F041C"/>
    <w:rsid w:val="005F045F"/>
    <w:rsid w:val="005F0488"/>
    <w:rsid w:val="005F0697"/>
    <w:rsid w:val="005F06B3"/>
    <w:rsid w:val="005F06BF"/>
    <w:rsid w:val="005F0895"/>
    <w:rsid w:val="005F0995"/>
    <w:rsid w:val="005F0AC7"/>
    <w:rsid w:val="005F0B65"/>
    <w:rsid w:val="005F0B98"/>
    <w:rsid w:val="005F0E96"/>
    <w:rsid w:val="005F0F0F"/>
    <w:rsid w:val="005F0F37"/>
    <w:rsid w:val="005F105B"/>
    <w:rsid w:val="005F11D6"/>
    <w:rsid w:val="005F12DA"/>
    <w:rsid w:val="005F13A5"/>
    <w:rsid w:val="005F143F"/>
    <w:rsid w:val="005F144F"/>
    <w:rsid w:val="005F1464"/>
    <w:rsid w:val="005F1593"/>
    <w:rsid w:val="005F17A0"/>
    <w:rsid w:val="005F18BA"/>
    <w:rsid w:val="005F19F7"/>
    <w:rsid w:val="005F1A32"/>
    <w:rsid w:val="005F1AF5"/>
    <w:rsid w:val="005F1BBB"/>
    <w:rsid w:val="005F1E5F"/>
    <w:rsid w:val="005F1E6E"/>
    <w:rsid w:val="005F1EE0"/>
    <w:rsid w:val="005F2461"/>
    <w:rsid w:val="005F24A4"/>
    <w:rsid w:val="005F250E"/>
    <w:rsid w:val="005F26D4"/>
    <w:rsid w:val="005F27AE"/>
    <w:rsid w:val="005F2A43"/>
    <w:rsid w:val="005F2B1D"/>
    <w:rsid w:val="005F2BB2"/>
    <w:rsid w:val="005F2CBE"/>
    <w:rsid w:val="005F2E64"/>
    <w:rsid w:val="005F3044"/>
    <w:rsid w:val="005F30C1"/>
    <w:rsid w:val="005F3313"/>
    <w:rsid w:val="005F358C"/>
    <w:rsid w:val="005F3911"/>
    <w:rsid w:val="005F3B9E"/>
    <w:rsid w:val="005F3D43"/>
    <w:rsid w:val="005F3D56"/>
    <w:rsid w:val="005F3FA7"/>
    <w:rsid w:val="005F3FB1"/>
    <w:rsid w:val="005F3FF7"/>
    <w:rsid w:val="005F4002"/>
    <w:rsid w:val="005F403B"/>
    <w:rsid w:val="005F4344"/>
    <w:rsid w:val="005F43E6"/>
    <w:rsid w:val="005F4577"/>
    <w:rsid w:val="005F4615"/>
    <w:rsid w:val="005F4674"/>
    <w:rsid w:val="005F4790"/>
    <w:rsid w:val="005F47DE"/>
    <w:rsid w:val="005F4839"/>
    <w:rsid w:val="005F49AF"/>
    <w:rsid w:val="005F49BA"/>
    <w:rsid w:val="005F4AE5"/>
    <w:rsid w:val="005F4C25"/>
    <w:rsid w:val="005F510E"/>
    <w:rsid w:val="005F5171"/>
    <w:rsid w:val="005F518B"/>
    <w:rsid w:val="005F518D"/>
    <w:rsid w:val="005F5246"/>
    <w:rsid w:val="005F53F1"/>
    <w:rsid w:val="005F53F7"/>
    <w:rsid w:val="005F5466"/>
    <w:rsid w:val="005F55DB"/>
    <w:rsid w:val="005F575A"/>
    <w:rsid w:val="005F5796"/>
    <w:rsid w:val="005F5986"/>
    <w:rsid w:val="005F5BEE"/>
    <w:rsid w:val="005F5BF8"/>
    <w:rsid w:val="005F5D50"/>
    <w:rsid w:val="005F5E75"/>
    <w:rsid w:val="005F5FB8"/>
    <w:rsid w:val="005F5FCF"/>
    <w:rsid w:val="005F6032"/>
    <w:rsid w:val="005F608B"/>
    <w:rsid w:val="005F60DA"/>
    <w:rsid w:val="005F61A4"/>
    <w:rsid w:val="005F61BE"/>
    <w:rsid w:val="005F6293"/>
    <w:rsid w:val="005F62C4"/>
    <w:rsid w:val="005F631C"/>
    <w:rsid w:val="005F64F2"/>
    <w:rsid w:val="005F6566"/>
    <w:rsid w:val="005F69CE"/>
    <w:rsid w:val="005F6A7D"/>
    <w:rsid w:val="005F6B3C"/>
    <w:rsid w:val="005F6B5E"/>
    <w:rsid w:val="005F6BA7"/>
    <w:rsid w:val="005F6C23"/>
    <w:rsid w:val="005F6CB3"/>
    <w:rsid w:val="005F6ECF"/>
    <w:rsid w:val="005F6F85"/>
    <w:rsid w:val="005F705A"/>
    <w:rsid w:val="005F72EB"/>
    <w:rsid w:val="005F7360"/>
    <w:rsid w:val="005F73EC"/>
    <w:rsid w:val="005F75FC"/>
    <w:rsid w:val="005F7613"/>
    <w:rsid w:val="005F775A"/>
    <w:rsid w:val="005F78F0"/>
    <w:rsid w:val="005F7AA1"/>
    <w:rsid w:val="005F7BDD"/>
    <w:rsid w:val="005F7CDA"/>
    <w:rsid w:val="005F7DA5"/>
    <w:rsid w:val="005F7E07"/>
    <w:rsid w:val="00600056"/>
    <w:rsid w:val="0060012D"/>
    <w:rsid w:val="0060050D"/>
    <w:rsid w:val="006007C0"/>
    <w:rsid w:val="006009DB"/>
    <w:rsid w:val="00600B4C"/>
    <w:rsid w:val="00600C60"/>
    <w:rsid w:val="00600D01"/>
    <w:rsid w:val="00600D72"/>
    <w:rsid w:val="00601338"/>
    <w:rsid w:val="00601558"/>
    <w:rsid w:val="006015A0"/>
    <w:rsid w:val="0060175A"/>
    <w:rsid w:val="006017B6"/>
    <w:rsid w:val="00601C1F"/>
    <w:rsid w:val="00601DD5"/>
    <w:rsid w:val="00601ED8"/>
    <w:rsid w:val="0060224E"/>
    <w:rsid w:val="00602262"/>
    <w:rsid w:val="00602360"/>
    <w:rsid w:val="006026AA"/>
    <w:rsid w:val="0060273D"/>
    <w:rsid w:val="00602890"/>
    <w:rsid w:val="006028F5"/>
    <w:rsid w:val="00602ACD"/>
    <w:rsid w:val="0060317C"/>
    <w:rsid w:val="006032BC"/>
    <w:rsid w:val="006033D7"/>
    <w:rsid w:val="0060348E"/>
    <w:rsid w:val="006035C2"/>
    <w:rsid w:val="00603749"/>
    <w:rsid w:val="006037FF"/>
    <w:rsid w:val="006039D8"/>
    <w:rsid w:val="00603B03"/>
    <w:rsid w:val="00603BDD"/>
    <w:rsid w:val="00603E70"/>
    <w:rsid w:val="00603F3D"/>
    <w:rsid w:val="006040DE"/>
    <w:rsid w:val="0060428C"/>
    <w:rsid w:val="006042F7"/>
    <w:rsid w:val="00604548"/>
    <w:rsid w:val="0060455C"/>
    <w:rsid w:val="0060457A"/>
    <w:rsid w:val="00604589"/>
    <w:rsid w:val="00604731"/>
    <w:rsid w:val="00604AC0"/>
    <w:rsid w:val="00604B0E"/>
    <w:rsid w:val="00604BC7"/>
    <w:rsid w:val="00604D01"/>
    <w:rsid w:val="00604E4A"/>
    <w:rsid w:val="00604EEB"/>
    <w:rsid w:val="00604EEF"/>
    <w:rsid w:val="00604F4E"/>
    <w:rsid w:val="00604F69"/>
    <w:rsid w:val="00605006"/>
    <w:rsid w:val="00605166"/>
    <w:rsid w:val="0060522E"/>
    <w:rsid w:val="00605230"/>
    <w:rsid w:val="00605271"/>
    <w:rsid w:val="006053C9"/>
    <w:rsid w:val="0060542C"/>
    <w:rsid w:val="0060556B"/>
    <w:rsid w:val="00605756"/>
    <w:rsid w:val="006057B3"/>
    <w:rsid w:val="0060599F"/>
    <w:rsid w:val="00605B9E"/>
    <w:rsid w:val="00605BB4"/>
    <w:rsid w:val="00605C17"/>
    <w:rsid w:val="00605D07"/>
    <w:rsid w:val="00605E02"/>
    <w:rsid w:val="00605FF2"/>
    <w:rsid w:val="0060627C"/>
    <w:rsid w:val="006062D7"/>
    <w:rsid w:val="006063A8"/>
    <w:rsid w:val="0060643E"/>
    <w:rsid w:val="006064AF"/>
    <w:rsid w:val="0060654B"/>
    <w:rsid w:val="0060666A"/>
    <w:rsid w:val="0060674C"/>
    <w:rsid w:val="00606A0E"/>
    <w:rsid w:val="00606A1E"/>
    <w:rsid w:val="00606CC6"/>
    <w:rsid w:val="00606E2C"/>
    <w:rsid w:val="00607074"/>
    <w:rsid w:val="006071EE"/>
    <w:rsid w:val="006072DA"/>
    <w:rsid w:val="006072E5"/>
    <w:rsid w:val="006072EF"/>
    <w:rsid w:val="0060738B"/>
    <w:rsid w:val="006073A7"/>
    <w:rsid w:val="0060741B"/>
    <w:rsid w:val="006074B1"/>
    <w:rsid w:val="006074FB"/>
    <w:rsid w:val="0060781D"/>
    <w:rsid w:val="0060788D"/>
    <w:rsid w:val="00607B30"/>
    <w:rsid w:val="00607B4C"/>
    <w:rsid w:val="00607BEF"/>
    <w:rsid w:val="00607D0C"/>
    <w:rsid w:val="00607E8C"/>
    <w:rsid w:val="006100A7"/>
    <w:rsid w:val="006100DB"/>
    <w:rsid w:val="006104C7"/>
    <w:rsid w:val="006106BF"/>
    <w:rsid w:val="00610714"/>
    <w:rsid w:val="006107C0"/>
    <w:rsid w:val="00610837"/>
    <w:rsid w:val="006108C1"/>
    <w:rsid w:val="00610AF4"/>
    <w:rsid w:val="00610B03"/>
    <w:rsid w:val="00610DE4"/>
    <w:rsid w:val="00610E02"/>
    <w:rsid w:val="00611208"/>
    <w:rsid w:val="006112CB"/>
    <w:rsid w:val="006114C1"/>
    <w:rsid w:val="006115FD"/>
    <w:rsid w:val="006117E0"/>
    <w:rsid w:val="00611A16"/>
    <w:rsid w:val="00611A96"/>
    <w:rsid w:val="00611BE6"/>
    <w:rsid w:val="00611C8C"/>
    <w:rsid w:val="00611D71"/>
    <w:rsid w:val="00611DC0"/>
    <w:rsid w:val="00611DDF"/>
    <w:rsid w:val="00611EE7"/>
    <w:rsid w:val="00611F1F"/>
    <w:rsid w:val="00611FF7"/>
    <w:rsid w:val="00612076"/>
    <w:rsid w:val="006120DB"/>
    <w:rsid w:val="00612133"/>
    <w:rsid w:val="00612217"/>
    <w:rsid w:val="00612250"/>
    <w:rsid w:val="00612310"/>
    <w:rsid w:val="00612378"/>
    <w:rsid w:val="006125C6"/>
    <w:rsid w:val="006126C5"/>
    <w:rsid w:val="00612759"/>
    <w:rsid w:val="00612949"/>
    <w:rsid w:val="0061297D"/>
    <w:rsid w:val="00612A0E"/>
    <w:rsid w:val="00612C19"/>
    <w:rsid w:val="00612D4C"/>
    <w:rsid w:val="00612D92"/>
    <w:rsid w:val="00612DF8"/>
    <w:rsid w:val="00612E9E"/>
    <w:rsid w:val="00612ECD"/>
    <w:rsid w:val="00612FA8"/>
    <w:rsid w:val="006131A9"/>
    <w:rsid w:val="0061342F"/>
    <w:rsid w:val="006134BD"/>
    <w:rsid w:val="00613579"/>
    <w:rsid w:val="006136AF"/>
    <w:rsid w:val="006136B2"/>
    <w:rsid w:val="00613712"/>
    <w:rsid w:val="0061381B"/>
    <w:rsid w:val="006139C7"/>
    <w:rsid w:val="00613A95"/>
    <w:rsid w:val="00613B2D"/>
    <w:rsid w:val="00613B85"/>
    <w:rsid w:val="00613B89"/>
    <w:rsid w:val="00613BFD"/>
    <w:rsid w:val="00613E74"/>
    <w:rsid w:val="00614027"/>
    <w:rsid w:val="00614066"/>
    <w:rsid w:val="0061417D"/>
    <w:rsid w:val="006141B0"/>
    <w:rsid w:val="00614397"/>
    <w:rsid w:val="0061443E"/>
    <w:rsid w:val="00614605"/>
    <w:rsid w:val="006146A0"/>
    <w:rsid w:val="00614738"/>
    <w:rsid w:val="006147AA"/>
    <w:rsid w:val="006148D7"/>
    <w:rsid w:val="00614AB4"/>
    <w:rsid w:val="00614BA0"/>
    <w:rsid w:val="00614DCE"/>
    <w:rsid w:val="00614F7D"/>
    <w:rsid w:val="0061518F"/>
    <w:rsid w:val="0061520C"/>
    <w:rsid w:val="00615276"/>
    <w:rsid w:val="006153B8"/>
    <w:rsid w:val="0061553F"/>
    <w:rsid w:val="00615613"/>
    <w:rsid w:val="006156D5"/>
    <w:rsid w:val="006156EE"/>
    <w:rsid w:val="00615D68"/>
    <w:rsid w:val="00615DAD"/>
    <w:rsid w:val="00615E76"/>
    <w:rsid w:val="00615F80"/>
    <w:rsid w:val="00616022"/>
    <w:rsid w:val="006162F9"/>
    <w:rsid w:val="006164FF"/>
    <w:rsid w:val="00616540"/>
    <w:rsid w:val="0061661B"/>
    <w:rsid w:val="0061672D"/>
    <w:rsid w:val="006167C3"/>
    <w:rsid w:val="00616ABD"/>
    <w:rsid w:val="00616B36"/>
    <w:rsid w:val="00616B37"/>
    <w:rsid w:val="00616B78"/>
    <w:rsid w:val="00616C6F"/>
    <w:rsid w:val="00616CF1"/>
    <w:rsid w:val="00616E54"/>
    <w:rsid w:val="00616FB1"/>
    <w:rsid w:val="00617066"/>
    <w:rsid w:val="006170D1"/>
    <w:rsid w:val="0061719F"/>
    <w:rsid w:val="0061726C"/>
    <w:rsid w:val="0061752E"/>
    <w:rsid w:val="0061758A"/>
    <w:rsid w:val="00617618"/>
    <w:rsid w:val="00617734"/>
    <w:rsid w:val="006178C1"/>
    <w:rsid w:val="0061795E"/>
    <w:rsid w:val="006179EC"/>
    <w:rsid w:val="00617B1F"/>
    <w:rsid w:val="00617BCB"/>
    <w:rsid w:val="00617D4B"/>
    <w:rsid w:val="00617E42"/>
    <w:rsid w:val="00617EEE"/>
    <w:rsid w:val="00617EFE"/>
    <w:rsid w:val="00617F8B"/>
    <w:rsid w:val="0062020C"/>
    <w:rsid w:val="00620256"/>
    <w:rsid w:val="006203FB"/>
    <w:rsid w:val="0062043D"/>
    <w:rsid w:val="006205B5"/>
    <w:rsid w:val="006205BC"/>
    <w:rsid w:val="00620654"/>
    <w:rsid w:val="006206F3"/>
    <w:rsid w:val="00620794"/>
    <w:rsid w:val="00620A04"/>
    <w:rsid w:val="00620AAA"/>
    <w:rsid w:val="00620B29"/>
    <w:rsid w:val="00620B7E"/>
    <w:rsid w:val="00620BD8"/>
    <w:rsid w:val="00620C9E"/>
    <w:rsid w:val="00620CF4"/>
    <w:rsid w:val="00621038"/>
    <w:rsid w:val="006211D7"/>
    <w:rsid w:val="0062123C"/>
    <w:rsid w:val="00621314"/>
    <w:rsid w:val="0062131A"/>
    <w:rsid w:val="00621333"/>
    <w:rsid w:val="0062142D"/>
    <w:rsid w:val="006214EB"/>
    <w:rsid w:val="00621500"/>
    <w:rsid w:val="00621604"/>
    <w:rsid w:val="00621795"/>
    <w:rsid w:val="006217BB"/>
    <w:rsid w:val="0062180C"/>
    <w:rsid w:val="00621825"/>
    <w:rsid w:val="006218E7"/>
    <w:rsid w:val="00621ACA"/>
    <w:rsid w:val="00621CA8"/>
    <w:rsid w:val="00621CF9"/>
    <w:rsid w:val="00621D20"/>
    <w:rsid w:val="00621F0A"/>
    <w:rsid w:val="00621F55"/>
    <w:rsid w:val="0062216D"/>
    <w:rsid w:val="006221EA"/>
    <w:rsid w:val="0062251A"/>
    <w:rsid w:val="0062258C"/>
    <w:rsid w:val="006225BA"/>
    <w:rsid w:val="006225E3"/>
    <w:rsid w:val="00622911"/>
    <w:rsid w:val="00622AF7"/>
    <w:rsid w:val="00622DD2"/>
    <w:rsid w:val="006231BC"/>
    <w:rsid w:val="00623278"/>
    <w:rsid w:val="00623291"/>
    <w:rsid w:val="006234D3"/>
    <w:rsid w:val="00623734"/>
    <w:rsid w:val="006237DE"/>
    <w:rsid w:val="00623A4B"/>
    <w:rsid w:val="00623B28"/>
    <w:rsid w:val="00623C0F"/>
    <w:rsid w:val="00623D53"/>
    <w:rsid w:val="00623D61"/>
    <w:rsid w:val="006241D2"/>
    <w:rsid w:val="0062432F"/>
    <w:rsid w:val="00624474"/>
    <w:rsid w:val="006246C1"/>
    <w:rsid w:val="00624749"/>
    <w:rsid w:val="00624B6B"/>
    <w:rsid w:val="00624E57"/>
    <w:rsid w:val="00624EBA"/>
    <w:rsid w:val="00624F37"/>
    <w:rsid w:val="00624F43"/>
    <w:rsid w:val="00624F7E"/>
    <w:rsid w:val="00624FED"/>
    <w:rsid w:val="00625097"/>
    <w:rsid w:val="006250E3"/>
    <w:rsid w:val="006250F1"/>
    <w:rsid w:val="006251FA"/>
    <w:rsid w:val="00625564"/>
    <w:rsid w:val="006255D0"/>
    <w:rsid w:val="00625B1E"/>
    <w:rsid w:val="00625D4D"/>
    <w:rsid w:val="00625E1D"/>
    <w:rsid w:val="00625E90"/>
    <w:rsid w:val="0062602C"/>
    <w:rsid w:val="00626191"/>
    <w:rsid w:val="00626482"/>
    <w:rsid w:val="006264F5"/>
    <w:rsid w:val="006265FE"/>
    <w:rsid w:val="00626604"/>
    <w:rsid w:val="00626633"/>
    <w:rsid w:val="0062664C"/>
    <w:rsid w:val="006266BE"/>
    <w:rsid w:val="0062675B"/>
    <w:rsid w:val="006268E8"/>
    <w:rsid w:val="00626AC0"/>
    <w:rsid w:val="00626CF5"/>
    <w:rsid w:val="00626DE4"/>
    <w:rsid w:val="00626E0F"/>
    <w:rsid w:val="00626E72"/>
    <w:rsid w:val="00626E91"/>
    <w:rsid w:val="00626F46"/>
    <w:rsid w:val="00626FD3"/>
    <w:rsid w:val="0062711B"/>
    <w:rsid w:val="00627140"/>
    <w:rsid w:val="006271AE"/>
    <w:rsid w:val="006272D0"/>
    <w:rsid w:val="0062730B"/>
    <w:rsid w:val="00627337"/>
    <w:rsid w:val="00627356"/>
    <w:rsid w:val="00627462"/>
    <w:rsid w:val="00627688"/>
    <w:rsid w:val="006278FF"/>
    <w:rsid w:val="00627A07"/>
    <w:rsid w:val="00627AA0"/>
    <w:rsid w:val="00630014"/>
    <w:rsid w:val="006301EC"/>
    <w:rsid w:val="006302D2"/>
    <w:rsid w:val="006309A7"/>
    <w:rsid w:val="006309C8"/>
    <w:rsid w:val="00630BAA"/>
    <w:rsid w:val="00630C80"/>
    <w:rsid w:val="00630D93"/>
    <w:rsid w:val="00630DC0"/>
    <w:rsid w:val="00630F5F"/>
    <w:rsid w:val="00631050"/>
    <w:rsid w:val="00631171"/>
    <w:rsid w:val="006311B2"/>
    <w:rsid w:val="0063125B"/>
    <w:rsid w:val="006312EF"/>
    <w:rsid w:val="0063143D"/>
    <w:rsid w:val="006315EB"/>
    <w:rsid w:val="00631762"/>
    <w:rsid w:val="00631911"/>
    <w:rsid w:val="00631971"/>
    <w:rsid w:val="00631B98"/>
    <w:rsid w:val="00631C8F"/>
    <w:rsid w:val="00631D4D"/>
    <w:rsid w:val="00632038"/>
    <w:rsid w:val="00632322"/>
    <w:rsid w:val="0063238F"/>
    <w:rsid w:val="006324C4"/>
    <w:rsid w:val="006324FC"/>
    <w:rsid w:val="00632508"/>
    <w:rsid w:val="006325B8"/>
    <w:rsid w:val="006326D8"/>
    <w:rsid w:val="00632865"/>
    <w:rsid w:val="00632893"/>
    <w:rsid w:val="00632B6D"/>
    <w:rsid w:val="00632F3A"/>
    <w:rsid w:val="00632F89"/>
    <w:rsid w:val="00633128"/>
    <w:rsid w:val="00633489"/>
    <w:rsid w:val="0063355B"/>
    <w:rsid w:val="006335C2"/>
    <w:rsid w:val="00633681"/>
    <w:rsid w:val="0063380A"/>
    <w:rsid w:val="006338BC"/>
    <w:rsid w:val="006338CC"/>
    <w:rsid w:val="00633ABA"/>
    <w:rsid w:val="00633BEE"/>
    <w:rsid w:val="00633CA0"/>
    <w:rsid w:val="00633CC3"/>
    <w:rsid w:val="00633DA0"/>
    <w:rsid w:val="00633FB3"/>
    <w:rsid w:val="00633FD2"/>
    <w:rsid w:val="0063409C"/>
    <w:rsid w:val="006340AF"/>
    <w:rsid w:val="00634226"/>
    <w:rsid w:val="00634410"/>
    <w:rsid w:val="00634471"/>
    <w:rsid w:val="006345DF"/>
    <w:rsid w:val="0063461C"/>
    <w:rsid w:val="00634645"/>
    <w:rsid w:val="00634664"/>
    <w:rsid w:val="006346BC"/>
    <w:rsid w:val="0063471D"/>
    <w:rsid w:val="00634864"/>
    <w:rsid w:val="00634A4A"/>
    <w:rsid w:val="00634AF4"/>
    <w:rsid w:val="00634D3D"/>
    <w:rsid w:val="00634E36"/>
    <w:rsid w:val="00634E58"/>
    <w:rsid w:val="00634E98"/>
    <w:rsid w:val="00634ECE"/>
    <w:rsid w:val="00635021"/>
    <w:rsid w:val="006350AE"/>
    <w:rsid w:val="00635182"/>
    <w:rsid w:val="00635226"/>
    <w:rsid w:val="00635322"/>
    <w:rsid w:val="006353BD"/>
    <w:rsid w:val="00635440"/>
    <w:rsid w:val="0063561F"/>
    <w:rsid w:val="006356EB"/>
    <w:rsid w:val="00635C28"/>
    <w:rsid w:val="00635D98"/>
    <w:rsid w:val="00636029"/>
    <w:rsid w:val="006360A9"/>
    <w:rsid w:val="006361AF"/>
    <w:rsid w:val="006362B4"/>
    <w:rsid w:val="0063632B"/>
    <w:rsid w:val="00636344"/>
    <w:rsid w:val="0063647A"/>
    <w:rsid w:val="0063653F"/>
    <w:rsid w:val="0063663F"/>
    <w:rsid w:val="00636683"/>
    <w:rsid w:val="00636743"/>
    <w:rsid w:val="006369B1"/>
    <w:rsid w:val="006369C1"/>
    <w:rsid w:val="00636D5D"/>
    <w:rsid w:val="00636FC8"/>
    <w:rsid w:val="0063702B"/>
    <w:rsid w:val="00637090"/>
    <w:rsid w:val="006371E8"/>
    <w:rsid w:val="006372DA"/>
    <w:rsid w:val="0063736D"/>
    <w:rsid w:val="006373B5"/>
    <w:rsid w:val="00637645"/>
    <w:rsid w:val="006376A0"/>
    <w:rsid w:val="006376BE"/>
    <w:rsid w:val="00637875"/>
    <w:rsid w:val="00637BD2"/>
    <w:rsid w:val="00637CF7"/>
    <w:rsid w:val="00637EF7"/>
    <w:rsid w:val="00637F7D"/>
    <w:rsid w:val="00640294"/>
    <w:rsid w:val="006403E0"/>
    <w:rsid w:val="006404EE"/>
    <w:rsid w:val="0064055E"/>
    <w:rsid w:val="00640706"/>
    <w:rsid w:val="006407D9"/>
    <w:rsid w:val="006408DC"/>
    <w:rsid w:val="00640A31"/>
    <w:rsid w:val="00640B39"/>
    <w:rsid w:val="00640D7A"/>
    <w:rsid w:val="00640EAF"/>
    <w:rsid w:val="00640EFB"/>
    <w:rsid w:val="00640F2E"/>
    <w:rsid w:val="00641221"/>
    <w:rsid w:val="0064139E"/>
    <w:rsid w:val="006413C2"/>
    <w:rsid w:val="0064178B"/>
    <w:rsid w:val="006417AE"/>
    <w:rsid w:val="0064198A"/>
    <w:rsid w:val="0064199D"/>
    <w:rsid w:val="006419A5"/>
    <w:rsid w:val="00641A1D"/>
    <w:rsid w:val="00641ADD"/>
    <w:rsid w:val="00641AFD"/>
    <w:rsid w:val="00641B0F"/>
    <w:rsid w:val="00641CBA"/>
    <w:rsid w:val="00641CEB"/>
    <w:rsid w:val="00641E2C"/>
    <w:rsid w:val="00641E8D"/>
    <w:rsid w:val="00641E93"/>
    <w:rsid w:val="00641FA7"/>
    <w:rsid w:val="0064206B"/>
    <w:rsid w:val="0064213A"/>
    <w:rsid w:val="006422B5"/>
    <w:rsid w:val="006423DD"/>
    <w:rsid w:val="0064244A"/>
    <w:rsid w:val="0064264C"/>
    <w:rsid w:val="00642678"/>
    <w:rsid w:val="006427C2"/>
    <w:rsid w:val="00642800"/>
    <w:rsid w:val="00642ADF"/>
    <w:rsid w:val="00642C6B"/>
    <w:rsid w:val="00642D1E"/>
    <w:rsid w:val="00642DA7"/>
    <w:rsid w:val="00642F78"/>
    <w:rsid w:val="00643390"/>
    <w:rsid w:val="006433F7"/>
    <w:rsid w:val="00643732"/>
    <w:rsid w:val="006437AF"/>
    <w:rsid w:val="006438A5"/>
    <w:rsid w:val="006439D1"/>
    <w:rsid w:val="00643B5D"/>
    <w:rsid w:val="00643D47"/>
    <w:rsid w:val="00643D4D"/>
    <w:rsid w:val="00643DBB"/>
    <w:rsid w:val="0064406D"/>
    <w:rsid w:val="00644238"/>
    <w:rsid w:val="0064424A"/>
    <w:rsid w:val="006442CE"/>
    <w:rsid w:val="0064431C"/>
    <w:rsid w:val="0064434D"/>
    <w:rsid w:val="006444A3"/>
    <w:rsid w:val="006444F4"/>
    <w:rsid w:val="0064452F"/>
    <w:rsid w:val="006447FC"/>
    <w:rsid w:val="006449E4"/>
    <w:rsid w:val="00644A5E"/>
    <w:rsid w:val="00644AD4"/>
    <w:rsid w:val="00644D9F"/>
    <w:rsid w:val="00644F94"/>
    <w:rsid w:val="006450B3"/>
    <w:rsid w:val="00645174"/>
    <w:rsid w:val="0064523B"/>
    <w:rsid w:val="00645263"/>
    <w:rsid w:val="00645378"/>
    <w:rsid w:val="0064539E"/>
    <w:rsid w:val="006455A1"/>
    <w:rsid w:val="00645763"/>
    <w:rsid w:val="00645768"/>
    <w:rsid w:val="006457EA"/>
    <w:rsid w:val="0064586A"/>
    <w:rsid w:val="006458CD"/>
    <w:rsid w:val="0064591F"/>
    <w:rsid w:val="00645A55"/>
    <w:rsid w:val="00645AC4"/>
    <w:rsid w:val="00645BBD"/>
    <w:rsid w:val="00645C08"/>
    <w:rsid w:val="00645C87"/>
    <w:rsid w:val="00645D1F"/>
    <w:rsid w:val="00645DA0"/>
    <w:rsid w:val="00646061"/>
    <w:rsid w:val="006460AF"/>
    <w:rsid w:val="00646181"/>
    <w:rsid w:val="006461AA"/>
    <w:rsid w:val="00646226"/>
    <w:rsid w:val="006462A1"/>
    <w:rsid w:val="006462BC"/>
    <w:rsid w:val="006464C8"/>
    <w:rsid w:val="006466B7"/>
    <w:rsid w:val="006468D1"/>
    <w:rsid w:val="00646A3C"/>
    <w:rsid w:val="00646AB0"/>
    <w:rsid w:val="00646C51"/>
    <w:rsid w:val="00646D0F"/>
    <w:rsid w:val="00646E19"/>
    <w:rsid w:val="00647024"/>
    <w:rsid w:val="006470F8"/>
    <w:rsid w:val="0064714E"/>
    <w:rsid w:val="00647170"/>
    <w:rsid w:val="006471AD"/>
    <w:rsid w:val="00647653"/>
    <w:rsid w:val="00647736"/>
    <w:rsid w:val="0064789B"/>
    <w:rsid w:val="00647926"/>
    <w:rsid w:val="006479A4"/>
    <w:rsid w:val="00647AA9"/>
    <w:rsid w:val="00647AD1"/>
    <w:rsid w:val="00647BE6"/>
    <w:rsid w:val="00647EB2"/>
    <w:rsid w:val="00647EE0"/>
    <w:rsid w:val="00647F5B"/>
    <w:rsid w:val="0065012F"/>
    <w:rsid w:val="00650277"/>
    <w:rsid w:val="0065028C"/>
    <w:rsid w:val="006502CF"/>
    <w:rsid w:val="0065046D"/>
    <w:rsid w:val="00650496"/>
    <w:rsid w:val="00650515"/>
    <w:rsid w:val="0065061A"/>
    <w:rsid w:val="00650627"/>
    <w:rsid w:val="0065067F"/>
    <w:rsid w:val="0065079D"/>
    <w:rsid w:val="006507F5"/>
    <w:rsid w:val="0065095B"/>
    <w:rsid w:val="0065099E"/>
    <w:rsid w:val="006509A6"/>
    <w:rsid w:val="006509EB"/>
    <w:rsid w:val="00650A9F"/>
    <w:rsid w:val="00650F84"/>
    <w:rsid w:val="00650FD7"/>
    <w:rsid w:val="00651006"/>
    <w:rsid w:val="00651017"/>
    <w:rsid w:val="0065102B"/>
    <w:rsid w:val="0065114E"/>
    <w:rsid w:val="00651254"/>
    <w:rsid w:val="00651318"/>
    <w:rsid w:val="00651405"/>
    <w:rsid w:val="00651410"/>
    <w:rsid w:val="00651418"/>
    <w:rsid w:val="00651496"/>
    <w:rsid w:val="006514DC"/>
    <w:rsid w:val="006514F3"/>
    <w:rsid w:val="00651670"/>
    <w:rsid w:val="00651849"/>
    <w:rsid w:val="006519B7"/>
    <w:rsid w:val="006519C1"/>
    <w:rsid w:val="00651A8C"/>
    <w:rsid w:val="00651F80"/>
    <w:rsid w:val="00651FB1"/>
    <w:rsid w:val="00652308"/>
    <w:rsid w:val="006523D9"/>
    <w:rsid w:val="00652544"/>
    <w:rsid w:val="00652660"/>
    <w:rsid w:val="006526F1"/>
    <w:rsid w:val="0065280F"/>
    <w:rsid w:val="0065294D"/>
    <w:rsid w:val="00652BEA"/>
    <w:rsid w:val="00652C03"/>
    <w:rsid w:val="00652CC0"/>
    <w:rsid w:val="00652ED6"/>
    <w:rsid w:val="00652F9F"/>
    <w:rsid w:val="00652FEA"/>
    <w:rsid w:val="00653016"/>
    <w:rsid w:val="0065301D"/>
    <w:rsid w:val="0065305B"/>
    <w:rsid w:val="006530FA"/>
    <w:rsid w:val="00653192"/>
    <w:rsid w:val="006531F9"/>
    <w:rsid w:val="00653299"/>
    <w:rsid w:val="0065333A"/>
    <w:rsid w:val="006534B1"/>
    <w:rsid w:val="00653504"/>
    <w:rsid w:val="006535B0"/>
    <w:rsid w:val="00653637"/>
    <w:rsid w:val="00653683"/>
    <w:rsid w:val="006536D2"/>
    <w:rsid w:val="00653737"/>
    <w:rsid w:val="006537A3"/>
    <w:rsid w:val="00653C2F"/>
    <w:rsid w:val="00653E5C"/>
    <w:rsid w:val="0065403C"/>
    <w:rsid w:val="0065410C"/>
    <w:rsid w:val="006541EF"/>
    <w:rsid w:val="00654224"/>
    <w:rsid w:val="006542B2"/>
    <w:rsid w:val="00654486"/>
    <w:rsid w:val="006544C1"/>
    <w:rsid w:val="00654530"/>
    <w:rsid w:val="0065456C"/>
    <w:rsid w:val="00654593"/>
    <w:rsid w:val="00654601"/>
    <w:rsid w:val="0065465F"/>
    <w:rsid w:val="00654726"/>
    <w:rsid w:val="00654864"/>
    <w:rsid w:val="00654A1A"/>
    <w:rsid w:val="00654AC5"/>
    <w:rsid w:val="00654D69"/>
    <w:rsid w:val="00654DCF"/>
    <w:rsid w:val="00654F55"/>
    <w:rsid w:val="00655017"/>
    <w:rsid w:val="0065509E"/>
    <w:rsid w:val="00655256"/>
    <w:rsid w:val="006553AF"/>
    <w:rsid w:val="006554F8"/>
    <w:rsid w:val="0065576D"/>
    <w:rsid w:val="00655C51"/>
    <w:rsid w:val="00655DD9"/>
    <w:rsid w:val="00656136"/>
    <w:rsid w:val="006561DE"/>
    <w:rsid w:val="006562F6"/>
    <w:rsid w:val="006564DF"/>
    <w:rsid w:val="006565FD"/>
    <w:rsid w:val="0065685D"/>
    <w:rsid w:val="00656A0B"/>
    <w:rsid w:val="00656AF0"/>
    <w:rsid w:val="00656DF8"/>
    <w:rsid w:val="00656E22"/>
    <w:rsid w:val="00656EEA"/>
    <w:rsid w:val="0065705C"/>
    <w:rsid w:val="006570E3"/>
    <w:rsid w:val="00657122"/>
    <w:rsid w:val="00657148"/>
    <w:rsid w:val="006571DE"/>
    <w:rsid w:val="0065721B"/>
    <w:rsid w:val="0065727D"/>
    <w:rsid w:val="00657328"/>
    <w:rsid w:val="00657355"/>
    <w:rsid w:val="00657509"/>
    <w:rsid w:val="0065761A"/>
    <w:rsid w:val="006577E6"/>
    <w:rsid w:val="00657A70"/>
    <w:rsid w:val="00660349"/>
    <w:rsid w:val="0066034F"/>
    <w:rsid w:val="0066044D"/>
    <w:rsid w:val="00660533"/>
    <w:rsid w:val="0066058D"/>
    <w:rsid w:val="006605F6"/>
    <w:rsid w:val="00660667"/>
    <w:rsid w:val="0066068D"/>
    <w:rsid w:val="00660754"/>
    <w:rsid w:val="006607AA"/>
    <w:rsid w:val="006609B6"/>
    <w:rsid w:val="006609FF"/>
    <w:rsid w:val="00660C14"/>
    <w:rsid w:val="00660C41"/>
    <w:rsid w:val="00660C7D"/>
    <w:rsid w:val="00660C8C"/>
    <w:rsid w:val="00660C98"/>
    <w:rsid w:val="00660D67"/>
    <w:rsid w:val="00660E71"/>
    <w:rsid w:val="006610D5"/>
    <w:rsid w:val="00661102"/>
    <w:rsid w:val="0066144D"/>
    <w:rsid w:val="00661790"/>
    <w:rsid w:val="00661B30"/>
    <w:rsid w:val="00661E5C"/>
    <w:rsid w:val="00661FE2"/>
    <w:rsid w:val="006620CD"/>
    <w:rsid w:val="006620EA"/>
    <w:rsid w:val="0066218F"/>
    <w:rsid w:val="0066219A"/>
    <w:rsid w:val="006623A6"/>
    <w:rsid w:val="0066244C"/>
    <w:rsid w:val="006624BE"/>
    <w:rsid w:val="006624EF"/>
    <w:rsid w:val="006625F3"/>
    <w:rsid w:val="006626A5"/>
    <w:rsid w:val="006626BE"/>
    <w:rsid w:val="0066273E"/>
    <w:rsid w:val="006628EB"/>
    <w:rsid w:val="00662907"/>
    <w:rsid w:val="00662C74"/>
    <w:rsid w:val="00662D76"/>
    <w:rsid w:val="00662E08"/>
    <w:rsid w:val="00662E8A"/>
    <w:rsid w:val="00662FBB"/>
    <w:rsid w:val="006630E8"/>
    <w:rsid w:val="00663114"/>
    <w:rsid w:val="00663293"/>
    <w:rsid w:val="00663581"/>
    <w:rsid w:val="00663886"/>
    <w:rsid w:val="006638B0"/>
    <w:rsid w:val="0066392D"/>
    <w:rsid w:val="00663B64"/>
    <w:rsid w:val="00663BD9"/>
    <w:rsid w:val="00663C60"/>
    <w:rsid w:val="00663CE1"/>
    <w:rsid w:val="00663DE7"/>
    <w:rsid w:val="00664026"/>
    <w:rsid w:val="00664433"/>
    <w:rsid w:val="0066454F"/>
    <w:rsid w:val="0066482E"/>
    <w:rsid w:val="006649A3"/>
    <w:rsid w:val="00664AE1"/>
    <w:rsid w:val="00664DD9"/>
    <w:rsid w:val="00665018"/>
    <w:rsid w:val="0066507E"/>
    <w:rsid w:val="00665156"/>
    <w:rsid w:val="006653A7"/>
    <w:rsid w:val="006654CC"/>
    <w:rsid w:val="00665518"/>
    <w:rsid w:val="006655EA"/>
    <w:rsid w:val="006656A4"/>
    <w:rsid w:val="006658FE"/>
    <w:rsid w:val="00665D40"/>
    <w:rsid w:val="00665DB2"/>
    <w:rsid w:val="00665DBE"/>
    <w:rsid w:val="00665FFA"/>
    <w:rsid w:val="006660E9"/>
    <w:rsid w:val="006665E8"/>
    <w:rsid w:val="00666758"/>
    <w:rsid w:val="0066675D"/>
    <w:rsid w:val="0066681A"/>
    <w:rsid w:val="006669F0"/>
    <w:rsid w:val="00666C33"/>
    <w:rsid w:val="00666D08"/>
    <w:rsid w:val="00666DD0"/>
    <w:rsid w:val="00666E18"/>
    <w:rsid w:val="00666E95"/>
    <w:rsid w:val="00666F83"/>
    <w:rsid w:val="00666FD2"/>
    <w:rsid w:val="006670E1"/>
    <w:rsid w:val="0066727A"/>
    <w:rsid w:val="0066737C"/>
    <w:rsid w:val="0066744C"/>
    <w:rsid w:val="006675AF"/>
    <w:rsid w:val="00667621"/>
    <w:rsid w:val="00667A85"/>
    <w:rsid w:val="00667B2D"/>
    <w:rsid w:val="00667B40"/>
    <w:rsid w:val="00667C3F"/>
    <w:rsid w:val="00667D80"/>
    <w:rsid w:val="00667E90"/>
    <w:rsid w:val="00667ED5"/>
    <w:rsid w:val="00667FAC"/>
    <w:rsid w:val="0067012F"/>
    <w:rsid w:val="0067020D"/>
    <w:rsid w:val="006702F1"/>
    <w:rsid w:val="006703DF"/>
    <w:rsid w:val="00670421"/>
    <w:rsid w:val="00670447"/>
    <w:rsid w:val="006704AA"/>
    <w:rsid w:val="006704B4"/>
    <w:rsid w:val="0067056A"/>
    <w:rsid w:val="006706C3"/>
    <w:rsid w:val="006706F8"/>
    <w:rsid w:val="00670726"/>
    <w:rsid w:val="00670954"/>
    <w:rsid w:val="006709F6"/>
    <w:rsid w:val="00670A42"/>
    <w:rsid w:val="00670B4C"/>
    <w:rsid w:val="00670B84"/>
    <w:rsid w:val="00670D95"/>
    <w:rsid w:val="00670E97"/>
    <w:rsid w:val="0067103F"/>
    <w:rsid w:val="0067119F"/>
    <w:rsid w:val="00671313"/>
    <w:rsid w:val="00671408"/>
    <w:rsid w:val="00671493"/>
    <w:rsid w:val="006714A5"/>
    <w:rsid w:val="00671539"/>
    <w:rsid w:val="00671790"/>
    <w:rsid w:val="00671857"/>
    <w:rsid w:val="00671AE9"/>
    <w:rsid w:val="00671C71"/>
    <w:rsid w:val="00671C8C"/>
    <w:rsid w:val="00671DCA"/>
    <w:rsid w:val="00671F5A"/>
    <w:rsid w:val="00672027"/>
    <w:rsid w:val="006720A8"/>
    <w:rsid w:val="0067239C"/>
    <w:rsid w:val="00672468"/>
    <w:rsid w:val="006725FD"/>
    <w:rsid w:val="00672609"/>
    <w:rsid w:val="0067264D"/>
    <w:rsid w:val="0067267C"/>
    <w:rsid w:val="0067270F"/>
    <w:rsid w:val="006727D5"/>
    <w:rsid w:val="00672A16"/>
    <w:rsid w:val="00672C8B"/>
    <w:rsid w:val="00672CA4"/>
    <w:rsid w:val="00672D89"/>
    <w:rsid w:val="00672F3E"/>
    <w:rsid w:val="0067317F"/>
    <w:rsid w:val="006731F4"/>
    <w:rsid w:val="006735D6"/>
    <w:rsid w:val="00673762"/>
    <w:rsid w:val="0067399C"/>
    <w:rsid w:val="00673C2C"/>
    <w:rsid w:val="00673CC8"/>
    <w:rsid w:val="006740F4"/>
    <w:rsid w:val="00674117"/>
    <w:rsid w:val="0067424F"/>
    <w:rsid w:val="0067426F"/>
    <w:rsid w:val="006745F3"/>
    <w:rsid w:val="006745F4"/>
    <w:rsid w:val="0067479A"/>
    <w:rsid w:val="00674924"/>
    <w:rsid w:val="00674A38"/>
    <w:rsid w:val="00674A6A"/>
    <w:rsid w:val="00674ACF"/>
    <w:rsid w:val="00674AEB"/>
    <w:rsid w:val="00674BA7"/>
    <w:rsid w:val="00674BEC"/>
    <w:rsid w:val="00674C77"/>
    <w:rsid w:val="00674D63"/>
    <w:rsid w:val="00674EB6"/>
    <w:rsid w:val="006751E3"/>
    <w:rsid w:val="006752C6"/>
    <w:rsid w:val="006754B9"/>
    <w:rsid w:val="0067558F"/>
    <w:rsid w:val="00675622"/>
    <w:rsid w:val="00675719"/>
    <w:rsid w:val="00675AEA"/>
    <w:rsid w:val="00675AF8"/>
    <w:rsid w:val="00675B19"/>
    <w:rsid w:val="00675B99"/>
    <w:rsid w:val="00675BFE"/>
    <w:rsid w:val="00675C61"/>
    <w:rsid w:val="00675D76"/>
    <w:rsid w:val="00675DD4"/>
    <w:rsid w:val="00675DF6"/>
    <w:rsid w:val="00675E63"/>
    <w:rsid w:val="006761D6"/>
    <w:rsid w:val="00676235"/>
    <w:rsid w:val="0067627D"/>
    <w:rsid w:val="00676309"/>
    <w:rsid w:val="0067633D"/>
    <w:rsid w:val="0067637E"/>
    <w:rsid w:val="006763CE"/>
    <w:rsid w:val="00676430"/>
    <w:rsid w:val="0067647F"/>
    <w:rsid w:val="00676656"/>
    <w:rsid w:val="00676685"/>
    <w:rsid w:val="006766D6"/>
    <w:rsid w:val="00676728"/>
    <w:rsid w:val="00676826"/>
    <w:rsid w:val="00676A08"/>
    <w:rsid w:val="00676AC8"/>
    <w:rsid w:val="00676AF5"/>
    <w:rsid w:val="00676B26"/>
    <w:rsid w:val="00676B9B"/>
    <w:rsid w:val="00676BC6"/>
    <w:rsid w:val="00676BCB"/>
    <w:rsid w:val="00676BF1"/>
    <w:rsid w:val="00676C79"/>
    <w:rsid w:val="00676CE6"/>
    <w:rsid w:val="0067702C"/>
    <w:rsid w:val="00677170"/>
    <w:rsid w:val="00677189"/>
    <w:rsid w:val="00677508"/>
    <w:rsid w:val="006775F4"/>
    <w:rsid w:val="0067777C"/>
    <w:rsid w:val="006777DA"/>
    <w:rsid w:val="0067783C"/>
    <w:rsid w:val="006778DB"/>
    <w:rsid w:val="00677B0D"/>
    <w:rsid w:val="00677CA1"/>
    <w:rsid w:val="00677D3A"/>
    <w:rsid w:val="00677E00"/>
    <w:rsid w:val="00677E1F"/>
    <w:rsid w:val="00680131"/>
    <w:rsid w:val="0068018F"/>
    <w:rsid w:val="00680192"/>
    <w:rsid w:val="006803EB"/>
    <w:rsid w:val="0068042D"/>
    <w:rsid w:val="00680577"/>
    <w:rsid w:val="00680681"/>
    <w:rsid w:val="00680688"/>
    <w:rsid w:val="0068088F"/>
    <w:rsid w:val="00680A45"/>
    <w:rsid w:val="00680C22"/>
    <w:rsid w:val="00680C42"/>
    <w:rsid w:val="00680D63"/>
    <w:rsid w:val="00680E0D"/>
    <w:rsid w:val="00680E2E"/>
    <w:rsid w:val="00680FA0"/>
    <w:rsid w:val="00681165"/>
    <w:rsid w:val="006811A2"/>
    <w:rsid w:val="00681268"/>
    <w:rsid w:val="006814A4"/>
    <w:rsid w:val="006814CF"/>
    <w:rsid w:val="006814FA"/>
    <w:rsid w:val="0068156D"/>
    <w:rsid w:val="0068167A"/>
    <w:rsid w:val="006816EF"/>
    <w:rsid w:val="00681765"/>
    <w:rsid w:val="0068194D"/>
    <w:rsid w:val="00681968"/>
    <w:rsid w:val="00681982"/>
    <w:rsid w:val="0068216D"/>
    <w:rsid w:val="0068216E"/>
    <w:rsid w:val="006821D4"/>
    <w:rsid w:val="0068224E"/>
    <w:rsid w:val="0068226A"/>
    <w:rsid w:val="006823D0"/>
    <w:rsid w:val="00682537"/>
    <w:rsid w:val="0068259B"/>
    <w:rsid w:val="0068284C"/>
    <w:rsid w:val="00682873"/>
    <w:rsid w:val="00682AC6"/>
    <w:rsid w:val="00682ECB"/>
    <w:rsid w:val="00683101"/>
    <w:rsid w:val="00683232"/>
    <w:rsid w:val="00683311"/>
    <w:rsid w:val="00683498"/>
    <w:rsid w:val="00683505"/>
    <w:rsid w:val="00683525"/>
    <w:rsid w:val="006836A8"/>
    <w:rsid w:val="006836E2"/>
    <w:rsid w:val="0068378A"/>
    <w:rsid w:val="00683824"/>
    <w:rsid w:val="0068390C"/>
    <w:rsid w:val="0068395E"/>
    <w:rsid w:val="00683B83"/>
    <w:rsid w:val="00683C86"/>
    <w:rsid w:val="00683CF8"/>
    <w:rsid w:val="00683D64"/>
    <w:rsid w:val="00683E06"/>
    <w:rsid w:val="00683EA7"/>
    <w:rsid w:val="0068403E"/>
    <w:rsid w:val="0068407E"/>
    <w:rsid w:val="00684211"/>
    <w:rsid w:val="0068425F"/>
    <w:rsid w:val="00684413"/>
    <w:rsid w:val="00684491"/>
    <w:rsid w:val="00684671"/>
    <w:rsid w:val="006846D7"/>
    <w:rsid w:val="00684754"/>
    <w:rsid w:val="006848D7"/>
    <w:rsid w:val="006849B9"/>
    <w:rsid w:val="006849C2"/>
    <w:rsid w:val="00684AC3"/>
    <w:rsid w:val="00684B11"/>
    <w:rsid w:val="00684C95"/>
    <w:rsid w:val="00684E4A"/>
    <w:rsid w:val="00685043"/>
    <w:rsid w:val="006857C4"/>
    <w:rsid w:val="00685815"/>
    <w:rsid w:val="006858CA"/>
    <w:rsid w:val="006859E8"/>
    <w:rsid w:val="00685A05"/>
    <w:rsid w:val="00685A86"/>
    <w:rsid w:val="00685C93"/>
    <w:rsid w:val="00685CA5"/>
    <w:rsid w:val="00685E3B"/>
    <w:rsid w:val="00685F15"/>
    <w:rsid w:val="006863AC"/>
    <w:rsid w:val="00686931"/>
    <w:rsid w:val="00686A0B"/>
    <w:rsid w:val="00686D3F"/>
    <w:rsid w:val="00686E31"/>
    <w:rsid w:val="00686EF4"/>
    <w:rsid w:val="00686F29"/>
    <w:rsid w:val="00687196"/>
    <w:rsid w:val="006873E5"/>
    <w:rsid w:val="006873F5"/>
    <w:rsid w:val="00687404"/>
    <w:rsid w:val="006874DC"/>
    <w:rsid w:val="00687581"/>
    <w:rsid w:val="00687AB2"/>
    <w:rsid w:val="00687B43"/>
    <w:rsid w:val="00687B76"/>
    <w:rsid w:val="00687B79"/>
    <w:rsid w:val="00687BA5"/>
    <w:rsid w:val="00687C50"/>
    <w:rsid w:val="00687F9F"/>
    <w:rsid w:val="00690144"/>
    <w:rsid w:val="006901D3"/>
    <w:rsid w:val="00690259"/>
    <w:rsid w:val="006903A6"/>
    <w:rsid w:val="006903B4"/>
    <w:rsid w:val="006903E9"/>
    <w:rsid w:val="0069045E"/>
    <w:rsid w:val="006904F7"/>
    <w:rsid w:val="00690733"/>
    <w:rsid w:val="00690837"/>
    <w:rsid w:val="0069097C"/>
    <w:rsid w:val="006909F6"/>
    <w:rsid w:val="00690AA0"/>
    <w:rsid w:val="00690AD6"/>
    <w:rsid w:val="00690CDE"/>
    <w:rsid w:val="00690D58"/>
    <w:rsid w:val="00690DC3"/>
    <w:rsid w:val="00690E11"/>
    <w:rsid w:val="00690F76"/>
    <w:rsid w:val="006911F2"/>
    <w:rsid w:val="00691240"/>
    <w:rsid w:val="0069136D"/>
    <w:rsid w:val="0069143F"/>
    <w:rsid w:val="006914EC"/>
    <w:rsid w:val="006915A1"/>
    <w:rsid w:val="006915CC"/>
    <w:rsid w:val="006915D2"/>
    <w:rsid w:val="0069160A"/>
    <w:rsid w:val="00691613"/>
    <w:rsid w:val="006916C2"/>
    <w:rsid w:val="006916D4"/>
    <w:rsid w:val="0069175E"/>
    <w:rsid w:val="0069179A"/>
    <w:rsid w:val="00691862"/>
    <w:rsid w:val="0069195B"/>
    <w:rsid w:val="00691E17"/>
    <w:rsid w:val="00691FAF"/>
    <w:rsid w:val="00692372"/>
    <w:rsid w:val="00692480"/>
    <w:rsid w:val="006925F6"/>
    <w:rsid w:val="0069271C"/>
    <w:rsid w:val="00692734"/>
    <w:rsid w:val="00692778"/>
    <w:rsid w:val="0069286B"/>
    <w:rsid w:val="006928E4"/>
    <w:rsid w:val="006928F8"/>
    <w:rsid w:val="00692C85"/>
    <w:rsid w:val="00692F2C"/>
    <w:rsid w:val="00692F55"/>
    <w:rsid w:val="0069341B"/>
    <w:rsid w:val="00693452"/>
    <w:rsid w:val="0069345B"/>
    <w:rsid w:val="0069345E"/>
    <w:rsid w:val="00693723"/>
    <w:rsid w:val="00693B77"/>
    <w:rsid w:val="00693C9A"/>
    <w:rsid w:val="00693D09"/>
    <w:rsid w:val="00693D7B"/>
    <w:rsid w:val="00693EBA"/>
    <w:rsid w:val="00693F13"/>
    <w:rsid w:val="00693F79"/>
    <w:rsid w:val="00693FF3"/>
    <w:rsid w:val="0069408E"/>
    <w:rsid w:val="006940A2"/>
    <w:rsid w:val="00694144"/>
    <w:rsid w:val="006941B7"/>
    <w:rsid w:val="0069426C"/>
    <w:rsid w:val="00694359"/>
    <w:rsid w:val="0069435F"/>
    <w:rsid w:val="006944C8"/>
    <w:rsid w:val="006944FD"/>
    <w:rsid w:val="0069468E"/>
    <w:rsid w:val="006947CB"/>
    <w:rsid w:val="006948A8"/>
    <w:rsid w:val="006948ED"/>
    <w:rsid w:val="006949DA"/>
    <w:rsid w:val="00694A4C"/>
    <w:rsid w:val="00694B9F"/>
    <w:rsid w:val="00694C3C"/>
    <w:rsid w:val="00694EB8"/>
    <w:rsid w:val="00694FBE"/>
    <w:rsid w:val="0069505F"/>
    <w:rsid w:val="006951BA"/>
    <w:rsid w:val="0069520A"/>
    <w:rsid w:val="00695257"/>
    <w:rsid w:val="0069530E"/>
    <w:rsid w:val="006953FF"/>
    <w:rsid w:val="00695925"/>
    <w:rsid w:val="006959A6"/>
    <w:rsid w:val="006959D8"/>
    <w:rsid w:val="00695A68"/>
    <w:rsid w:val="00695EAB"/>
    <w:rsid w:val="0069607E"/>
    <w:rsid w:val="00696206"/>
    <w:rsid w:val="0069645B"/>
    <w:rsid w:val="0069662D"/>
    <w:rsid w:val="006967B7"/>
    <w:rsid w:val="006967BF"/>
    <w:rsid w:val="006967C1"/>
    <w:rsid w:val="0069699F"/>
    <w:rsid w:val="00696A9E"/>
    <w:rsid w:val="00696D76"/>
    <w:rsid w:val="00696DC1"/>
    <w:rsid w:val="00696E7B"/>
    <w:rsid w:val="00696FC5"/>
    <w:rsid w:val="00696FD1"/>
    <w:rsid w:val="0069709D"/>
    <w:rsid w:val="006970F4"/>
    <w:rsid w:val="00697216"/>
    <w:rsid w:val="0069723D"/>
    <w:rsid w:val="006975B1"/>
    <w:rsid w:val="0069769F"/>
    <w:rsid w:val="00697865"/>
    <w:rsid w:val="006979D4"/>
    <w:rsid w:val="00697A33"/>
    <w:rsid w:val="00697B0E"/>
    <w:rsid w:val="00697CA4"/>
    <w:rsid w:val="00697CD1"/>
    <w:rsid w:val="00697F6E"/>
    <w:rsid w:val="006A00CB"/>
    <w:rsid w:val="006A0119"/>
    <w:rsid w:val="006A013B"/>
    <w:rsid w:val="006A0204"/>
    <w:rsid w:val="006A03AB"/>
    <w:rsid w:val="006A04D9"/>
    <w:rsid w:val="006A05BA"/>
    <w:rsid w:val="006A060D"/>
    <w:rsid w:val="006A0814"/>
    <w:rsid w:val="006A0B12"/>
    <w:rsid w:val="006A0D9C"/>
    <w:rsid w:val="006A0DD3"/>
    <w:rsid w:val="006A0DE2"/>
    <w:rsid w:val="006A0DF1"/>
    <w:rsid w:val="006A0EA5"/>
    <w:rsid w:val="006A0F03"/>
    <w:rsid w:val="006A1157"/>
    <w:rsid w:val="006A1164"/>
    <w:rsid w:val="006A11A3"/>
    <w:rsid w:val="006A11D0"/>
    <w:rsid w:val="006A131F"/>
    <w:rsid w:val="006A144A"/>
    <w:rsid w:val="006A1689"/>
    <w:rsid w:val="006A17BD"/>
    <w:rsid w:val="006A17F7"/>
    <w:rsid w:val="006A1956"/>
    <w:rsid w:val="006A19EA"/>
    <w:rsid w:val="006A1A5E"/>
    <w:rsid w:val="006A1CEA"/>
    <w:rsid w:val="006A1D10"/>
    <w:rsid w:val="006A1D28"/>
    <w:rsid w:val="006A1D5A"/>
    <w:rsid w:val="006A1DFB"/>
    <w:rsid w:val="006A1F79"/>
    <w:rsid w:val="006A202C"/>
    <w:rsid w:val="006A20C3"/>
    <w:rsid w:val="006A2424"/>
    <w:rsid w:val="006A2551"/>
    <w:rsid w:val="006A26F1"/>
    <w:rsid w:val="006A285D"/>
    <w:rsid w:val="006A296D"/>
    <w:rsid w:val="006A2A1F"/>
    <w:rsid w:val="006A2A62"/>
    <w:rsid w:val="006A2C23"/>
    <w:rsid w:val="006A2CFC"/>
    <w:rsid w:val="006A2DEE"/>
    <w:rsid w:val="006A3093"/>
    <w:rsid w:val="006A31AE"/>
    <w:rsid w:val="006A32DD"/>
    <w:rsid w:val="006A32EB"/>
    <w:rsid w:val="006A3C9A"/>
    <w:rsid w:val="006A3DF9"/>
    <w:rsid w:val="006A3E20"/>
    <w:rsid w:val="006A3F17"/>
    <w:rsid w:val="006A400D"/>
    <w:rsid w:val="006A4390"/>
    <w:rsid w:val="006A4410"/>
    <w:rsid w:val="006A44F7"/>
    <w:rsid w:val="006A4504"/>
    <w:rsid w:val="006A46C4"/>
    <w:rsid w:val="006A480D"/>
    <w:rsid w:val="006A4895"/>
    <w:rsid w:val="006A48F5"/>
    <w:rsid w:val="006A491B"/>
    <w:rsid w:val="006A4A67"/>
    <w:rsid w:val="006A4DFE"/>
    <w:rsid w:val="006A4EBA"/>
    <w:rsid w:val="006A4ECA"/>
    <w:rsid w:val="006A50C6"/>
    <w:rsid w:val="006A5171"/>
    <w:rsid w:val="006A521C"/>
    <w:rsid w:val="006A5443"/>
    <w:rsid w:val="006A564D"/>
    <w:rsid w:val="006A587E"/>
    <w:rsid w:val="006A59A7"/>
    <w:rsid w:val="006A5A28"/>
    <w:rsid w:val="006A5AB6"/>
    <w:rsid w:val="006A5AB8"/>
    <w:rsid w:val="006A5D3F"/>
    <w:rsid w:val="006A5DEA"/>
    <w:rsid w:val="006A5E03"/>
    <w:rsid w:val="006A5F31"/>
    <w:rsid w:val="006A5F5E"/>
    <w:rsid w:val="006A62E5"/>
    <w:rsid w:val="006A633C"/>
    <w:rsid w:val="006A6488"/>
    <w:rsid w:val="006A6672"/>
    <w:rsid w:val="006A6723"/>
    <w:rsid w:val="006A67AB"/>
    <w:rsid w:val="006A685B"/>
    <w:rsid w:val="006A6880"/>
    <w:rsid w:val="006A690F"/>
    <w:rsid w:val="006A691C"/>
    <w:rsid w:val="006A6AA3"/>
    <w:rsid w:val="006A6AD2"/>
    <w:rsid w:val="006A6B4C"/>
    <w:rsid w:val="006A6C72"/>
    <w:rsid w:val="006A6EE3"/>
    <w:rsid w:val="006A70AD"/>
    <w:rsid w:val="006A71CB"/>
    <w:rsid w:val="006A740A"/>
    <w:rsid w:val="006A748C"/>
    <w:rsid w:val="006A75A3"/>
    <w:rsid w:val="006A7791"/>
    <w:rsid w:val="006A77F7"/>
    <w:rsid w:val="006A794C"/>
    <w:rsid w:val="006A7CAD"/>
    <w:rsid w:val="006A7D12"/>
    <w:rsid w:val="006A7E38"/>
    <w:rsid w:val="006A7F23"/>
    <w:rsid w:val="006B0092"/>
    <w:rsid w:val="006B0238"/>
    <w:rsid w:val="006B0275"/>
    <w:rsid w:val="006B03EE"/>
    <w:rsid w:val="006B0423"/>
    <w:rsid w:val="006B05CA"/>
    <w:rsid w:val="006B0646"/>
    <w:rsid w:val="006B07EC"/>
    <w:rsid w:val="006B0936"/>
    <w:rsid w:val="006B09E0"/>
    <w:rsid w:val="006B0A22"/>
    <w:rsid w:val="006B0BA2"/>
    <w:rsid w:val="006B0D5D"/>
    <w:rsid w:val="006B0F39"/>
    <w:rsid w:val="006B1016"/>
    <w:rsid w:val="006B1224"/>
    <w:rsid w:val="006B163F"/>
    <w:rsid w:val="006B16B7"/>
    <w:rsid w:val="006B18B1"/>
    <w:rsid w:val="006B1951"/>
    <w:rsid w:val="006B19F7"/>
    <w:rsid w:val="006B1B12"/>
    <w:rsid w:val="006B1B54"/>
    <w:rsid w:val="006B1BD7"/>
    <w:rsid w:val="006B1C8B"/>
    <w:rsid w:val="006B1CF1"/>
    <w:rsid w:val="006B206C"/>
    <w:rsid w:val="006B210B"/>
    <w:rsid w:val="006B24B0"/>
    <w:rsid w:val="006B25A9"/>
    <w:rsid w:val="006B2941"/>
    <w:rsid w:val="006B2A62"/>
    <w:rsid w:val="006B2B00"/>
    <w:rsid w:val="006B2B5F"/>
    <w:rsid w:val="006B2E61"/>
    <w:rsid w:val="006B2F7C"/>
    <w:rsid w:val="006B2FBD"/>
    <w:rsid w:val="006B3068"/>
    <w:rsid w:val="006B3185"/>
    <w:rsid w:val="006B3453"/>
    <w:rsid w:val="006B37F4"/>
    <w:rsid w:val="006B3837"/>
    <w:rsid w:val="006B3A44"/>
    <w:rsid w:val="006B3A5C"/>
    <w:rsid w:val="006B3B21"/>
    <w:rsid w:val="006B3B26"/>
    <w:rsid w:val="006B3CBB"/>
    <w:rsid w:val="006B3CE7"/>
    <w:rsid w:val="006B3EFA"/>
    <w:rsid w:val="006B40AE"/>
    <w:rsid w:val="006B42DE"/>
    <w:rsid w:val="006B42E5"/>
    <w:rsid w:val="006B44F6"/>
    <w:rsid w:val="006B4771"/>
    <w:rsid w:val="006B4A78"/>
    <w:rsid w:val="006B4BB8"/>
    <w:rsid w:val="006B4C2B"/>
    <w:rsid w:val="006B509E"/>
    <w:rsid w:val="006B50DB"/>
    <w:rsid w:val="006B50E1"/>
    <w:rsid w:val="006B5136"/>
    <w:rsid w:val="006B5149"/>
    <w:rsid w:val="006B518E"/>
    <w:rsid w:val="006B5367"/>
    <w:rsid w:val="006B539F"/>
    <w:rsid w:val="006B53BA"/>
    <w:rsid w:val="006B5407"/>
    <w:rsid w:val="006B5487"/>
    <w:rsid w:val="006B54C7"/>
    <w:rsid w:val="006B566D"/>
    <w:rsid w:val="006B5690"/>
    <w:rsid w:val="006B5764"/>
    <w:rsid w:val="006B5896"/>
    <w:rsid w:val="006B5CA5"/>
    <w:rsid w:val="006B5DFF"/>
    <w:rsid w:val="006B6180"/>
    <w:rsid w:val="006B61BD"/>
    <w:rsid w:val="006B61DE"/>
    <w:rsid w:val="006B6245"/>
    <w:rsid w:val="006B6258"/>
    <w:rsid w:val="006B6331"/>
    <w:rsid w:val="006B64AB"/>
    <w:rsid w:val="006B6600"/>
    <w:rsid w:val="006B66BE"/>
    <w:rsid w:val="006B66CC"/>
    <w:rsid w:val="006B682F"/>
    <w:rsid w:val="006B6ACA"/>
    <w:rsid w:val="006B6B8D"/>
    <w:rsid w:val="006B6F63"/>
    <w:rsid w:val="006B7177"/>
    <w:rsid w:val="006B7713"/>
    <w:rsid w:val="006B796F"/>
    <w:rsid w:val="006B7A74"/>
    <w:rsid w:val="006B7CF2"/>
    <w:rsid w:val="006B7DF7"/>
    <w:rsid w:val="006C009D"/>
    <w:rsid w:val="006C00CC"/>
    <w:rsid w:val="006C02AC"/>
    <w:rsid w:val="006C0368"/>
    <w:rsid w:val="006C043A"/>
    <w:rsid w:val="006C047D"/>
    <w:rsid w:val="006C0510"/>
    <w:rsid w:val="006C0725"/>
    <w:rsid w:val="006C0788"/>
    <w:rsid w:val="006C0AA3"/>
    <w:rsid w:val="006C0AFB"/>
    <w:rsid w:val="006C0EF4"/>
    <w:rsid w:val="006C13E1"/>
    <w:rsid w:val="006C1454"/>
    <w:rsid w:val="006C1759"/>
    <w:rsid w:val="006C17CA"/>
    <w:rsid w:val="006C1810"/>
    <w:rsid w:val="006C186F"/>
    <w:rsid w:val="006C19E5"/>
    <w:rsid w:val="006C19EA"/>
    <w:rsid w:val="006C1AC0"/>
    <w:rsid w:val="006C1B0E"/>
    <w:rsid w:val="006C1CE5"/>
    <w:rsid w:val="006C2114"/>
    <w:rsid w:val="006C2189"/>
    <w:rsid w:val="006C21A6"/>
    <w:rsid w:val="006C225E"/>
    <w:rsid w:val="006C238A"/>
    <w:rsid w:val="006C2606"/>
    <w:rsid w:val="006C2657"/>
    <w:rsid w:val="006C26A6"/>
    <w:rsid w:val="006C26CA"/>
    <w:rsid w:val="006C275B"/>
    <w:rsid w:val="006C292A"/>
    <w:rsid w:val="006C29D2"/>
    <w:rsid w:val="006C2A1C"/>
    <w:rsid w:val="006C2C37"/>
    <w:rsid w:val="006C2D86"/>
    <w:rsid w:val="006C2E96"/>
    <w:rsid w:val="006C2E9B"/>
    <w:rsid w:val="006C3253"/>
    <w:rsid w:val="006C3337"/>
    <w:rsid w:val="006C3342"/>
    <w:rsid w:val="006C35F9"/>
    <w:rsid w:val="006C36BA"/>
    <w:rsid w:val="006C36EF"/>
    <w:rsid w:val="006C37C8"/>
    <w:rsid w:val="006C3906"/>
    <w:rsid w:val="006C3910"/>
    <w:rsid w:val="006C39DA"/>
    <w:rsid w:val="006C39FA"/>
    <w:rsid w:val="006C39FE"/>
    <w:rsid w:val="006C3D52"/>
    <w:rsid w:val="006C3E4A"/>
    <w:rsid w:val="006C43C1"/>
    <w:rsid w:val="006C440F"/>
    <w:rsid w:val="006C441D"/>
    <w:rsid w:val="006C455E"/>
    <w:rsid w:val="006C45C3"/>
    <w:rsid w:val="006C4611"/>
    <w:rsid w:val="006C4809"/>
    <w:rsid w:val="006C487D"/>
    <w:rsid w:val="006C49A3"/>
    <w:rsid w:val="006C49E7"/>
    <w:rsid w:val="006C49F5"/>
    <w:rsid w:val="006C4A24"/>
    <w:rsid w:val="006C4BC9"/>
    <w:rsid w:val="006C4BDB"/>
    <w:rsid w:val="006C4C54"/>
    <w:rsid w:val="006C4C7E"/>
    <w:rsid w:val="006C4D04"/>
    <w:rsid w:val="006C4D48"/>
    <w:rsid w:val="006C4EB4"/>
    <w:rsid w:val="006C4F1A"/>
    <w:rsid w:val="006C4F22"/>
    <w:rsid w:val="006C517F"/>
    <w:rsid w:val="006C546D"/>
    <w:rsid w:val="006C5510"/>
    <w:rsid w:val="006C5538"/>
    <w:rsid w:val="006C5A84"/>
    <w:rsid w:val="006C5B54"/>
    <w:rsid w:val="006C5C3A"/>
    <w:rsid w:val="006C5EC9"/>
    <w:rsid w:val="006C5F3C"/>
    <w:rsid w:val="006C5F96"/>
    <w:rsid w:val="006C619F"/>
    <w:rsid w:val="006C622A"/>
    <w:rsid w:val="006C6359"/>
    <w:rsid w:val="006C6562"/>
    <w:rsid w:val="006C69B5"/>
    <w:rsid w:val="006C6A20"/>
    <w:rsid w:val="006C6DF6"/>
    <w:rsid w:val="006C6EBA"/>
    <w:rsid w:val="006C70EB"/>
    <w:rsid w:val="006C71A9"/>
    <w:rsid w:val="006C71F4"/>
    <w:rsid w:val="006C7335"/>
    <w:rsid w:val="006C763A"/>
    <w:rsid w:val="006C7668"/>
    <w:rsid w:val="006C7922"/>
    <w:rsid w:val="006C7A33"/>
    <w:rsid w:val="006C7B9B"/>
    <w:rsid w:val="006C7BD2"/>
    <w:rsid w:val="006C7BE9"/>
    <w:rsid w:val="006C7D18"/>
    <w:rsid w:val="006C7ECF"/>
    <w:rsid w:val="006C7FE3"/>
    <w:rsid w:val="006C7FF8"/>
    <w:rsid w:val="006D00E8"/>
    <w:rsid w:val="006D0320"/>
    <w:rsid w:val="006D0386"/>
    <w:rsid w:val="006D0907"/>
    <w:rsid w:val="006D092B"/>
    <w:rsid w:val="006D0B01"/>
    <w:rsid w:val="006D0B9A"/>
    <w:rsid w:val="006D0CBC"/>
    <w:rsid w:val="006D0CFE"/>
    <w:rsid w:val="006D0EFF"/>
    <w:rsid w:val="006D0FAB"/>
    <w:rsid w:val="006D101C"/>
    <w:rsid w:val="006D1468"/>
    <w:rsid w:val="006D14A0"/>
    <w:rsid w:val="006D14A5"/>
    <w:rsid w:val="006D16D6"/>
    <w:rsid w:val="006D1800"/>
    <w:rsid w:val="006D18AA"/>
    <w:rsid w:val="006D19B7"/>
    <w:rsid w:val="006D1AC4"/>
    <w:rsid w:val="006D2004"/>
    <w:rsid w:val="006D2152"/>
    <w:rsid w:val="006D2161"/>
    <w:rsid w:val="006D21C6"/>
    <w:rsid w:val="006D21E9"/>
    <w:rsid w:val="006D23EA"/>
    <w:rsid w:val="006D2476"/>
    <w:rsid w:val="006D2757"/>
    <w:rsid w:val="006D27C5"/>
    <w:rsid w:val="006D2ACA"/>
    <w:rsid w:val="006D2AED"/>
    <w:rsid w:val="006D2CD2"/>
    <w:rsid w:val="006D2CE4"/>
    <w:rsid w:val="006D2DBB"/>
    <w:rsid w:val="006D3296"/>
    <w:rsid w:val="006D35C3"/>
    <w:rsid w:val="006D3602"/>
    <w:rsid w:val="006D3970"/>
    <w:rsid w:val="006D3A41"/>
    <w:rsid w:val="006D3C0B"/>
    <w:rsid w:val="006D3C67"/>
    <w:rsid w:val="006D3CDD"/>
    <w:rsid w:val="006D3D8B"/>
    <w:rsid w:val="006D3EB7"/>
    <w:rsid w:val="006D3F8E"/>
    <w:rsid w:val="006D40AC"/>
    <w:rsid w:val="006D4260"/>
    <w:rsid w:val="006D42C2"/>
    <w:rsid w:val="006D481A"/>
    <w:rsid w:val="006D48CA"/>
    <w:rsid w:val="006D4908"/>
    <w:rsid w:val="006D492B"/>
    <w:rsid w:val="006D4A66"/>
    <w:rsid w:val="006D4AFE"/>
    <w:rsid w:val="006D4BA3"/>
    <w:rsid w:val="006D4C7E"/>
    <w:rsid w:val="006D4CF2"/>
    <w:rsid w:val="006D4DE5"/>
    <w:rsid w:val="006D4E96"/>
    <w:rsid w:val="006D4FD4"/>
    <w:rsid w:val="006D5283"/>
    <w:rsid w:val="006D52E6"/>
    <w:rsid w:val="006D5333"/>
    <w:rsid w:val="006D5343"/>
    <w:rsid w:val="006D5447"/>
    <w:rsid w:val="006D5478"/>
    <w:rsid w:val="006D5931"/>
    <w:rsid w:val="006D5999"/>
    <w:rsid w:val="006D5BE6"/>
    <w:rsid w:val="006D5BE7"/>
    <w:rsid w:val="006D5C10"/>
    <w:rsid w:val="006D5C5E"/>
    <w:rsid w:val="006D5D8B"/>
    <w:rsid w:val="006D5DD4"/>
    <w:rsid w:val="006D5E8A"/>
    <w:rsid w:val="006D5E93"/>
    <w:rsid w:val="006D5F11"/>
    <w:rsid w:val="006D5F8F"/>
    <w:rsid w:val="006D6163"/>
    <w:rsid w:val="006D61C0"/>
    <w:rsid w:val="006D63E2"/>
    <w:rsid w:val="006D648E"/>
    <w:rsid w:val="006D65BE"/>
    <w:rsid w:val="006D683C"/>
    <w:rsid w:val="006D68C4"/>
    <w:rsid w:val="006D69B5"/>
    <w:rsid w:val="006D6A10"/>
    <w:rsid w:val="006D6A81"/>
    <w:rsid w:val="006D6E06"/>
    <w:rsid w:val="006D6E2C"/>
    <w:rsid w:val="006D6F56"/>
    <w:rsid w:val="006D723C"/>
    <w:rsid w:val="006D73A5"/>
    <w:rsid w:val="006D7485"/>
    <w:rsid w:val="006D75C9"/>
    <w:rsid w:val="006D77E9"/>
    <w:rsid w:val="006D77F3"/>
    <w:rsid w:val="006D7869"/>
    <w:rsid w:val="006D791D"/>
    <w:rsid w:val="006D7A53"/>
    <w:rsid w:val="006D7B8F"/>
    <w:rsid w:val="006D7C54"/>
    <w:rsid w:val="006D7C93"/>
    <w:rsid w:val="006D7CC7"/>
    <w:rsid w:val="006D7D4F"/>
    <w:rsid w:val="006D7DDC"/>
    <w:rsid w:val="006D7E80"/>
    <w:rsid w:val="006E00DB"/>
    <w:rsid w:val="006E0113"/>
    <w:rsid w:val="006E012F"/>
    <w:rsid w:val="006E0376"/>
    <w:rsid w:val="006E03FF"/>
    <w:rsid w:val="006E044B"/>
    <w:rsid w:val="006E0499"/>
    <w:rsid w:val="006E04C4"/>
    <w:rsid w:val="006E05B4"/>
    <w:rsid w:val="006E065E"/>
    <w:rsid w:val="006E0660"/>
    <w:rsid w:val="006E06AD"/>
    <w:rsid w:val="006E0701"/>
    <w:rsid w:val="006E07DA"/>
    <w:rsid w:val="006E08BF"/>
    <w:rsid w:val="006E0976"/>
    <w:rsid w:val="006E09BF"/>
    <w:rsid w:val="006E09F4"/>
    <w:rsid w:val="006E0B54"/>
    <w:rsid w:val="006E0C89"/>
    <w:rsid w:val="006E0CE4"/>
    <w:rsid w:val="006E10A7"/>
    <w:rsid w:val="006E1248"/>
    <w:rsid w:val="006E12E0"/>
    <w:rsid w:val="006E13B2"/>
    <w:rsid w:val="006E1430"/>
    <w:rsid w:val="006E143A"/>
    <w:rsid w:val="006E14A7"/>
    <w:rsid w:val="006E155D"/>
    <w:rsid w:val="006E16AB"/>
    <w:rsid w:val="006E16B1"/>
    <w:rsid w:val="006E17A7"/>
    <w:rsid w:val="006E17B6"/>
    <w:rsid w:val="006E17D5"/>
    <w:rsid w:val="006E1985"/>
    <w:rsid w:val="006E1B61"/>
    <w:rsid w:val="006E1CAF"/>
    <w:rsid w:val="006E1E14"/>
    <w:rsid w:val="006E1EE6"/>
    <w:rsid w:val="006E1F3B"/>
    <w:rsid w:val="006E1FCA"/>
    <w:rsid w:val="006E200D"/>
    <w:rsid w:val="006E2131"/>
    <w:rsid w:val="006E2248"/>
    <w:rsid w:val="006E227E"/>
    <w:rsid w:val="006E2606"/>
    <w:rsid w:val="006E2642"/>
    <w:rsid w:val="006E2719"/>
    <w:rsid w:val="006E2AE3"/>
    <w:rsid w:val="006E2B84"/>
    <w:rsid w:val="006E2C68"/>
    <w:rsid w:val="006E2C8F"/>
    <w:rsid w:val="006E2C96"/>
    <w:rsid w:val="006E2E9C"/>
    <w:rsid w:val="006E2F66"/>
    <w:rsid w:val="006E2FD0"/>
    <w:rsid w:val="006E3003"/>
    <w:rsid w:val="006E3117"/>
    <w:rsid w:val="006E31A9"/>
    <w:rsid w:val="006E31B2"/>
    <w:rsid w:val="006E33D7"/>
    <w:rsid w:val="006E352D"/>
    <w:rsid w:val="006E3586"/>
    <w:rsid w:val="006E3801"/>
    <w:rsid w:val="006E3806"/>
    <w:rsid w:val="006E385C"/>
    <w:rsid w:val="006E3902"/>
    <w:rsid w:val="006E3A80"/>
    <w:rsid w:val="006E3B63"/>
    <w:rsid w:val="006E3CD4"/>
    <w:rsid w:val="006E3D06"/>
    <w:rsid w:val="006E4295"/>
    <w:rsid w:val="006E42AD"/>
    <w:rsid w:val="006E42B2"/>
    <w:rsid w:val="006E4A27"/>
    <w:rsid w:val="006E4AAA"/>
    <w:rsid w:val="006E4CB4"/>
    <w:rsid w:val="006E4D06"/>
    <w:rsid w:val="006E4E1C"/>
    <w:rsid w:val="006E4E76"/>
    <w:rsid w:val="006E4EF4"/>
    <w:rsid w:val="006E4F21"/>
    <w:rsid w:val="006E5407"/>
    <w:rsid w:val="006E54B2"/>
    <w:rsid w:val="006E54CA"/>
    <w:rsid w:val="006E55C4"/>
    <w:rsid w:val="006E55F9"/>
    <w:rsid w:val="006E5841"/>
    <w:rsid w:val="006E5929"/>
    <w:rsid w:val="006E5BD8"/>
    <w:rsid w:val="006E5C69"/>
    <w:rsid w:val="006E5F1A"/>
    <w:rsid w:val="006E5F62"/>
    <w:rsid w:val="006E5FC7"/>
    <w:rsid w:val="006E61D6"/>
    <w:rsid w:val="006E6608"/>
    <w:rsid w:val="006E663A"/>
    <w:rsid w:val="006E6661"/>
    <w:rsid w:val="006E6672"/>
    <w:rsid w:val="006E66DE"/>
    <w:rsid w:val="006E66FB"/>
    <w:rsid w:val="006E6B2F"/>
    <w:rsid w:val="006E6C21"/>
    <w:rsid w:val="006E6D74"/>
    <w:rsid w:val="006E6D92"/>
    <w:rsid w:val="006E7121"/>
    <w:rsid w:val="006E71DC"/>
    <w:rsid w:val="006E72FF"/>
    <w:rsid w:val="006E73DA"/>
    <w:rsid w:val="006E73F0"/>
    <w:rsid w:val="006E74A8"/>
    <w:rsid w:val="006E7500"/>
    <w:rsid w:val="006E755A"/>
    <w:rsid w:val="006E75D2"/>
    <w:rsid w:val="006E77FD"/>
    <w:rsid w:val="006E7B12"/>
    <w:rsid w:val="006E7D01"/>
    <w:rsid w:val="006E7EA7"/>
    <w:rsid w:val="006F00C0"/>
    <w:rsid w:val="006F017C"/>
    <w:rsid w:val="006F0383"/>
    <w:rsid w:val="006F03B3"/>
    <w:rsid w:val="006F05C3"/>
    <w:rsid w:val="006F09A9"/>
    <w:rsid w:val="006F0AFD"/>
    <w:rsid w:val="006F0CDB"/>
    <w:rsid w:val="006F0EB3"/>
    <w:rsid w:val="006F1100"/>
    <w:rsid w:val="006F124E"/>
    <w:rsid w:val="006F168C"/>
    <w:rsid w:val="006F186A"/>
    <w:rsid w:val="006F18B1"/>
    <w:rsid w:val="006F1ABD"/>
    <w:rsid w:val="006F1B62"/>
    <w:rsid w:val="006F1B6F"/>
    <w:rsid w:val="006F1C98"/>
    <w:rsid w:val="006F1D03"/>
    <w:rsid w:val="006F1DF2"/>
    <w:rsid w:val="006F1F16"/>
    <w:rsid w:val="006F1FDA"/>
    <w:rsid w:val="006F2154"/>
    <w:rsid w:val="006F21AB"/>
    <w:rsid w:val="006F21FF"/>
    <w:rsid w:val="006F2229"/>
    <w:rsid w:val="006F24AB"/>
    <w:rsid w:val="006F2520"/>
    <w:rsid w:val="006F25B0"/>
    <w:rsid w:val="006F25F2"/>
    <w:rsid w:val="006F2702"/>
    <w:rsid w:val="006F295C"/>
    <w:rsid w:val="006F2A13"/>
    <w:rsid w:val="006F2A57"/>
    <w:rsid w:val="006F2E33"/>
    <w:rsid w:val="006F2EB8"/>
    <w:rsid w:val="006F2FE3"/>
    <w:rsid w:val="006F31F8"/>
    <w:rsid w:val="006F3392"/>
    <w:rsid w:val="006F34B8"/>
    <w:rsid w:val="006F35D3"/>
    <w:rsid w:val="006F35FB"/>
    <w:rsid w:val="006F36F0"/>
    <w:rsid w:val="006F380D"/>
    <w:rsid w:val="006F3A9C"/>
    <w:rsid w:val="006F3CC5"/>
    <w:rsid w:val="006F3CCB"/>
    <w:rsid w:val="006F3CF5"/>
    <w:rsid w:val="006F4038"/>
    <w:rsid w:val="006F41EB"/>
    <w:rsid w:val="006F4230"/>
    <w:rsid w:val="006F428B"/>
    <w:rsid w:val="006F4355"/>
    <w:rsid w:val="006F4444"/>
    <w:rsid w:val="006F4520"/>
    <w:rsid w:val="006F4573"/>
    <w:rsid w:val="006F4646"/>
    <w:rsid w:val="006F4849"/>
    <w:rsid w:val="006F488C"/>
    <w:rsid w:val="006F4940"/>
    <w:rsid w:val="006F4B07"/>
    <w:rsid w:val="006F4BDC"/>
    <w:rsid w:val="006F4F37"/>
    <w:rsid w:val="006F5026"/>
    <w:rsid w:val="006F512C"/>
    <w:rsid w:val="006F51C3"/>
    <w:rsid w:val="006F522B"/>
    <w:rsid w:val="006F526A"/>
    <w:rsid w:val="006F53CA"/>
    <w:rsid w:val="006F54C0"/>
    <w:rsid w:val="006F56C3"/>
    <w:rsid w:val="006F5720"/>
    <w:rsid w:val="006F5A4B"/>
    <w:rsid w:val="006F5B33"/>
    <w:rsid w:val="006F5B70"/>
    <w:rsid w:val="006F5B8B"/>
    <w:rsid w:val="006F5D86"/>
    <w:rsid w:val="006F5FD9"/>
    <w:rsid w:val="006F60B2"/>
    <w:rsid w:val="006F62CC"/>
    <w:rsid w:val="006F6403"/>
    <w:rsid w:val="006F6430"/>
    <w:rsid w:val="006F6670"/>
    <w:rsid w:val="006F6686"/>
    <w:rsid w:val="006F66BC"/>
    <w:rsid w:val="006F6CDE"/>
    <w:rsid w:val="006F6D8E"/>
    <w:rsid w:val="006F6DB3"/>
    <w:rsid w:val="006F6DE1"/>
    <w:rsid w:val="006F704E"/>
    <w:rsid w:val="006F742B"/>
    <w:rsid w:val="006F74A1"/>
    <w:rsid w:val="006F7585"/>
    <w:rsid w:val="006F7AEE"/>
    <w:rsid w:val="006F7B03"/>
    <w:rsid w:val="006F7B55"/>
    <w:rsid w:val="006F7D09"/>
    <w:rsid w:val="006F7E16"/>
    <w:rsid w:val="006F7E77"/>
    <w:rsid w:val="006F7EDC"/>
    <w:rsid w:val="006F7F9C"/>
    <w:rsid w:val="00700026"/>
    <w:rsid w:val="00700471"/>
    <w:rsid w:val="007004B3"/>
    <w:rsid w:val="007006B8"/>
    <w:rsid w:val="00700BBA"/>
    <w:rsid w:val="00700C32"/>
    <w:rsid w:val="00700CC9"/>
    <w:rsid w:val="00700DAD"/>
    <w:rsid w:val="007010FE"/>
    <w:rsid w:val="0070123A"/>
    <w:rsid w:val="007015C1"/>
    <w:rsid w:val="0070192C"/>
    <w:rsid w:val="00701A7B"/>
    <w:rsid w:val="00701C39"/>
    <w:rsid w:val="00701C69"/>
    <w:rsid w:val="00701CBF"/>
    <w:rsid w:val="00702588"/>
    <w:rsid w:val="007027F0"/>
    <w:rsid w:val="00702916"/>
    <w:rsid w:val="00702962"/>
    <w:rsid w:val="007029AB"/>
    <w:rsid w:val="00702AAF"/>
    <w:rsid w:val="00702B32"/>
    <w:rsid w:val="00702CA3"/>
    <w:rsid w:val="00702CD7"/>
    <w:rsid w:val="00702DBD"/>
    <w:rsid w:val="00702FC9"/>
    <w:rsid w:val="00703038"/>
    <w:rsid w:val="00703173"/>
    <w:rsid w:val="00703318"/>
    <w:rsid w:val="00703402"/>
    <w:rsid w:val="007036AF"/>
    <w:rsid w:val="00703732"/>
    <w:rsid w:val="00703757"/>
    <w:rsid w:val="00703804"/>
    <w:rsid w:val="00703949"/>
    <w:rsid w:val="00703961"/>
    <w:rsid w:val="00703A02"/>
    <w:rsid w:val="00703F7A"/>
    <w:rsid w:val="00704047"/>
    <w:rsid w:val="0070419C"/>
    <w:rsid w:val="0070427A"/>
    <w:rsid w:val="0070450B"/>
    <w:rsid w:val="00704728"/>
    <w:rsid w:val="0070475F"/>
    <w:rsid w:val="00704808"/>
    <w:rsid w:val="00704858"/>
    <w:rsid w:val="0070490E"/>
    <w:rsid w:val="00704956"/>
    <w:rsid w:val="00704C88"/>
    <w:rsid w:val="00704DF4"/>
    <w:rsid w:val="00704EA8"/>
    <w:rsid w:val="00704F0D"/>
    <w:rsid w:val="00704FD0"/>
    <w:rsid w:val="00705069"/>
    <w:rsid w:val="007050BC"/>
    <w:rsid w:val="00705132"/>
    <w:rsid w:val="00705179"/>
    <w:rsid w:val="0070529D"/>
    <w:rsid w:val="0070531F"/>
    <w:rsid w:val="0070559D"/>
    <w:rsid w:val="007055A5"/>
    <w:rsid w:val="007056B6"/>
    <w:rsid w:val="0070577B"/>
    <w:rsid w:val="007057A5"/>
    <w:rsid w:val="007058E1"/>
    <w:rsid w:val="00705910"/>
    <w:rsid w:val="007059A0"/>
    <w:rsid w:val="00705A00"/>
    <w:rsid w:val="00705A7D"/>
    <w:rsid w:val="00705AC0"/>
    <w:rsid w:val="00705E22"/>
    <w:rsid w:val="00705E29"/>
    <w:rsid w:val="00705F40"/>
    <w:rsid w:val="0070600A"/>
    <w:rsid w:val="00706090"/>
    <w:rsid w:val="007061B3"/>
    <w:rsid w:val="0070633B"/>
    <w:rsid w:val="007064FE"/>
    <w:rsid w:val="00706661"/>
    <w:rsid w:val="0070674E"/>
    <w:rsid w:val="00706821"/>
    <w:rsid w:val="00706840"/>
    <w:rsid w:val="0070685A"/>
    <w:rsid w:val="007069B6"/>
    <w:rsid w:val="00706A65"/>
    <w:rsid w:val="00706DDE"/>
    <w:rsid w:val="00706EE9"/>
    <w:rsid w:val="00707083"/>
    <w:rsid w:val="0070721D"/>
    <w:rsid w:val="0070727E"/>
    <w:rsid w:val="007073BF"/>
    <w:rsid w:val="0070748D"/>
    <w:rsid w:val="007074EB"/>
    <w:rsid w:val="0070774E"/>
    <w:rsid w:val="007077C7"/>
    <w:rsid w:val="007079A4"/>
    <w:rsid w:val="00707B28"/>
    <w:rsid w:val="00707CB0"/>
    <w:rsid w:val="00707CE8"/>
    <w:rsid w:val="00707CE9"/>
    <w:rsid w:val="0071003C"/>
    <w:rsid w:val="00710311"/>
    <w:rsid w:val="007103FA"/>
    <w:rsid w:val="00710411"/>
    <w:rsid w:val="0071059B"/>
    <w:rsid w:val="0071075C"/>
    <w:rsid w:val="007108B1"/>
    <w:rsid w:val="007109A9"/>
    <w:rsid w:val="00710AAF"/>
    <w:rsid w:val="00710E4F"/>
    <w:rsid w:val="00710E9F"/>
    <w:rsid w:val="00710ED7"/>
    <w:rsid w:val="00710FF2"/>
    <w:rsid w:val="007110BC"/>
    <w:rsid w:val="00711265"/>
    <w:rsid w:val="00711339"/>
    <w:rsid w:val="00711489"/>
    <w:rsid w:val="007114D4"/>
    <w:rsid w:val="007115B6"/>
    <w:rsid w:val="00711CE8"/>
    <w:rsid w:val="00711D02"/>
    <w:rsid w:val="00712171"/>
    <w:rsid w:val="0071222E"/>
    <w:rsid w:val="0071223E"/>
    <w:rsid w:val="0071237B"/>
    <w:rsid w:val="0071250D"/>
    <w:rsid w:val="00712588"/>
    <w:rsid w:val="0071268F"/>
    <w:rsid w:val="00712861"/>
    <w:rsid w:val="00712B1A"/>
    <w:rsid w:val="00712C5F"/>
    <w:rsid w:val="00712DE3"/>
    <w:rsid w:val="00712E45"/>
    <w:rsid w:val="00712E56"/>
    <w:rsid w:val="007130AF"/>
    <w:rsid w:val="00713181"/>
    <w:rsid w:val="0071319F"/>
    <w:rsid w:val="00713336"/>
    <w:rsid w:val="00713722"/>
    <w:rsid w:val="0071375C"/>
    <w:rsid w:val="00713776"/>
    <w:rsid w:val="00713892"/>
    <w:rsid w:val="00713894"/>
    <w:rsid w:val="00713935"/>
    <w:rsid w:val="00713973"/>
    <w:rsid w:val="00713B26"/>
    <w:rsid w:val="00713C6A"/>
    <w:rsid w:val="00713D96"/>
    <w:rsid w:val="00713DF7"/>
    <w:rsid w:val="00713F02"/>
    <w:rsid w:val="00713FF6"/>
    <w:rsid w:val="00714011"/>
    <w:rsid w:val="0071434C"/>
    <w:rsid w:val="007143A2"/>
    <w:rsid w:val="00714443"/>
    <w:rsid w:val="007144E1"/>
    <w:rsid w:val="007144FE"/>
    <w:rsid w:val="00714616"/>
    <w:rsid w:val="00714632"/>
    <w:rsid w:val="00714646"/>
    <w:rsid w:val="00714719"/>
    <w:rsid w:val="00714764"/>
    <w:rsid w:val="0071478E"/>
    <w:rsid w:val="00714800"/>
    <w:rsid w:val="00714A70"/>
    <w:rsid w:val="00714B5A"/>
    <w:rsid w:val="00714CC2"/>
    <w:rsid w:val="00714E9C"/>
    <w:rsid w:val="00715097"/>
    <w:rsid w:val="00715180"/>
    <w:rsid w:val="007151B6"/>
    <w:rsid w:val="0071537A"/>
    <w:rsid w:val="00715431"/>
    <w:rsid w:val="007155EA"/>
    <w:rsid w:val="007156C2"/>
    <w:rsid w:val="00715807"/>
    <w:rsid w:val="0071588D"/>
    <w:rsid w:val="00715A21"/>
    <w:rsid w:val="00715A3A"/>
    <w:rsid w:val="00715AF0"/>
    <w:rsid w:val="00715E74"/>
    <w:rsid w:val="00716219"/>
    <w:rsid w:val="0071622E"/>
    <w:rsid w:val="00716445"/>
    <w:rsid w:val="00716503"/>
    <w:rsid w:val="007165E5"/>
    <w:rsid w:val="007166CC"/>
    <w:rsid w:val="007167F9"/>
    <w:rsid w:val="00716880"/>
    <w:rsid w:val="0071692E"/>
    <w:rsid w:val="00716A20"/>
    <w:rsid w:val="00716B20"/>
    <w:rsid w:val="00716BC5"/>
    <w:rsid w:val="00716BCD"/>
    <w:rsid w:val="00716CB4"/>
    <w:rsid w:val="00717206"/>
    <w:rsid w:val="007173E6"/>
    <w:rsid w:val="007174BE"/>
    <w:rsid w:val="0071769A"/>
    <w:rsid w:val="00717930"/>
    <w:rsid w:val="007179DE"/>
    <w:rsid w:val="00717A7B"/>
    <w:rsid w:val="00717ADC"/>
    <w:rsid w:val="00717B3C"/>
    <w:rsid w:val="00717DB8"/>
    <w:rsid w:val="00717F95"/>
    <w:rsid w:val="00717FE4"/>
    <w:rsid w:val="00720089"/>
    <w:rsid w:val="0072012C"/>
    <w:rsid w:val="007201D3"/>
    <w:rsid w:val="0072023E"/>
    <w:rsid w:val="00720367"/>
    <w:rsid w:val="007203C6"/>
    <w:rsid w:val="00720618"/>
    <w:rsid w:val="0072065D"/>
    <w:rsid w:val="0072067B"/>
    <w:rsid w:val="007206BB"/>
    <w:rsid w:val="007206BD"/>
    <w:rsid w:val="00720712"/>
    <w:rsid w:val="00720783"/>
    <w:rsid w:val="0072083A"/>
    <w:rsid w:val="00720859"/>
    <w:rsid w:val="00720881"/>
    <w:rsid w:val="00720CE8"/>
    <w:rsid w:val="00720D98"/>
    <w:rsid w:val="00720E0A"/>
    <w:rsid w:val="00720F1E"/>
    <w:rsid w:val="0072118B"/>
    <w:rsid w:val="0072121B"/>
    <w:rsid w:val="0072131B"/>
    <w:rsid w:val="0072139A"/>
    <w:rsid w:val="0072142F"/>
    <w:rsid w:val="0072176D"/>
    <w:rsid w:val="0072188F"/>
    <w:rsid w:val="00721987"/>
    <w:rsid w:val="00721C18"/>
    <w:rsid w:val="00721C29"/>
    <w:rsid w:val="00721CA6"/>
    <w:rsid w:val="00721D46"/>
    <w:rsid w:val="00721DEB"/>
    <w:rsid w:val="00721E29"/>
    <w:rsid w:val="00721EC9"/>
    <w:rsid w:val="00721F03"/>
    <w:rsid w:val="00721F4D"/>
    <w:rsid w:val="00721F86"/>
    <w:rsid w:val="00722106"/>
    <w:rsid w:val="007221C1"/>
    <w:rsid w:val="007223C4"/>
    <w:rsid w:val="007226FE"/>
    <w:rsid w:val="00722741"/>
    <w:rsid w:val="00722794"/>
    <w:rsid w:val="00722825"/>
    <w:rsid w:val="00722A71"/>
    <w:rsid w:val="00722AC8"/>
    <w:rsid w:val="00722AE0"/>
    <w:rsid w:val="00722C73"/>
    <w:rsid w:val="00722D14"/>
    <w:rsid w:val="00722D26"/>
    <w:rsid w:val="0072322E"/>
    <w:rsid w:val="007233B0"/>
    <w:rsid w:val="0072342C"/>
    <w:rsid w:val="007237B7"/>
    <w:rsid w:val="00723912"/>
    <w:rsid w:val="00723BD0"/>
    <w:rsid w:val="00723BF1"/>
    <w:rsid w:val="00723C48"/>
    <w:rsid w:val="007240B9"/>
    <w:rsid w:val="00724208"/>
    <w:rsid w:val="0072429B"/>
    <w:rsid w:val="007242C2"/>
    <w:rsid w:val="00724380"/>
    <w:rsid w:val="00724388"/>
    <w:rsid w:val="00724488"/>
    <w:rsid w:val="0072456E"/>
    <w:rsid w:val="0072486C"/>
    <w:rsid w:val="007248EB"/>
    <w:rsid w:val="00724947"/>
    <w:rsid w:val="00724A60"/>
    <w:rsid w:val="00724B85"/>
    <w:rsid w:val="00724CB9"/>
    <w:rsid w:val="00724DBC"/>
    <w:rsid w:val="00724E31"/>
    <w:rsid w:val="00724ED7"/>
    <w:rsid w:val="00724F38"/>
    <w:rsid w:val="00724FE4"/>
    <w:rsid w:val="0072521B"/>
    <w:rsid w:val="007252EA"/>
    <w:rsid w:val="007256A8"/>
    <w:rsid w:val="00725732"/>
    <w:rsid w:val="00725737"/>
    <w:rsid w:val="007257F5"/>
    <w:rsid w:val="00725932"/>
    <w:rsid w:val="00725B2C"/>
    <w:rsid w:val="00725B6C"/>
    <w:rsid w:val="00725C2D"/>
    <w:rsid w:val="00725F21"/>
    <w:rsid w:val="00725FD5"/>
    <w:rsid w:val="00726066"/>
    <w:rsid w:val="0072647A"/>
    <w:rsid w:val="00726731"/>
    <w:rsid w:val="00726B17"/>
    <w:rsid w:val="00726EE1"/>
    <w:rsid w:val="007270A3"/>
    <w:rsid w:val="007271B8"/>
    <w:rsid w:val="007272E0"/>
    <w:rsid w:val="00727689"/>
    <w:rsid w:val="007276A3"/>
    <w:rsid w:val="007277AD"/>
    <w:rsid w:val="00727877"/>
    <w:rsid w:val="007279A2"/>
    <w:rsid w:val="007279A6"/>
    <w:rsid w:val="00727A2D"/>
    <w:rsid w:val="00727AB1"/>
    <w:rsid w:val="00727BFA"/>
    <w:rsid w:val="00727CA0"/>
    <w:rsid w:val="00727CDE"/>
    <w:rsid w:val="00727DE2"/>
    <w:rsid w:val="00727E48"/>
    <w:rsid w:val="00727E6B"/>
    <w:rsid w:val="00727F72"/>
    <w:rsid w:val="007300F5"/>
    <w:rsid w:val="0073010D"/>
    <w:rsid w:val="00730220"/>
    <w:rsid w:val="007302C5"/>
    <w:rsid w:val="007303B3"/>
    <w:rsid w:val="00730492"/>
    <w:rsid w:val="007304B9"/>
    <w:rsid w:val="0073079B"/>
    <w:rsid w:val="007307BC"/>
    <w:rsid w:val="00730874"/>
    <w:rsid w:val="00730948"/>
    <w:rsid w:val="007309A4"/>
    <w:rsid w:val="00730A98"/>
    <w:rsid w:val="00730C75"/>
    <w:rsid w:val="007312A8"/>
    <w:rsid w:val="0073130D"/>
    <w:rsid w:val="007314AF"/>
    <w:rsid w:val="0073159B"/>
    <w:rsid w:val="0073166A"/>
    <w:rsid w:val="00731A12"/>
    <w:rsid w:val="00731B20"/>
    <w:rsid w:val="00731B80"/>
    <w:rsid w:val="00731C7D"/>
    <w:rsid w:val="00731CF5"/>
    <w:rsid w:val="00731CF7"/>
    <w:rsid w:val="00731D14"/>
    <w:rsid w:val="00731D74"/>
    <w:rsid w:val="00731ED8"/>
    <w:rsid w:val="00731EE3"/>
    <w:rsid w:val="00731F63"/>
    <w:rsid w:val="00732429"/>
    <w:rsid w:val="007326C4"/>
    <w:rsid w:val="007329C2"/>
    <w:rsid w:val="00732C77"/>
    <w:rsid w:val="00732C7A"/>
    <w:rsid w:val="00732D16"/>
    <w:rsid w:val="00732DBB"/>
    <w:rsid w:val="00733012"/>
    <w:rsid w:val="00733329"/>
    <w:rsid w:val="007333BC"/>
    <w:rsid w:val="0073348D"/>
    <w:rsid w:val="0073353C"/>
    <w:rsid w:val="00733843"/>
    <w:rsid w:val="00733A52"/>
    <w:rsid w:val="00733A84"/>
    <w:rsid w:val="00733B35"/>
    <w:rsid w:val="00733CE3"/>
    <w:rsid w:val="00733E97"/>
    <w:rsid w:val="00733EA6"/>
    <w:rsid w:val="00733F5E"/>
    <w:rsid w:val="0073409E"/>
    <w:rsid w:val="007340FC"/>
    <w:rsid w:val="00734307"/>
    <w:rsid w:val="00734320"/>
    <w:rsid w:val="0073432E"/>
    <w:rsid w:val="007348C3"/>
    <w:rsid w:val="007348D8"/>
    <w:rsid w:val="00734902"/>
    <w:rsid w:val="00734A45"/>
    <w:rsid w:val="00734BE4"/>
    <w:rsid w:val="00734C9E"/>
    <w:rsid w:val="00734D09"/>
    <w:rsid w:val="00734DA9"/>
    <w:rsid w:val="00734FFF"/>
    <w:rsid w:val="00735174"/>
    <w:rsid w:val="0073532C"/>
    <w:rsid w:val="007354CD"/>
    <w:rsid w:val="00735529"/>
    <w:rsid w:val="0073561D"/>
    <w:rsid w:val="0073575B"/>
    <w:rsid w:val="00735764"/>
    <w:rsid w:val="00735830"/>
    <w:rsid w:val="007358B1"/>
    <w:rsid w:val="007358B7"/>
    <w:rsid w:val="00735A4F"/>
    <w:rsid w:val="00735A7A"/>
    <w:rsid w:val="00735BEC"/>
    <w:rsid w:val="00735E4D"/>
    <w:rsid w:val="00735E54"/>
    <w:rsid w:val="00735E9A"/>
    <w:rsid w:val="00735F17"/>
    <w:rsid w:val="0073627F"/>
    <w:rsid w:val="007362BD"/>
    <w:rsid w:val="00736449"/>
    <w:rsid w:val="007365CB"/>
    <w:rsid w:val="00736751"/>
    <w:rsid w:val="007367CA"/>
    <w:rsid w:val="00736940"/>
    <w:rsid w:val="007369EA"/>
    <w:rsid w:val="00736A03"/>
    <w:rsid w:val="00736AE1"/>
    <w:rsid w:val="00736C7A"/>
    <w:rsid w:val="00736CEC"/>
    <w:rsid w:val="0073702C"/>
    <w:rsid w:val="00737275"/>
    <w:rsid w:val="007373AE"/>
    <w:rsid w:val="007373C3"/>
    <w:rsid w:val="007376FE"/>
    <w:rsid w:val="0073776F"/>
    <w:rsid w:val="00737839"/>
    <w:rsid w:val="007378F4"/>
    <w:rsid w:val="007379D7"/>
    <w:rsid w:val="00737B8B"/>
    <w:rsid w:val="00737D2F"/>
    <w:rsid w:val="00737EA3"/>
    <w:rsid w:val="00737EFF"/>
    <w:rsid w:val="0074001F"/>
    <w:rsid w:val="007401E6"/>
    <w:rsid w:val="00740255"/>
    <w:rsid w:val="007403E0"/>
    <w:rsid w:val="0074090C"/>
    <w:rsid w:val="00740917"/>
    <w:rsid w:val="007409AC"/>
    <w:rsid w:val="00740B6F"/>
    <w:rsid w:val="00740BCB"/>
    <w:rsid w:val="00740BFC"/>
    <w:rsid w:val="00740C21"/>
    <w:rsid w:val="00740CC9"/>
    <w:rsid w:val="00740D2D"/>
    <w:rsid w:val="00740F39"/>
    <w:rsid w:val="00740F80"/>
    <w:rsid w:val="007410DE"/>
    <w:rsid w:val="007411B7"/>
    <w:rsid w:val="0074120A"/>
    <w:rsid w:val="00741408"/>
    <w:rsid w:val="00741444"/>
    <w:rsid w:val="00741562"/>
    <w:rsid w:val="007415EA"/>
    <w:rsid w:val="00741887"/>
    <w:rsid w:val="007418CD"/>
    <w:rsid w:val="00741A9A"/>
    <w:rsid w:val="00741ABD"/>
    <w:rsid w:val="00741B5E"/>
    <w:rsid w:val="00741CF4"/>
    <w:rsid w:val="0074209E"/>
    <w:rsid w:val="0074217A"/>
    <w:rsid w:val="007423DF"/>
    <w:rsid w:val="0074244C"/>
    <w:rsid w:val="007424D9"/>
    <w:rsid w:val="007424E0"/>
    <w:rsid w:val="00742587"/>
    <w:rsid w:val="007426BE"/>
    <w:rsid w:val="00742726"/>
    <w:rsid w:val="007427F8"/>
    <w:rsid w:val="00742A2A"/>
    <w:rsid w:val="00742B0E"/>
    <w:rsid w:val="00742DA5"/>
    <w:rsid w:val="0074315D"/>
    <w:rsid w:val="00743237"/>
    <w:rsid w:val="00743340"/>
    <w:rsid w:val="0074362F"/>
    <w:rsid w:val="0074386B"/>
    <w:rsid w:val="00743911"/>
    <w:rsid w:val="00743A49"/>
    <w:rsid w:val="00743B9A"/>
    <w:rsid w:val="00743C1E"/>
    <w:rsid w:val="00743CB5"/>
    <w:rsid w:val="00743CCD"/>
    <w:rsid w:val="00743F16"/>
    <w:rsid w:val="007440A4"/>
    <w:rsid w:val="007445BE"/>
    <w:rsid w:val="0074463A"/>
    <w:rsid w:val="00744673"/>
    <w:rsid w:val="0074477D"/>
    <w:rsid w:val="007447EE"/>
    <w:rsid w:val="007447F6"/>
    <w:rsid w:val="00744805"/>
    <w:rsid w:val="0074486B"/>
    <w:rsid w:val="00744AEE"/>
    <w:rsid w:val="00744BC1"/>
    <w:rsid w:val="00744E17"/>
    <w:rsid w:val="00744E97"/>
    <w:rsid w:val="00744ED4"/>
    <w:rsid w:val="00744FB5"/>
    <w:rsid w:val="00745072"/>
    <w:rsid w:val="0074539C"/>
    <w:rsid w:val="0074587E"/>
    <w:rsid w:val="00745884"/>
    <w:rsid w:val="007458DF"/>
    <w:rsid w:val="007458E6"/>
    <w:rsid w:val="00745988"/>
    <w:rsid w:val="00745997"/>
    <w:rsid w:val="007459FC"/>
    <w:rsid w:val="00745AFA"/>
    <w:rsid w:val="00745B1E"/>
    <w:rsid w:val="00745C25"/>
    <w:rsid w:val="00745DF1"/>
    <w:rsid w:val="00745E9B"/>
    <w:rsid w:val="00745FB8"/>
    <w:rsid w:val="007460F3"/>
    <w:rsid w:val="00746283"/>
    <w:rsid w:val="0074639C"/>
    <w:rsid w:val="007464AE"/>
    <w:rsid w:val="007464BE"/>
    <w:rsid w:val="007466DD"/>
    <w:rsid w:val="0074679A"/>
    <w:rsid w:val="007467B1"/>
    <w:rsid w:val="007468C5"/>
    <w:rsid w:val="00746A71"/>
    <w:rsid w:val="00746A81"/>
    <w:rsid w:val="00746CC8"/>
    <w:rsid w:val="00746D32"/>
    <w:rsid w:val="00746DAD"/>
    <w:rsid w:val="00746E5D"/>
    <w:rsid w:val="00746F13"/>
    <w:rsid w:val="007470A5"/>
    <w:rsid w:val="00747157"/>
    <w:rsid w:val="007472F7"/>
    <w:rsid w:val="00747498"/>
    <w:rsid w:val="0074751B"/>
    <w:rsid w:val="00747570"/>
    <w:rsid w:val="00747665"/>
    <w:rsid w:val="007476A0"/>
    <w:rsid w:val="0074782A"/>
    <w:rsid w:val="007478BF"/>
    <w:rsid w:val="007478D9"/>
    <w:rsid w:val="007479CC"/>
    <w:rsid w:val="00747CC0"/>
    <w:rsid w:val="00747D43"/>
    <w:rsid w:val="00747D81"/>
    <w:rsid w:val="00747E43"/>
    <w:rsid w:val="00747EEE"/>
    <w:rsid w:val="007500A5"/>
    <w:rsid w:val="0075025D"/>
    <w:rsid w:val="0075029A"/>
    <w:rsid w:val="00750347"/>
    <w:rsid w:val="007504DB"/>
    <w:rsid w:val="007504E9"/>
    <w:rsid w:val="00750585"/>
    <w:rsid w:val="007505C9"/>
    <w:rsid w:val="0075067B"/>
    <w:rsid w:val="007506BB"/>
    <w:rsid w:val="00750711"/>
    <w:rsid w:val="007508F5"/>
    <w:rsid w:val="00750A5C"/>
    <w:rsid w:val="00750A73"/>
    <w:rsid w:val="00750BC6"/>
    <w:rsid w:val="00751047"/>
    <w:rsid w:val="007511E2"/>
    <w:rsid w:val="00751328"/>
    <w:rsid w:val="0075142F"/>
    <w:rsid w:val="007517A2"/>
    <w:rsid w:val="0075182F"/>
    <w:rsid w:val="00751AC9"/>
    <w:rsid w:val="00751B7F"/>
    <w:rsid w:val="00751B97"/>
    <w:rsid w:val="00751C00"/>
    <w:rsid w:val="00751D0A"/>
    <w:rsid w:val="00751E07"/>
    <w:rsid w:val="00751E34"/>
    <w:rsid w:val="00751E4F"/>
    <w:rsid w:val="00751EF3"/>
    <w:rsid w:val="00751EFC"/>
    <w:rsid w:val="00752042"/>
    <w:rsid w:val="007522D3"/>
    <w:rsid w:val="0075245C"/>
    <w:rsid w:val="00752515"/>
    <w:rsid w:val="0075252F"/>
    <w:rsid w:val="007525A2"/>
    <w:rsid w:val="007525EE"/>
    <w:rsid w:val="00752738"/>
    <w:rsid w:val="00752A8B"/>
    <w:rsid w:val="00752B54"/>
    <w:rsid w:val="00752E49"/>
    <w:rsid w:val="00752FA0"/>
    <w:rsid w:val="007530A0"/>
    <w:rsid w:val="007530A6"/>
    <w:rsid w:val="00753140"/>
    <w:rsid w:val="00753217"/>
    <w:rsid w:val="00753287"/>
    <w:rsid w:val="007533B1"/>
    <w:rsid w:val="00753407"/>
    <w:rsid w:val="0075345A"/>
    <w:rsid w:val="007534F9"/>
    <w:rsid w:val="0075366E"/>
    <w:rsid w:val="007538B3"/>
    <w:rsid w:val="007539CD"/>
    <w:rsid w:val="00753BF5"/>
    <w:rsid w:val="00753C84"/>
    <w:rsid w:val="00753D38"/>
    <w:rsid w:val="00753DB4"/>
    <w:rsid w:val="00753DC5"/>
    <w:rsid w:val="00753DCD"/>
    <w:rsid w:val="00753E0B"/>
    <w:rsid w:val="00753EAD"/>
    <w:rsid w:val="00753F04"/>
    <w:rsid w:val="00754019"/>
    <w:rsid w:val="007540B0"/>
    <w:rsid w:val="0075414C"/>
    <w:rsid w:val="00754186"/>
    <w:rsid w:val="00754488"/>
    <w:rsid w:val="007546A9"/>
    <w:rsid w:val="007546D4"/>
    <w:rsid w:val="007547D0"/>
    <w:rsid w:val="00754804"/>
    <w:rsid w:val="00754A58"/>
    <w:rsid w:val="00754C14"/>
    <w:rsid w:val="00754C6C"/>
    <w:rsid w:val="00755292"/>
    <w:rsid w:val="007553CE"/>
    <w:rsid w:val="00755488"/>
    <w:rsid w:val="00755580"/>
    <w:rsid w:val="007555A1"/>
    <w:rsid w:val="007556A6"/>
    <w:rsid w:val="007556CD"/>
    <w:rsid w:val="007557C6"/>
    <w:rsid w:val="007557F1"/>
    <w:rsid w:val="00755CC4"/>
    <w:rsid w:val="00755DB2"/>
    <w:rsid w:val="00755DE7"/>
    <w:rsid w:val="00755F23"/>
    <w:rsid w:val="0075610F"/>
    <w:rsid w:val="00756129"/>
    <w:rsid w:val="0075613B"/>
    <w:rsid w:val="0075624B"/>
    <w:rsid w:val="007562E2"/>
    <w:rsid w:val="00756823"/>
    <w:rsid w:val="00756AAD"/>
    <w:rsid w:val="00756AB6"/>
    <w:rsid w:val="00756B0D"/>
    <w:rsid w:val="00756CD6"/>
    <w:rsid w:val="00756D36"/>
    <w:rsid w:val="00756EA4"/>
    <w:rsid w:val="00756F93"/>
    <w:rsid w:val="00757096"/>
    <w:rsid w:val="007571CB"/>
    <w:rsid w:val="00757239"/>
    <w:rsid w:val="0075742D"/>
    <w:rsid w:val="00757613"/>
    <w:rsid w:val="00757627"/>
    <w:rsid w:val="00757668"/>
    <w:rsid w:val="00757715"/>
    <w:rsid w:val="0075775A"/>
    <w:rsid w:val="007577E7"/>
    <w:rsid w:val="00757889"/>
    <w:rsid w:val="00757A9F"/>
    <w:rsid w:val="00757ACA"/>
    <w:rsid w:val="00757B67"/>
    <w:rsid w:val="00757BC7"/>
    <w:rsid w:val="00757C19"/>
    <w:rsid w:val="00757D40"/>
    <w:rsid w:val="00757D84"/>
    <w:rsid w:val="00757EE2"/>
    <w:rsid w:val="00757EE6"/>
    <w:rsid w:val="00757F1E"/>
    <w:rsid w:val="007600C0"/>
    <w:rsid w:val="007600C1"/>
    <w:rsid w:val="0076022C"/>
    <w:rsid w:val="00760356"/>
    <w:rsid w:val="007603CE"/>
    <w:rsid w:val="007604CA"/>
    <w:rsid w:val="00760637"/>
    <w:rsid w:val="00760992"/>
    <w:rsid w:val="00760AB8"/>
    <w:rsid w:val="00760CDB"/>
    <w:rsid w:val="00760DC8"/>
    <w:rsid w:val="00760E6F"/>
    <w:rsid w:val="00760EA8"/>
    <w:rsid w:val="00760EF2"/>
    <w:rsid w:val="00761007"/>
    <w:rsid w:val="00761079"/>
    <w:rsid w:val="00761091"/>
    <w:rsid w:val="0076137B"/>
    <w:rsid w:val="00761638"/>
    <w:rsid w:val="00761702"/>
    <w:rsid w:val="0076174E"/>
    <w:rsid w:val="007617DB"/>
    <w:rsid w:val="007618AB"/>
    <w:rsid w:val="0076194C"/>
    <w:rsid w:val="00761A52"/>
    <w:rsid w:val="00761AC0"/>
    <w:rsid w:val="00761AE0"/>
    <w:rsid w:val="00761BA5"/>
    <w:rsid w:val="00761CA7"/>
    <w:rsid w:val="00761D1A"/>
    <w:rsid w:val="00761E4D"/>
    <w:rsid w:val="00761F80"/>
    <w:rsid w:val="00761FAF"/>
    <w:rsid w:val="00761FD5"/>
    <w:rsid w:val="0076207F"/>
    <w:rsid w:val="00762174"/>
    <w:rsid w:val="0076232F"/>
    <w:rsid w:val="007623DB"/>
    <w:rsid w:val="0076242D"/>
    <w:rsid w:val="007625CE"/>
    <w:rsid w:val="00762681"/>
    <w:rsid w:val="00762701"/>
    <w:rsid w:val="007628C3"/>
    <w:rsid w:val="00762905"/>
    <w:rsid w:val="00762923"/>
    <w:rsid w:val="007629DC"/>
    <w:rsid w:val="00762A95"/>
    <w:rsid w:val="00762BFB"/>
    <w:rsid w:val="00762D40"/>
    <w:rsid w:val="00762EB1"/>
    <w:rsid w:val="00763058"/>
    <w:rsid w:val="00763164"/>
    <w:rsid w:val="007631D1"/>
    <w:rsid w:val="007631DB"/>
    <w:rsid w:val="007632F1"/>
    <w:rsid w:val="00763326"/>
    <w:rsid w:val="0076342F"/>
    <w:rsid w:val="00763455"/>
    <w:rsid w:val="007637B3"/>
    <w:rsid w:val="0076385C"/>
    <w:rsid w:val="007638D1"/>
    <w:rsid w:val="00763913"/>
    <w:rsid w:val="00763AAC"/>
    <w:rsid w:val="00763B43"/>
    <w:rsid w:val="00763DAD"/>
    <w:rsid w:val="00763E01"/>
    <w:rsid w:val="00763E4A"/>
    <w:rsid w:val="00764331"/>
    <w:rsid w:val="0076439C"/>
    <w:rsid w:val="007643E8"/>
    <w:rsid w:val="00764491"/>
    <w:rsid w:val="0076475D"/>
    <w:rsid w:val="007647DC"/>
    <w:rsid w:val="00764883"/>
    <w:rsid w:val="0076488D"/>
    <w:rsid w:val="007648C2"/>
    <w:rsid w:val="007648DE"/>
    <w:rsid w:val="007648FB"/>
    <w:rsid w:val="00764A11"/>
    <w:rsid w:val="00764A3C"/>
    <w:rsid w:val="00764D43"/>
    <w:rsid w:val="00764F2C"/>
    <w:rsid w:val="00765174"/>
    <w:rsid w:val="0076524E"/>
    <w:rsid w:val="00765270"/>
    <w:rsid w:val="00765340"/>
    <w:rsid w:val="007653B5"/>
    <w:rsid w:val="007653DD"/>
    <w:rsid w:val="00765406"/>
    <w:rsid w:val="00765524"/>
    <w:rsid w:val="007655BC"/>
    <w:rsid w:val="00765776"/>
    <w:rsid w:val="00765852"/>
    <w:rsid w:val="007658B6"/>
    <w:rsid w:val="007659D0"/>
    <w:rsid w:val="00765A7D"/>
    <w:rsid w:val="00765DD6"/>
    <w:rsid w:val="00766070"/>
    <w:rsid w:val="007661BC"/>
    <w:rsid w:val="00766278"/>
    <w:rsid w:val="007662F8"/>
    <w:rsid w:val="007664A2"/>
    <w:rsid w:val="007664B9"/>
    <w:rsid w:val="00766530"/>
    <w:rsid w:val="007665EF"/>
    <w:rsid w:val="00766617"/>
    <w:rsid w:val="0076661A"/>
    <w:rsid w:val="0076662F"/>
    <w:rsid w:val="007667A2"/>
    <w:rsid w:val="007667F6"/>
    <w:rsid w:val="00766800"/>
    <w:rsid w:val="00766963"/>
    <w:rsid w:val="007669C6"/>
    <w:rsid w:val="007669F0"/>
    <w:rsid w:val="00766A59"/>
    <w:rsid w:val="00766AA2"/>
    <w:rsid w:val="00766BE6"/>
    <w:rsid w:val="00766CE7"/>
    <w:rsid w:val="00766D38"/>
    <w:rsid w:val="00766DB4"/>
    <w:rsid w:val="00766EB4"/>
    <w:rsid w:val="00766EB7"/>
    <w:rsid w:val="00766EF3"/>
    <w:rsid w:val="00766F98"/>
    <w:rsid w:val="00766FAE"/>
    <w:rsid w:val="007671D0"/>
    <w:rsid w:val="0076740E"/>
    <w:rsid w:val="0076743E"/>
    <w:rsid w:val="00767494"/>
    <w:rsid w:val="007677AE"/>
    <w:rsid w:val="007677D0"/>
    <w:rsid w:val="0076780A"/>
    <w:rsid w:val="00767BDD"/>
    <w:rsid w:val="00767BF7"/>
    <w:rsid w:val="00767CDE"/>
    <w:rsid w:val="00767CE9"/>
    <w:rsid w:val="00767D5B"/>
    <w:rsid w:val="00767DD0"/>
    <w:rsid w:val="00767DF8"/>
    <w:rsid w:val="00767E59"/>
    <w:rsid w:val="007702A1"/>
    <w:rsid w:val="007702EA"/>
    <w:rsid w:val="00770358"/>
    <w:rsid w:val="00770655"/>
    <w:rsid w:val="007706B4"/>
    <w:rsid w:val="00770875"/>
    <w:rsid w:val="007708F9"/>
    <w:rsid w:val="00770922"/>
    <w:rsid w:val="00770ADC"/>
    <w:rsid w:val="00770BBB"/>
    <w:rsid w:val="00770D68"/>
    <w:rsid w:val="00770DF6"/>
    <w:rsid w:val="00770E54"/>
    <w:rsid w:val="007711E2"/>
    <w:rsid w:val="0077127C"/>
    <w:rsid w:val="0077129D"/>
    <w:rsid w:val="007712B9"/>
    <w:rsid w:val="007712F1"/>
    <w:rsid w:val="007712F7"/>
    <w:rsid w:val="00771322"/>
    <w:rsid w:val="00771560"/>
    <w:rsid w:val="007715F2"/>
    <w:rsid w:val="00771780"/>
    <w:rsid w:val="007717AB"/>
    <w:rsid w:val="007719C6"/>
    <w:rsid w:val="00771A0B"/>
    <w:rsid w:val="00771A63"/>
    <w:rsid w:val="00771AFB"/>
    <w:rsid w:val="00771B54"/>
    <w:rsid w:val="00771B62"/>
    <w:rsid w:val="00771BAF"/>
    <w:rsid w:val="00771C18"/>
    <w:rsid w:val="00771D65"/>
    <w:rsid w:val="00771DB5"/>
    <w:rsid w:val="00771E71"/>
    <w:rsid w:val="00771EFC"/>
    <w:rsid w:val="00771F31"/>
    <w:rsid w:val="00771F90"/>
    <w:rsid w:val="00772073"/>
    <w:rsid w:val="0077208E"/>
    <w:rsid w:val="00772542"/>
    <w:rsid w:val="00772644"/>
    <w:rsid w:val="00772848"/>
    <w:rsid w:val="0077289A"/>
    <w:rsid w:val="007728F3"/>
    <w:rsid w:val="00772A06"/>
    <w:rsid w:val="00772A33"/>
    <w:rsid w:val="00772AD0"/>
    <w:rsid w:val="00772F4D"/>
    <w:rsid w:val="007731DC"/>
    <w:rsid w:val="00773248"/>
    <w:rsid w:val="007732E8"/>
    <w:rsid w:val="007734C7"/>
    <w:rsid w:val="00773580"/>
    <w:rsid w:val="0077358A"/>
    <w:rsid w:val="00773605"/>
    <w:rsid w:val="00773729"/>
    <w:rsid w:val="00773770"/>
    <w:rsid w:val="00773794"/>
    <w:rsid w:val="00773804"/>
    <w:rsid w:val="007738CC"/>
    <w:rsid w:val="00773951"/>
    <w:rsid w:val="00773A57"/>
    <w:rsid w:val="00773BED"/>
    <w:rsid w:val="00773C69"/>
    <w:rsid w:val="00773C8C"/>
    <w:rsid w:val="00773D01"/>
    <w:rsid w:val="00773E7D"/>
    <w:rsid w:val="00773FBE"/>
    <w:rsid w:val="0077400F"/>
    <w:rsid w:val="007740C7"/>
    <w:rsid w:val="00774178"/>
    <w:rsid w:val="0077439A"/>
    <w:rsid w:val="007743DD"/>
    <w:rsid w:val="007744A4"/>
    <w:rsid w:val="0077458C"/>
    <w:rsid w:val="0077471A"/>
    <w:rsid w:val="00774858"/>
    <w:rsid w:val="00774867"/>
    <w:rsid w:val="007748D0"/>
    <w:rsid w:val="00774913"/>
    <w:rsid w:val="00774A6D"/>
    <w:rsid w:val="00774AAB"/>
    <w:rsid w:val="00774AC1"/>
    <w:rsid w:val="00774B65"/>
    <w:rsid w:val="00774C5B"/>
    <w:rsid w:val="00774DE7"/>
    <w:rsid w:val="00774E96"/>
    <w:rsid w:val="00774EA5"/>
    <w:rsid w:val="007750FF"/>
    <w:rsid w:val="00775201"/>
    <w:rsid w:val="0077536B"/>
    <w:rsid w:val="00775718"/>
    <w:rsid w:val="00775877"/>
    <w:rsid w:val="0077599A"/>
    <w:rsid w:val="00775A2F"/>
    <w:rsid w:val="00775B1A"/>
    <w:rsid w:val="00775BF1"/>
    <w:rsid w:val="00775D81"/>
    <w:rsid w:val="00775EA8"/>
    <w:rsid w:val="00775FB5"/>
    <w:rsid w:val="00775FB6"/>
    <w:rsid w:val="00775FE0"/>
    <w:rsid w:val="007761B5"/>
    <w:rsid w:val="007761E2"/>
    <w:rsid w:val="0077624C"/>
    <w:rsid w:val="007762C6"/>
    <w:rsid w:val="007763D4"/>
    <w:rsid w:val="007764BF"/>
    <w:rsid w:val="00776623"/>
    <w:rsid w:val="00776665"/>
    <w:rsid w:val="007766CF"/>
    <w:rsid w:val="007767A2"/>
    <w:rsid w:val="00776807"/>
    <w:rsid w:val="00776883"/>
    <w:rsid w:val="00776964"/>
    <w:rsid w:val="00776A32"/>
    <w:rsid w:val="00776A51"/>
    <w:rsid w:val="00776B50"/>
    <w:rsid w:val="00776C16"/>
    <w:rsid w:val="00776EAF"/>
    <w:rsid w:val="00776EB3"/>
    <w:rsid w:val="00777581"/>
    <w:rsid w:val="0077772B"/>
    <w:rsid w:val="007777A9"/>
    <w:rsid w:val="00777994"/>
    <w:rsid w:val="00777A1E"/>
    <w:rsid w:val="00777A58"/>
    <w:rsid w:val="00777BE9"/>
    <w:rsid w:val="00777D13"/>
    <w:rsid w:val="00777E5A"/>
    <w:rsid w:val="00777EC4"/>
    <w:rsid w:val="0078015A"/>
    <w:rsid w:val="0078015E"/>
    <w:rsid w:val="00780310"/>
    <w:rsid w:val="00780359"/>
    <w:rsid w:val="007803A9"/>
    <w:rsid w:val="00780472"/>
    <w:rsid w:val="00780557"/>
    <w:rsid w:val="00780698"/>
    <w:rsid w:val="00780821"/>
    <w:rsid w:val="00780866"/>
    <w:rsid w:val="00780913"/>
    <w:rsid w:val="00780AEE"/>
    <w:rsid w:val="00780BCD"/>
    <w:rsid w:val="00780BCE"/>
    <w:rsid w:val="00780C80"/>
    <w:rsid w:val="00781457"/>
    <w:rsid w:val="007814E2"/>
    <w:rsid w:val="0078154B"/>
    <w:rsid w:val="00781867"/>
    <w:rsid w:val="00781E1D"/>
    <w:rsid w:val="00781FE7"/>
    <w:rsid w:val="00782035"/>
    <w:rsid w:val="00782476"/>
    <w:rsid w:val="007824BB"/>
    <w:rsid w:val="00782687"/>
    <w:rsid w:val="007827CD"/>
    <w:rsid w:val="00782924"/>
    <w:rsid w:val="00782A58"/>
    <w:rsid w:val="00782A5F"/>
    <w:rsid w:val="00782ABE"/>
    <w:rsid w:val="00782CAA"/>
    <w:rsid w:val="00782EC8"/>
    <w:rsid w:val="00782EEF"/>
    <w:rsid w:val="00782F10"/>
    <w:rsid w:val="00782F32"/>
    <w:rsid w:val="00782FAA"/>
    <w:rsid w:val="007830E4"/>
    <w:rsid w:val="00783175"/>
    <w:rsid w:val="007831AF"/>
    <w:rsid w:val="007831B5"/>
    <w:rsid w:val="00783260"/>
    <w:rsid w:val="00783773"/>
    <w:rsid w:val="007838FD"/>
    <w:rsid w:val="00783959"/>
    <w:rsid w:val="00783ADB"/>
    <w:rsid w:val="00783B3A"/>
    <w:rsid w:val="00783D3B"/>
    <w:rsid w:val="00783E0C"/>
    <w:rsid w:val="00783F2E"/>
    <w:rsid w:val="00783F3D"/>
    <w:rsid w:val="00783F7D"/>
    <w:rsid w:val="00783FCB"/>
    <w:rsid w:val="007843A2"/>
    <w:rsid w:val="007845AF"/>
    <w:rsid w:val="007848E4"/>
    <w:rsid w:val="00784A00"/>
    <w:rsid w:val="00784A49"/>
    <w:rsid w:val="00784AA7"/>
    <w:rsid w:val="00784B32"/>
    <w:rsid w:val="00784B7E"/>
    <w:rsid w:val="00784BDE"/>
    <w:rsid w:val="00784E2A"/>
    <w:rsid w:val="00784EDC"/>
    <w:rsid w:val="00784FD2"/>
    <w:rsid w:val="00784FF9"/>
    <w:rsid w:val="007850F9"/>
    <w:rsid w:val="0078528B"/>
    <w:rsid w:val="00785449"/>
    <w:rsid w:val="00785598"/>
    <w:rsid w:val="007855EE"/>
    <w:rsid w:val="0078567B"/>
    <w:rsid w:val="00785937"/>
    <w:rsid w:val="00785A41"/>
    <w:rsid w:val="00785ABA"/>
    <w:rsid w:val="00785B2A"/>
    <w:rsid w:val="00785B43"/>
    <w:rsid w:val="00785CAB"/>
    <w:rsid w:val="00785CD1"/>
    <w:rsid w:val="00785E49"/>
    <w:rsid w:val="00785E52"/>
    <w:rsid w:val="00785F56"/>
    <w:rsid w:val="00785F9A"/>
    <w:rsid w:val="00786244"/>
    <w:rsid w:val="00786251"/>
    <w:rsid w:val="0078631E"/>
    <w:rsid w:val="00786604"/>
    <w:rsid w:val="00786638"/>
    <w:rsid w:val="00786777"/>
    <w:rsid w:val="00786786"/>
    <w:rsid w:val="007867FC"/>
    <w:rsid w:val="00786A76"/>
    <w:rsid w:val="00786A80"/>
    <w:rsid w:val="00786B82"/>
    <w:rsid w:val="00786C51"/>
    <w:rsid w:val="00786D13"/>
    <w:rsid w:val="00786D70"/>
    <w:rsid w:val="00786DB4"/>
    <w:rsid w:val="00786DCB"/>
    <w:rsid w:val="00786F39"/>
    <w:rsid w:val="00786F97"/>
    <w:rsid w:val="00786FD7"/>
    <w:rsid w:val="007870EA"/>
    <w:rsid w:val="0078722C"/>
    <w:rsid w:val="007872CF"/>
    <w:rsid w:val="007873B7"/>
    <w:rsid w:val="00787526"/>
    <w:rsid w:val="007879AD"/>
    <w:rsid w:val="007879CA"/>
    <w:rsid w:val="007879E8"/>
    <w:rsid w:val="00787A62"/>
    <w:rsid w:val="00787B94"/>
    <w:rsid w:val="00787CB9"/>
    <w:rsid w:val="00787CE0"/>
    <w:rsid w:val="00787ED8"/>
    <w:rsid w:val="00787F66"/>
    <w:rsid w:val="00787F75"/>
    <w:rsid w:val="0079027D"/>
    <w:rsid w:val="007902B2"/>
    <w:rsid w:val="007903FA"/>
    <w:rsid w:val="00790483"/>
    <w:rsid w:val="007904E5"/>
    <w:rsid w:val="00790602"/>
    <w:rsid w:val="00790810"/>
    <w:rsid w:val="00790C9B"/>
    <w:rsid w:val="00790F9E"/>
    <w:rsid w:val="00790FBA"/>
    <w:rsid w:val="00790FEA"/>
    <w:rsid w:val="0079107B"/>
    <w:rsid w:val="00791300"/>
    <w:rsid w:val="007913E8"/>
    <w:rsid w:val="0079141A"/>
    <w:rsid w:val="00791567"/>
    <w:rsid w:val="0079158A"/>
    <w:rsid w:val="007915CD"/>
    <w:rsid w:val="007917A8"/>
    <w:rsid w:val="007919C8"/>
    <w:rsid w:val="00791A55"/>
    <w:rsid w:val="00791A74"/>
    <w:rsid w:val="00791B47"/>
    <w:rsid w:val="00791C8E"/>
    <w:rsid w:val="00791CBD"/>
    <w:rsid w:val="00791CF2"/>
    <w:rsid w:val="00791D65"/>
    <w:rsid w:val="00791D6B"/>
    <w:rsid w:val="00791D89"/>
    <w:rsid w:val="00791ECB"/>
    <w:rsid w:val="00791F67"/>
    <w:rsid w:val="007921F9"/>
    <w:rsid w:val="007926ED"/>
    <w:rsid w:val="0079285F"/>
    <w:rsid w:val="0079297A"/>
    <w:rsid w:val="00792D05"/>
    <w:rsid w:val="00792D86"/>
    <w:rsid w:val="00792DD7"/>
    <w:rsid w:val="00792E99"/>
    <w:rsid w:val="00792EFF"/>
    <w:rsid w:val="00792FF0"/>
    <w:rsid w:val="00793029"/>
    <w:rsid w:val="0079306F"/>
    <w:rsid w:val="007930B9"/>
    <w:rsid w:val="00793142"/>
    <w:rsid w:val="007932DB"/>
    <w:rsid w:val="00793369"/>
    <w:rsid w:val="00793576"/>
    <w:rsid w:val="0079368D"/>
    <w:rsid w:val="00793700"/>
    <w:rsid w:val="00793803"/>
    <w:rsid w:val="00793805"/>
    <w:rsid w:val="00793871"/>
    <w:rsid w:val="007938F9"/>
    <w:rsid w:val="00793AD2"/>
    <w:rsid w:val="00793B01"/>
    <w:rsid w:val="00793BBB"/>
    <w:rsid w:val="00793BF6"/>
    <w:rsid w:val="00793DA8"/>
    <w:rsid w:val="00793E62"/>
    <w:rsid w:val="007940F7"/>
    <w:rsid w:val="00794401"/>
    <w:rsid w:val="00794654"/>
    <w:rsid w:val="00794668"/>
    <w:rsid w:val="00794747"/>
    <w:rsid w:val="0079485E"/>
    <w:rsid w:val="00794988"/>
    <w:rsid w:val="00794B21"/>
    <w:rsid w:val="00794C57"/>
    <w:rsid w:val="00794CF4"/>
    <w:rsid w:val="00794E49"/>
    <w:rsid w:val="00794E93"/>
    <w:rsid w:val="00794FC4"/>
    <w:rsid w:val="00795157"/>
    <w:rsid w:val="007951CB"/>
    <w:rsid w:val="0079527C"/>
    <w:rsid w:val="00795327"/>
    <w:rsid w:val="007953DB"/>
    <w:rsid w:val="007956D7"/>
    <w:rsid w:val="007959D0"/>
    <w:rsid w:val="007959DE"/>
    <w:rsid w:val="00795C39"/>
    <w:rsid w:val="00795C67"/>
    <w:rsid w:val="00795FF9"/>
    <w:rsid w:val="00796079"/>
    <w:rsid w:val="007961EE"/>
    <w:rsid w:val="007964BD"/>
    <w:rsid w:val="007965CA"/>
    <w:rsid w:val="00796706"/>
    <w:rsid w:val="007968BE"/>
    <w:rsid w:val="00796A0A"/>
    <w:rsid w:val="00796C30"/>
    <w:rsid w:val="00796C9C"/>
    <w:rsid w:val="00796D57"/>
    <w:rsid w:val="00796F57"/>
    <w:rsid w:val="00796FDD"/>
    <w:rsid w:val="0079712E"/>
    <w:rsid w:val="007971EC"/>
    <w:rsid w:val="007972B2"/>
    <w:rsid w:val="0079738E"/>
    <w:rsid w:val="007974C5"/>
    <w:rsid w:val="00797794"/>
    <w:rsid w:val="00797899"/>
    <w:rsid w:val="007979F8"/>
    <w:rsid w:val="00797ABB"/>
    <w:rsid w:val="00797B7B"/>
    <w:rsid w:val="00797C52"/>
    <w:rsid w:val="00797EA1"/>
    <w:rsid w:val="007A0004"/>
    <w:rsid w:val="007A012B"/>
    <w:rsid w:val="007A01CF"/>
    <w:rsid w:val="007A0276"/>
    <w:rsid w:val="007A034E"/>
    <w:rsid w:val="007A0353"/>
    <w:rsid w:val="007A0404"/>
    <w:rsid w:val="007A049B"/>
    <w:rsid w:val="007A0570"/>
    <w:rsid w:val="007A0576"/>
    <w:rsid w:val="007A0660"/>
    <w:rsid w:val="007A06CF"/>
    <w:rsid w:val="007A09BA"/>
    <w:rsid w:val="007A0AB8"/>
    <w:rsid w:val="007A0B91"/>
    <w:rsid w:val="007A0DC1"/>
    <w:rsid w:val="007A0DCD"/>
    <w:rsid w:val="007A0E54"/>
    <w:rsid w:val="007A0EAD"/>
    <w:rsid w:val="007A116A"/>
    <w:rsid w:val="007A1252"/>
    <w:rsid w:val="007A1454"/>
    <w:rsid w:val="007A14F9"/>
    <w:rsid w:val="007A150D"/>
    <w:rsid w:val="007A15AF"/>
    <w:rsid w:val="007A170C"/>
    <w:rsid w:val="007A177B"/>
    <w:rsid w:val="007A18C8"/>
    <w:rsid w:val="007A1AB1"/>
    <w:rsid w:val="007A1B06"/>
    <w:rsid w:val="007A1B68"/>
    <w:rsid w:val="007A1D30"/>
    <w:rsid w:val="007A1E7E"/>
    <w:rsid w:val="007A1EA2"/>
    <w:rsid w:val="007A1F09"/>
    <w:rsid w:val="007A1F16"/>
    <w:rsid w:val="007A1FE0"/>
    <w:rsid w:val="007A1FFE"/>
    <w:rsid w:val="007A220E"/>
    <w:rsid w:val="007A2223"/>
    <w:rsid w:val="007A2299"/>
    <w:rsid w:val="007A23A5"/>
    <w:rsid w:val="007A24E6"/>
    <w:rsid w:val="007A263D"/>
    <w:rsid w:val="007A2731"/>
    <w:rsid w:val="007A28DB"/>
    <w:rsid w:val="007A2AE9"/>
    <w:rsid w:val="007A2D16"/>
    <w:rsid w:val="007A2E54"/>
    <w:rsid w:val="007A2E85"/>
    <w:rsid w:val="007A2F81"/>
    <w:rsid w:val="007A3155"/>
    <w:rsid w:val="007A3194"/>
    <w:rsid w:val="007A31BC"/>
    <w:rsid w:val="007A3243"/>
    <w:rsid w:val="007A3297"/>
    <w:rsid w:val="007A3348"/>
    <w:rsid w:val="007A3372"/>
    <w:rsid w:val="007A3396"/>
    <w:rsid w:val="007A341C"/>
    <w:rsid w:val="007A3437"/>
    <w:rsid w:val="007A3486"/>
    <w:rsid w:val="007A34AE"/>
    <w:rsid w:val="007A36ED"/>
    <w:rsid w:val="007A37B6"/>
    <w:rsid w:val="007A37E2"/>
    <w:rsid w:val="007A3A03"/>
    <w:rsid w:val="007A3BF1"/>
    <w:rsid w:val="007A3C33"/>
    <w:rsid w:val="007A3C3A"/>
    <w:rsid w:val="007A3CFB"/>
    <w:rsid w:val="007A3D43"/>
    <w:rsid w:val="007A3E64"/>
    <w:rsid w:val="007A3EE6"/>
    <w:rsid w:val="007A4256"/>
    <w:rsid w:val="007A4512"/>
    <w:rsid w:val="007A49D8"/>
    <w:rsid w:val="007A4A02"/>
    <w:rsid w:val="007A4AB4"/>
    <w:rsid w:val="007A4B03"/>
    <w:rsid w:val="007A4DA0"/>
    <w:rsid w:val="007A50F9"/>
    <w:rsid w:val="007A51E7"/>
    <w:rsid w:val="007A5213"/>
    <w:rsid w:val="007A5311"/>
    <w:rsid w:val="007A541E"/>
    <w:rsid w:val="007A546B"/>
    <w:rsid w:val="007A54DA"/>
    <w:rsid w:val="007A5515"/>
    <w:rsid w:val="007A55EA"/>
    <w:rsid w:val="007A5683"/>
    <w:rsid w:val="007A576D"/>
    <w:rsid w:val="007A5A9B"/>
    <w:rsid w:val="007A5AC6"/>
    <w:rsid w:val="007A5C78"/>
    <w:rsid w:val="007A5CC7"/>
    <w:rsid w:val="007A5CD7"/>
    <w:rsid w:val="007A5CDD"/>
    <w:rsid w:val="007A5D1C"/>
    <w:rsid w:val="007A5E0C"/>
    <w:rsid w:val="007A5F7E"/>
    <w:rsid w:val="007A5FA5"/>
    <w:rsid w:val="007A6176"/>
    <w:rsid w:val="007A6270"/>
    <w:rsid w:val="007A62AA"/>
    <w:rsid w:val="007A62B4"/>
    <w:rsid w:val="007A62C7"/>
    <w:rsid w:val="007A62CC"/>
    <w:rsid w:val="007A62EC"/>
    <w:rsid w:val="007A6482"/>
    <w:rsid w:val="007A6575"/>
    <w:rsid w:val="007A6583"/>
    <w:rsid w:val="007A6622"/>
    <w:rsid w:val="007A678C"/>
    <w:rsid w:val="007A687C"/>
    <w:rsid w:val="007A6883"/>
    <w:rsid w:val="007A692C"/>
    <w:rsid w:val="007A6C4E"/>
    <w:rsid w:val="007A6D01"/>
    <w:rsid w:val="007A6ED5"/>
    <w:rsid w:val="007A70AE"/>
    <w:rsid w:val="007A737C"/>
    <w:rsid w:val="007A73DE"/>
    <w:rsid w:val="007A7624"/>
    <w:rsid w:val="007A7A5D"/>
    <w:rsid w:val="007A7A84"/>
    <w:rsid w:val="007A7B6B"/>
    <w:rsid w:val="007A7B6C"/>
    <w:rsid w:val="007A7BC5"/>
    <w:rsid w:val="007A7BCD"/>
    <w:rsid w:val="007A7D9C"/>
    <w:rsid w:val="007A7F35"/>
    <w:rsid w:val="007B00FC"/>
    <w:rsid w:val="007B01DF"/>
    <w:rsid w:val="007B0264"/>
    <w:rsid w:val="007B03FA"/>
    <w:rsid w:val="007B0407"/>
    <w:rsid w:val="007B06A0"/>
    <w:rsid w:val="007B06A5"/>
    <w:rsid w:val="007B06F1"/>
    <w:rsid w:val="007B07A5"/>
    <w:rsid w:val="007B0901"/>
    <w:rsid w:val="007B095F"/>
    <w:rsid w:val="007B09E5"/>
    <w:rsid w:val="007B0B12"/>
    <w:rsid w:val="007B0B7D"/>
    <w:rsid w:val="007B0C44"/>
    <w:rsid w:val="007B0CDE"/>
    <w:rsid w:val="007B0DDB"/>
    <w:rsid w:val="007B0F47"/>
    <w:rsid w:val="007B1030"/>
    <w:rsid w:val="007B1151"/>
    <w:rsid w:val="007B138F"/>
    <w:rsid w:val="007B14E6"/>
    <w:rsid w:val="007B169F"/>
    <w:rsid w:val="007B1753"/>
    <w:rsid w:val="007B18D3"/>
    <w:rsid w:val="007B18FE"/>
    <w:rsid w:val="007B1942"/>
    <w:rsid w:val="007B1AC0"/>
    <w:rsid w:val="007B1B09"/>
    <w:rsid w:val="007B1C82"/>
    <w:rsid w:val="007B1CEA"/>
    <w:rsid w:val="007B1DAE"/>
    <w:rsid w:val="007B1E3D"/>
    <w:rsid w:val="007B1E8E"/>
    <w:rsid w:val="007B1F88"/>
    <w:rsid w:val="007B1F90"/>
    <w:rsid w:val="007B1F9F"/>
    <w:rsid w:val="007B1FF2"/>
    <w:rsid w:val="007B2007"/>
    <w:rsid w:val="007B20C6"/>
    <w:rsid w:val="007B2125"/>
    <w:rsid w:val="007B2226"/>
    <w:rsid w:val="007B2234"/>
    <w:rsid w:val="007B228F"/>
    <w:rsid w:val="007B25B6"/>
    <w:rsid w:val="007B2684"/>
    <w:rsid w:val="007B26CC"/>
    <w:rsid w:val="007B29C0"/>
    <w:rsid w:val="007B2A6E"/>
    <w:rsid w:val="007B2AE6"/>
    <w:rsid w:val="007B2BC1"/>
    <w:rsid w:val="007B2C64"/>
    <w:rsid w:val="007B2F67"/>
    <w:rsid w:val="007B2F94"/>
    <w:rsid w:val="007B2FB8"/>
    <w:rsid w:val="007B30AA"/>
    <w:rsid w:val="007B32E1"/>
    <w:rsid w:val="007B32FA"/>
    <w:rsid w:val="007B3351"/>
    <w:rsid w:val="007B3369"/>
    <w:rsid w:val="007B33DD"/>
    <w:rsid w:val="007B3585"/>
    <w:rsid w:val="007B35F8"/>
    <w:rsid w:val="007B3617"/>
    <w:rsid w:val="007B374C"/>
    <w:rsid w:val="007B37AA"/>
    <w:rsid w:val="007B3855"/>
    <w:rsid w:val="007B3A47"/>
    <w:rsid w:val="007B3A5F"/>
    <w:rsid w:val="007B3AB8"/>
    <w:rsid w:val="007B3CE0"/>
    <w:rsid w:val="007B3E81"/>
    <w:rsid w:val="007B3F76"/>
    <w:rsid w:val="007B3FCF"/>
    <w:rsid w:val="007B424B"/>
    <w:rsid w:val="007B43F6"/>
    <w:rsid w:val="007B4449"/>
    <w:rsid w:val="007B4598"/>
    <w:rsid w:val="007B4604"/>
    <w:rsid w:val="007B462E"/>
    <w:rsid w:val="007B46DE"/>
    <w:rsid w:val="007B472D"/>
    <w:rsid w:val="007B47DA"/>
    <w:rsid w:val="007B47F1"/>
    <w:rsid w:val="007B4937"/>
    <w:rsid w:val="007B4A32"/>
    <w:rsid w:val="007B4BA2"/>
    <w:rsid w:val="007B4BB9"/>
    <w:rsid w:val="007B4BF5"/>
    <w:rsid w:val="007B4BFC"/>
    <w:rsid w:val="007B4C15"/>
    <w:rsid w:val="007B4D3B"/>
    <w:rsid w:val="007B4D9D"/>
    <w:rsid w:val="007B4E7B"/>
    <w:rsid w:val="007B4E91"/>
    <w:rsid w:val="007B4FFD"/>
    <w:rsid w:val="007B50AE"/>
    <w:rsid w:val="007B5205"/>
    <w:rsid w:val="007B527C"/>
    <w:rsid w:val="007B552F"/>
    <w:rsid w:val="007B5A1B"/>
    <w:rsid w:val="007B5ABE"/>
    <w:rsid w:val="007B5EC5"/>
    <w:rsid w:val="007B61AA"/>
    <w:rsid w:val="007B61DE"/>
    <w:rsid w:val="007B61FD"/>
    <w:rsid w:val="007B636E"/>
    <w:rsid w:val="007B64F0"/>
    <w:rsid w:val="007B65F9"/>
    <w:rsid w:val="007B67DF"/>
    <w:rsid w:val="007B6824"/>
    <w:rsid w:val="007B687B"/>
    <w:rsid w:val="007B6B9D"/>
    <w:rsid w:val="007B6D24"/>
    <w:rsid w:val="007B6E8E"/>
    <w:rsid w:val="007B6EE3"/>
    <w:rsid w:val="007B7060"/>
    <w:rsid w:val="007B7183"/>
    <w:rsid w:val="007B721C"/>
    <w:rsid w:val="007B741B"/>
    <w:rsid w:val="007B745C"/>
    <w:rsid w:val="007B74AC"/>
    <w:rsid w:val="007B751A"/>
    <w:rsid w:val="007B76A7"/>
    <w:rsid w:val="007B7760"/>
    <w:rsid w:val="007B780E"/>
    <w:rsid w:val="007B7837"/>
    <w:rsid w:val="007B78BB"/>
    <w:rsid w:val="007B793B"/>
    <w:rsid w:val="007B7A18"/>
    <w:rsid w:val="007B7A3B"/>
    <w:rsid w:val="007B7A97"/>
    <w:rsid w:val="007B7A99"/>
    <w:rsid w:val="007B7A9B"/>
    <w:rsid w:val="007B7C62"/>
    <w:rsid w:val="007B7EBB"/>
    <w:rsid w:val="007B7EC6"/>
    <w:rsid w:val="007C02E4"/>
    <w:rsid w:val="007C0367"/>
    <w:rsid w:val="007C038F"/>
    <w:rsid w:val="007C046E"/>
    <w:rsid w:val="007C05E8"/>
    <w:rsid w:val="007C0633"/>
    <w:rsid w:val="007C07C2"/>
    <w:rsid w:val="007C08C0"/>
    <w:rsid w:val="007C09E8"/>
    <w:rsid w:val="007C0C41"/>
    <w:rsid w:val="007C0F10"/>
    <w:rsid w:val="007C1175"/>
    <w:rsid w:val="007C131F"/>
    <w:rsid w:val="007C142D"/>
    <w:rsid w:val="007C1681"/>
    <w:rsid w:val="007C1690"/>
    <w:rsid w:val="007C17E8"/>
    <w:rsid w:val="007C197E"/>
    <w:rsid w:val="007C1A99"/>
    <w:rsid w:val="007C1B42"/>
    <w:rsid w:val="007C1CD2"/>
    <w:rsid w:val="007C1D43"/>
    <w:rsid w:val="007C1E2D"/>
    <w:rsid w:val="007C1E43"/>
    <w:rsid w:val="007C1E4E"/>
    <w:rsid w:val="007C1E92"/>
    <w:rsid w:val="007C239C"/>
    <w:rsid w:val="007C2401"/>
    <w:rsid w:val="007C2539"/>
    <w:rsid w:val="007C2667"/>
    <w:rsid w:val="007C26FC"/>
    <w:rsid w:val="007C2802"/>
    <w:rsid w:val="007C28B3"/>
    <w:rsid w:val="007C28F8"/>
    <w:rsid w:val="007C2C88"/>
    <w:rsid w:val="007C2D60"/>
    <w:rsid w:val="007C2DC4"/>
    <w:rsid w:val="007C2E28"/>
    <w:rsid w:val="007C30F5"/>
    <w:rsid w:val="007C3218"/>
    <w:rsid w:val="007C323F"/>
    <w:rsid w:val="007C32E6"/>
    <w:rsid w:val="007C3511"/>
    <w:rsid w:val="007C353A"/>
    <w:rsid w:val="007C3611"/>
    <w:rsid w:val="007C3742"/>
    <w:rsid w:val="007C39A2"/>
    <w:rsid w:val="007C3A92"/>
    <w:rsid w:val="007C3B95"/>
    <w:rsid w:val="007C3CF5"/>
    <w:rsid w:val="007C4040"/>
    <w:rsid w:val="007C4087"/>
    <w:rsid w:val="007C40EE"/>
    <w:rsid w:val="007C4173"/>
    <w:rsid w:val="007C43B1"/>
    <w:rsid w:val="007C43CD"/>
    <w:rsid w:val="007C44B5"/>
    <w:rsid w:val="007C4709"/>
    <w:rsid w:val="007C485E"/>
    <w:rsid w:val="007C49C1"/>
    <w:rsid w:val="007C4AFE"/>
    <w:rsid w:val="007C4C40"/>
    <w:rsid w:val="007C4C8B"/>
    <w:rsid w:val="007C4E45"/>
    <w:rsid w:val="007C4F3E"/>
    <w:rsid w:val="007C51CE"/>
    <w:rsid w:val="007C5354"/>
    <w:rsid w:val="007C53F9"/>
    <w:rsid w:val="007C549D"/>
    <w:rsid w:val="007C562A"/>
    <w:rsid w:val="007C56DC"/>
    <w:rsid w:val="007C5982"/>
    <w:rsid w:val="007C5B08"/>
    <w:rsid w:val="007C5C86"/>
    <w:rsid w:val="007C5E2D"/>
    <w:rsid w:val="007C5F4B"/>
    <w:rsid w:val="007C6074"/>
    <w:rsid w:val="007C60F6"/>
    <w:rsid w:val="007C6128"/>
    <w:rsid w:val="007C6197"/>
    <w:rsid w:val="007C62F2"/>
    <w:rsid w:val="007C6409"/>
    <w:rsid w:val="007C6583"/>
    <w:rsid w:val="007C65A0"/>
    <w:rsid w:val="007C660D"/>
    <w:rsid w:val="007C6884"/>
    <w:rsid w:val="007C6AFD"/>
    <w:rsid w:val="007C6B24"/>
    <w:rsid w:val="007C6CF6"/>
    <w:rsid w:val="007C6E7C"/>
    <w:rsid w:val="007C6F38"/>
    <w:rsid w:val="007C70F5"/>
    <w:rsid w:val="007C7152"/>
    <w:rsid w:val="007C7751"/>
    <w:rsid w:val="007C7923"/>
    <w:rsid w:val="007D0172"/>
    <w:rsid w:val="007D0620"/>
    <w:rsid w:val="007D0743"/>
    <w:rsid w:val="007D08C6"/>
    <w:rsid w:val="007D092C"/>
    <w:rsid w:val="007D0A98"/>
    <w:rsid w:val="007D0D15"/>
    <w:rsid w:val="007D0D2F"/>
    <w:rsid w:val="007D0E80"/>
    <w:rsid w:val="007D1231"/>
    <w:rsid w:val="007D1578"/>
    <w:rsid w:val="007D1683"/>
    <w:rsid w:val="007D16C6"/>
    <w:rsid w:val="007D1E9A"/>
    <w:rsid w:val="007D1EDC"/>
    <w:rsid w:val="007D1F80"/>
    <w:rsid w:val="007D1FC9"/>
    <w:rsid w:val="007D2074"/>
    <w:rsid w:val="007D2145"/>
    <w:rsid w:val="007D2343"/>
    <w:rsid w:val="007D24B7"/>
    <w:rsid w:val="007D2577"/>
    <w:rsid w:val="007D25FB"/>
    <w:rsid w:val="007D2926"/>
    <w:rsid w:val="007D2B9F"/>
    <w:rsid w:val="007D2BA3"/>
    <w:rsid w:val="007D2C65"/>
    <w:rsid w:val="007D2D64"/>
    <w:rsid w:val="007D2D93"/>
    <w:rsid w:val="007D2FE8"/>
    <w:rsid w:val="007D303E"/>
    <w:rsid w:val="007D32A2"/>
    <w:rsid w:val="007D35C7"/>
    <w:rsid w:val="007D3924"/>
    <w:rsid w:val="007D39A8"/>
    <w:rsid w:val="007D39E8"/>
    <w:rsid w:val="007D3AC4"/>
    <w:rsid w:val="007D3AEC"/>
    <w:rsid w:val="007D3C05"/>
    <w:rsid w:val="007D3C58"/>
    <w:rsid w:val="007D3D1E"/>
    <w:rsid w:val="007D3E8B"/>
    <w:rsid w:val="007D3EE9"/>
    <w:rsid w:val="007D4021"/>
    <w:rsid w:val="007D4193"/>
    <w:rsid w:val="007D4221"/>
    <w:rsid w:val="007D426E"/>
    <w:rsid w:val="007D4276"/>
    <w:rsid w:val="007D4510"/>
    <w:rsid w:val="007D4618"/>
    <w:rsid w:val="007D4690"/>
    <w:rsid w:val="007D4691"/>
    <w:rsid w:val="007D4781"/>
    <w:rsid w:val="007D4825"/>
    <w:rsid w:val="007D499F"/>
    <w:rsid w:val="007D49F9"/>
    <w:rsid w:val="007D4AE7"/>
    <w:rsid w:val="007D4B55"/>
    <w:rsid w:val="007D4CF1"/>
    <w:rsid w:val="007D4F97"/>
    <w:rsid w:val="007D5069"/>
    <w:rsid w:val="007D50B4"/>
    <w:rsid w:val="007D5124"/>
    <w:rsid w:val="007D5172"/>
    <w:rsid w:val="007D5235"/>
    <w:rsid w:val="007D5401"/>
    <w:rsid w:val="007D5717"/>
    <w:rsid w:val="007D574B"/>
    <w:rsid w:val="007D59D4"/>
    <w:rsid w:val="007D5D1F"/>
    <w:rsid w:val="007D5DFD"/>
    <w:rsid w:val="007D6221"/>
    <w:rsid w:val="007D62A1"/>
    <w:rsid w:val="007D635E"/>
    <w:rsid w:val="007D6629"/>
    <w:rsid w:val="007D664D"/>
    <w:rsid w:val="007D68ED"/>
    <w:rsid w:val="007D6975"/>
    <w:rsid w:val="007D6E32"/>
    <w:rsid w:val="007D6E57"/>
    <w:rsid w:val="007D6F90"/>
    <w:rsid w:val="007D6FFC"/>
    <w:rsid w:val="007D7350"/>
    <w:rsid w:val="007D7387"/>
    <w:rsid w:val="007D73A6"/>
    <w:rsid w:val="007D74B5"/>
    <w:rsid w:val="007D7805"/>
    <w:rsid w:val="007D7811"/>
    <w:rsid w:val="007D787B"/>
    <w:rsid w:val="007D790D"/>
    <w:rsid w:val="007D797E"/>
    <w:rsid w:val="007D7A33"/>
    <w:rsid w:val="007D7B14"/>
    <w:rsid w:val="007D7C82"/>
    <w:rsid w:val="007D7E20"/>
    <w:rsid w:val="007D7F13"/>
    <w:rsid w:val="007E00AC"/>
    <w:rsid w:val="007E025E"/>
    <w:rsid w:val="007E04C1"/>
    <w:rsid w:val="007E0504"/>
    <w:rsid w:val="007E0628"/>
    <w:rsid w:val="007E0662"/>
    <w:rsid w:val="007E0907"/>
    <w:rsid w:val="007E0BA4"/>
    <w:rsid w:val="007E0C8A"/>
    <w:rsid w:val="007E0D1B"/>
    <w:rsid w:val="007E0F2D"/>
    <w:rsid w:val="007E0F2F"/>
    <w:rsid w:val="007E1097"/>
    <w:rsid w:val="007E10E5"/>
    <w:rsid w:val="007E12BE"/>
    <w:rsid w:val="007E1346"/>
    <w:rsid w:val="007E149B"/>
    <w:rsid w:val="007E15EE"/>
    <w:rsid w:val="007E170E"/>
    <w:rsid w:val="007E18F6"/>
    <w:rsid w:val="007E192D"/>
    <w:rsid w:val="007E1A4B"/>
    <w:rsid w:val="007E1B79"/>
    <w:rsid w:val="007E1D74"/>
    <w:rsid w:val="007E1DC3"/>
    <w:rsid w:val="007E1DDC"/>
    <w:rsid w:val="007E1EC5"/>
    <w:rsid w:val="007E1F99"/>
    <w:rsid w:val="007E1FE4"/>
    <w:rsid w:val="007E20DB"/>
    <w:rsid w:val="007E20F7"/>
    <w:rsid w:val="007E2220"/>
    <w:rsid w:val="007E2278"/>
    <w:rsid w:val="007E2345"/>
    <w:rsid w:val="007E23A0"/>
    <w:rsid w:val="007E2895"/>
    <w:rsid w:val="007E29C1"/>
    <w:rsid w:val="007E2B51"/>
    <w:rsid w:val="007E2D82"/>
    <w:rsid w:val="007E2F56"/>
    <w:rsid w:val="007E2FCD"/>
    <w:rsid w:val="007E2FD6"/>
    <w:rsid w:val="007E2FD7"/>
    <w:rsid w:val="007E31CD"/>
    <w:rsid w:val="007E3204"/>
    <w:rsid w:val="007E3300"/>
    <w:rsid w:val="007E336E"/>
    <w:rsid w:val="007E33F3"/>
    <w:rsid w:val="007E36FF"/>
    <w:rsid w:val="007E37AD"/>
    <w:rsid w:val="007E37F2"/>
    <w:rsid w:val="007E3AFD"/>
    <w:rsid w:val="007E3B10"/>
    <w:rsid w:val="007E3C32"/>
    <w:rsid w:val="007E3CDD"/>
    <w:rsid w:val="007E3D08"/>
    <w:rsid w:val="007E3D3C"/>
    <w:rsid w:val="007E3EC7"/>
    <w:rsid w:val="007E3FDA"/>
    <w:rsid w:val="007E425D"/>
    <w:rsid w:val="007E433B"/>
    <w:rsid w:val="007E46B1"/>
    <w:rsid w:val="007E47FD"/>
    <w:rsid w:val="007E4831"/>
    <w:rsid w:val="007E489C"/>
    <w:rsid w:val="007E48DA"/>
    <w:rsid w:val="007E49D7"/>
    <w:rsid w:val="007E4ACB"/>
    <w:rsid w:val="007E5001"/>
    <w:rsid w:val="007E5044"/>
    <w:rsid w:val="007E52BF"/>
    <w:rsid w:val="007E52CE"/>
    <w:rsid w:val="007E5428"/>
    <w:rsid w:val="007E545A"/>
    <w:rsid w:val="007E5461"/>
    <w:rsid w:val="007E54A6"/>
    <w:rsid w:val="007E5505"/>
    <w:rsid w:val="007E56FE"/>
    <w:rsid w:val="007E57C2"/>
    <w:rsid w:val="007E5804"/>
    <w:rsid w:val="007E58F6"/>
    <w:rsid w:val="007E5B71"/>
    <w:rsid w:val="007E5D2B"/>
    <w:rsid w:val="007E60E8"/>
    <w:rsid w:val="007E6166"/>
    <w:rsid w:val="007E643C"/>
    <w:rsid w:val="007E6501"/>
    <w:rsid w:val="007E6914"/>
    <w:rsid w:val="007E6A35"/>
    <w:rsid w:val="007E6C72"/>
    <w:rsid w:val="007E6DE5"/>
    <w:rsid w:val="007E6E2A"/>
    <w:rsid w:val="007E6E30"/>
    <w:rsid w:val="007E6E91"/>
    <w:rsid w:val="007E6EFD"/>
    <w:rsid w:val="007E6F66"/>
    <w:rsid w:val="007E7085"/>
    <w:rsid w:val="007E7174"/>
    <w:rsid w:val="007E7199"/>
    <w:rsid w:val="007E71B1"/>
    <w:rsid w:val="007E723F"/>
    <w:rsid w:val="007E738C"/>
    <w:rsid w:val="007E741A"/>
    <w:rsid w:val="007E7482"/>
    <w:rsid w:val="007E756D"/>
    <w:rsid w:val="007E75CA"/>
    <w:rsid w:val="007E778C"/>
    <w:rsid w:val="007E782E"/>
    <w:rsid w:val="007E7A2A"/>
    <w:rsid w:val="007E7B0C"/>
    <w:rsid w:val="007E7B42"/>
    <w:rsid w:val="007E7E60"/>
    <w:rsid w:val="007F0046"/>
    <w:rsid w:val="007F0234"/>
    <w:rsid w:val="007F0249"/>
    <w:rsid w:val="007F027D"/>
    <w:rsid w:val="007F03F5"/>
    <w:rsid w:val="007F0405"/>
    <w:rsid w:val="007F0414"/>
    <w:rsid w:val="007F04B6"/>
    <w:rsid w:val="007F06BC"/>
    <w:rsid w:val="007F077D"/>
    <w:rsid w:val="007F087C"/>
    <w:rsid w:val="007F093E"/>
    <w:rsid w:val="007F0AD1"/>
    <w:rsid w:val="007F0B36"/>
    <w:rsid w:val="007F0BDF"/>
    <w:rsid w:val="007F0BF7"/>
    <w:rsid w:val="007F0BFB"/>
    <w:rsid w:val="007F0D1A"/>
    <w:rsid w:val="007F0D1E"/>
    <w:rsid w:val="007F104F"/>
    <w:rsid w:val="007F1078"/>
    <w:rsid w:val="007F10D7"/>
    <w:rsid w:val="007F1170"/>
    <w:rsid w:val="007F1228"/>
    <w:rsid w:val="007F13CF"/>
    <w:rsid w:val="007F13FC"/>
    <w:rsid w:val="007F143B"/>
    <w:rsid w:val="007F1646"/>
    <w:rsid w:val="007F1656"/>
    <w:rsid w:val="007F17CD"/>
    <w:rsid w:val="007F188B"/>
    <w:rsid w:val="007F18FB"/>
    <w:rsid w:val="007F1E97"/>
    <w:rsid w:val="007F1EAD"/>
    <w:rsid w:val="007F2194"/>
    <w:rsid w:val="007F21DC"/>
    <w:rsid w:val="007F2293"/>
    <w:rsid w:val="007F2405"/>
    <w:rsid w:val="007F266F"/>
    <w:rsid w:val="007F26CF"/>
    <w:rsid w:val="007F2747"/>
    <w:rsid w:val="007F27DF"/>
    <w:rsid w:val="007F2817"/>
    <w:rsid w:val="007F28D0"/>
    <w:rsid w:val="007F2C1C"/>
    <w:rsid w:val="007F2DA3"/>
    <w:rsid w:val="007F2E74"/>
    <w:rsid w:val="007F2F33"/>
    <w:rsid w:val="007F301E"/>
    <w:rsid w:val="007F31D9"/>
    <w:rsid w:val="007F3240"/>
    <w:rsid w:val="007F3256"/>
    <w:rsid w:val="007F32E4"/>
    <w:rsid w:val="007F3383"/>
    <w:rsid w:val="007F357F"/>
    <w:rsid w:val="007F3686"/>
    <w:rsid w:val="007F36CC"/>
    <w:rsid w:val="007F37A5"/>
    <w:rsid w:val="007F3808"/>
    <w:rsid w:val="007F3943"/>
    <w:rsid w:val="007F3A7C"/>
    <w:rsid w:val="007F3C0F"/>
    <w:rsid w:val="007F3E50"/>
    <w:rsid w:val="007F3F5B"/>
    <w:rsid w:val="007F3FC3"/>
    <w:rsid w:val="007F435D"/>
    <w:rsid w:val="007F4401"/>
    <w:rsid w:val="007F44B1"/>
    <w:rsid w:val="007F44FD"/>
    <w:rsid w:val="007F45A3"/>
    <w:rsid w:val="007F473D"/>
    <w:rsid w:val="007F47B4"/>
    <w:rsid w:val="007F4851"/>
    <w:rsid w:val="007F48EA"/>
    <w:rsid w:val="007F491B"/>
    <w:rsid w:val="007F4A50"/>
    <w:rsid w:val="007F50DC"/>
    <w:rsid w:val="007F50FF"/>
    <w:rsid w:val="007F52C2"/>
    <w:rsid w:val="007F5368"/>
    <w:rsid w:val="007F5391"/>
    <w:rsid w:val="007F54A0"/>
    <w:rsid w:val="007F55B0"/>
    <w:rsid w:val="007F57DD"/>
    <w:rsid w:val="007F5997"/>
    <w:rsid w:val="007F5B54"/>
    <w:rsid w:val="007F5B70"/>
    <w:rsid w:val="007F5B8E"/>
    <w:rsid w:val="007F5B97"/>
    <w:rsid w:val="007F5BFB"/>
    <w:rsid w:val="007F5DAE"/>
    <w:rsid w:val="007F60C1"/>
    <w:rsid w:val="007F61B5"/>
    <w:rsid w:val="007F61E5"/>
    <w:rsid w:val="007F62C4"/>
    <w:rsid w:val="007F63B4"/>
    <w:rsid w:val="007F63E3"/>
    <w:rsid w:val="007F643A"/>
    <w:rsid w:val="007F64F2"/>
    <w:rsid w:val="007F6514"/>
    <w:rsid w:val="007F667B"/>
    <w:rsid w:val="007F68AC"/>
    <w:rsid w:val="007F6A27"/>
    <w:rsid w:val="007F6C2A"/>
    <w:rsid w:val="007F6D3B"/>
    <w:rsid w:val="007F6D7D"/>
    <w:rsid w:val="007F6E71"/>
    <w:rsid w:val="007F6EBD"/>
    <w:rsid w:val="007F6ED3"/>
    <w:rsid w:val="007F6F0D"/>
    <w:rsid w:val="007F6F74"/>
    <w:rsid w:val="007F6FE3"/>
    <w:rsid w:val="007F6FFE"/>
    <w:rsid w:val="007F70FB"/>
    <w:rsid w:val="007F7332"/>
    <w:rsid w:val="007F7401"/>
    <w:rsid w:val="007F7419"/>
    <w:rsid w:val="007F741E"/>
    <w:rsid w:val="007F74D3"/>
    <w:rsid w:val="007F74EE"/>
    <w:rsid w:val="007F797E"/>
    <w:rsid w:val="007F7D24"/>
    <w:rsid w:val="007F7E16"/>
    <w:rsid w:val="007F7E83"/>
    <w:rsid w:val="007F7F59"/>
    <w:rsid w:val="0080003E"/>
    <w:rsid w:val="00800362"/>
    <w:rsid w:val="00800398"/>
    <w:rsid w:val="00800750"/>
    <w:rsid w:val="00800D72"/>
    <w:rsid w:val="00800DC3"/>
    <w:rsid w:val="00800E65"/>
    <w:rsid w:val="00800F2B"/>
    <w:rsid w:val="00800FB3"/>
    <w:rsid w:val="00800FF2"/>
    <w:rsid w:val="008010EC"/>
    <w:rsid w:val="008010F8"/>
    <w:rsid w:val="00801204"/>
    <w:rsid w:val="00801390"/>
    <w:rsid w:val="00801469"/>
    <w:rsid w:val="00801529"/>
    <w:rsid w:val="008015A5"/>
    <w:rsid w:val="0080167C"/>
    <w:rsid w:val="008016D9"/>
    <w:rsid w:val="00801784"/>
    <w:rsid w:val="008017F8"/>
    <w:rsid w:val="008018D8"/>
    <w:rsid w:val="008019A2"/>
    <w:rsid w:val="00801AC7"/>
    <w:rsid w:val="00801C6E"/>
    <w:rsid w:val="00801E55"/>
    <w:rsid w:val="00801F3D"/>
    <w:rsid w:val="00801FFC"/>
    <w:rsid w:val="00802158"/>
    <w:rsid w:val="00802220"/>
    <w:rsid w:val="0080222A"/>
    <w:rsid w:val="008023B9"/>
    <w:rsid w:val="008023D0"/>
    <w:rsid w:val="008023DA"/>
    <w:rsid w:val="008025A0"/>
    <w:rsid w:val="008025A7"/>
    <w:rsid w:val="00802850"/>
    <w:rsid w:val="00802900"/>
    <w:rsid w:val="00802AB1"/>
    <w:rsid w:val="00802B63"/>
    <w:rsid w:val="008030E3"/>
    <w:rsid w:val="008030ED"/>
    <w:rsid w:val="0080310F"/>
    <w:rsid w:val="00803115"/>
    <w:rsid w:val="00803360"/>
    <w:rsid w:val="00803577"/>
    <w:rsid w:val="008036B6"/>
    <w:rsid w:val="0080377F"/>
    <w:rsid w:val="00803938"/>
    <w:rsid w:val="00803E47"/>
    <w:rsid w:val="00803F58"/>
    <w:rsid w:val="0080419A"/>
    <w:rsid w:val="008041AF"/>
    <w:rsid w:val="0080431A"/>
    <w:rsid w:val="008043A9"/>
    <w:rsid w:val="0080449B"/>
    <w:rsid w:val="00804520"/>
    <w:rsid w:val="008045A1"/>
    <w:rsid w:val="008045EC"/>
    <w:rsid w:val="00804740"/>
    <w:rsid w:val="0080491E"/>
    <w:rsid w:val="00804C7C"/>
    <w:rsid w:val="00804CDD"/>
    <w:rsid w:val="00804DBB"/>
    <w:rsid w:val="00804E95"/>
    <w:rsid w:val="00805393"/>
    <w:rsid w:val="008056D8"/>
    <w:rsid w:val="0080597B"/>
    <w:rsid w:val="00805A16"/>
    <w:rsid w:val="00805C06"/>
    <w:rsid w:val="00805C98"/>
    <w:rsid w:val="00805D08"/>
    <w:rsid w:val="00805E2D"/>
    <w:rsid w:val="00805EFF"/>
    <w:rsid w:val="00805F23"/>
    <w:rsid w:val="0080619D"/>
    <w:rsid w:val="008064B1"/>
    <w:rsid w:val="00806592"/>
    <w:rsid w:val="00806665"/>
    <w:rsid w:val="00806C59"/>
    <w:rsid w:val="00806E80"/>
    <w:rsid w:val="00807075"/>
    <w:rsid w:val="008071EA"/>
    <w:rsid w:val="00807572"/>
    <w:rsid w:val="008078AD"/>
    <w:rsid w:val="00807993"/>
    <w:rsid w:val="008079AB"/>
    <w:rsid w:val="00807ABB"/>
    <w:rsid w:val="00807B3F"/>
    <w:rsid w:val="00807BD0"/>
    <w:rsid w:val="00807CEB"/>
    <w:rsid w:val="00810374"/>
    <w:rsid w:val="00810385"/>
    <w:rsid w:val="00810545"/>
    <w:rsid w:val="008106BE"/>
    <w:rsid w:val="00810890"/>
    <w:rsid w:val="00810937"/>
    <w:rsid w:val="0081094F"/>
    <w:rsid w:val="00810A63"/>
    <w:rsid w:val="00810A8D"/>
    <w:rsid w:val="00810ABC"/>
    <w:rsid w:val="00810ADD"/>
    <w:rsid w:val="00810AE8"/>
    <w:rsid w:val="00810B62"/>
    <w:rsid w:val="00810D41"/>
    <w:rsid w:val="00810D5A"/>
    <w:rsid w:val="00810DD7"/>
    <w:rsid w:val="00810E40"/>
    <w:rsid w:val="00810F80"/>
    <w:rsid w:val="008111C2"/>
    <w:rsid w:val="008113EE"/>
    <w:rsid w:val="00811411"/>
    <w:rsid w:val="008115F5"/>
    <w:rsid w:val="0081181D"/>
    <w:rsid w:val="0081183F"/>
    <w:rsid w:val="008119BA"/>
    <w:rsid w:val="00811D57"/>
    <w:rsid w:val="00812126"/>
    <w:rsid w:val="00812131"/>
    <w:rsid w:val="00812193"/>
    <w:rsid w:val="00812201"/>
    <w:rsid w:val="0081220E"/>
    <w:rsid w:val="00812345"/>
    <w:rsid w:val="0081239F"/>
    <w:rsid w:val="00812588"/>
    <w:rsid w:val="00812678"/>
    <w:rsid w:val="0081284A"/>
    <w:rsid w:val="008128D9"/>
    <w:rsid w:val="00812A35"/>
    <w:rsid w:val="00812A64"/>
    <w:rsid w:val="00812BF5"/>
    <w:rsid w:val="00812C18"/>
    <w:rsid w:val="00812CD6"/>
    <w:rsid w:val="00812DA7"/>
    <w:rsid w:val="00812F76"/>
    <w:rsid w:val="00813091"/>
    <w:rsid w:val="0081316A"/>
    <w:rsid w:val="00813198"/>
    <w:rsid w:val="008131BB"/>
    <w:rsid w:val="00813439"/>
    <w:rsid w:val="008134C8"/>
    <w:rsid w:val="00813967"/>
    <w:rsid w:val="00813C51"/>
    <w:rsid w:val="00813E94"/>
    <w:rsid w:val="00814060"/>
    <w:rsid w:val="0081408F"/>
    <w:rsid w:val="00814132"/>
    <w:rsid w:val="008141EC"/>
    <w:rsid w:val="00814455"/>
    <w:rsid w:val="0081448E"/>
    <w:rsid w:val="00814495"/>
    <w:rsid w:val="00814540"/>
    <w:rsid w:val="008147CA"/>
    <w:rsid w:val="00814842"/>
    <w:rsid w:val="00814AAB"/>
    <w:rsid w:val="00814B64"/>
    <w:rsid w:val="00814C14"/>
    <w:rsid w:val="00814E11"/>
    <w:rsid w:val="00814ED9"/>
    <w:rsid w:val="00814EE2"/>
    <w:rsid w:val="00814EF6"/>
    <w:rsid w:val="00815003"/>
    <w:rsid w:val="00815013"/>
    <w:rsid w:val="0081516C"/>
    <w:rsid w:val="00815202"/>
    <w:rsid w:val="0081539C"/>
    <w:rsid w:val="008153F9"/>
    <w:rsid w:val="008155B0"/>
    <w:rsid w:val="008156E0"/>
    <w:rsid w:val="0081570F"/>
    <w:rsid w:val="0081572A"/>
    <w:rsid w:val="00815883"/>
    <w:rsid w:val="00815AB7"/>
    <w:rsid w:val="00815AE4"/>
    <w:rsid w:val="00815B17"/>
    <w:rsid w:val="00815B3F"/>
    <w:rsid w:val="00815B6B"/>
    <w:rsid w:val="00815BF1"/>
    <w:rsid w:val="00815CCD"/>
    <w:rsid w:val="00815DDE"/>
    <w:rsid w:val="00815F87"/>
    <w:rsid w:val="00815FA3"/>
    <w:rsid w:val="00816066"/>
    <w:rsid w:val="0081630E"/>
    <w:rsid w:val="00816339"/>
    <w:rsid w:val="00816557"/>
    <w:rsid w:val="00816570"/>
    <w:rsid w:val="00816586"/>
    <w:rsid w:val="008165C9"/>
    <w:rsid w:val="00816643"/>
    <w:rsid w:val="00816680"/>
    <w:rsid w:val="00816A76"/>
    <w:rsid w:val="00816A88"/>
    <w:rsid w:val="00816AE6"/>
    <w:rsid w:val="00816C80"/>
    <w:rsid w:val="00816D76"/>
    <w:rsid w:val="0081718B"/>
    <w:rsid w:val="008171EE"/>
    <w:rsid w:val="00817219"/>
    <w:rsid w:val="00817386"/>
    <w:rsid w:val="00817517"/>
    <w:rsid w:val="0081758E"/>
    <w:rsid w:val="0081786E"/>
    <w:rsid w:val="00817AA8"/>
    <w:rsid w:val="00817C5D"/>
    <w:rsid w:val="00817D04"/>
    <w:rsid w:val="00817D86"/>
    <w:rsid w:val="00817EB9"/>
    <w:rsid w:val="00817EF1"/>
    <w:rsid w:val="00817EF5"/>
    <w:rsid w:val="00817F3B"/>
    <w:rsid w:val="00817FCC"/>
    <w:rsid w:val="0082010D"/>
    <w:rsid w:val="0082014F"/>
    <w:rsid w:val="00820183"/>
    <w:rsid w:val="008202F2"/>
    <w:rsid w:val="00820432"/>
    <w:rsid w:val="00820532"/>
    <w:rsid w:val="008207CC"/>
    <w:rsid w:val="00820878"/>
    <w:rsid w:val="008209DA"/>
    <w:rsid w:val="00820B07"/>
    <w:rsid w:val="00820B12"/>
    <w:rsid w:val="00820C1A"/>
    <w:rsid w:val="00820C31"/>
    <w:rsid w:val="00820CA0"/>
    <w:rsid w:val="00820CB6"/>
    <w:rsid w:val="00820CEE"/>
    <w:rsid w:val="00820CF3"/>
    <w:rsid w:val="00820D3D"/>
    <w:rsid w:val="00820D66"/>
    <w:rsid w:val="008210CE"/>
    <w:rsid w:val="00821158"/>
    <w:rsid w:val="008212EC"/>
    <w:rsid w:val="0082187A"/>
    <w:rsid w:val="00821AEE"/>
    <w:rsid w:val="00821C0C"/>
    <w:rsid w:val="00822030"/>
    <w:rsid w:val="00822188"/>
    <w:rsid w:val="00822216"/>
    <w:rsid w:val="00822426"/>
    <w:rsid w:val="0082259E"/>
    <w:rsid w:val="00822815"/>
    <w:rsid w:val="0082284C"/>
    <w:rsid w:val="00822A4F"/>
    <w:rsid w:val="00822B1A"/>
    <w:rsid w:val="00822B9C"/>
    <w:rsid w:val="00822BFB"/>
    <w:rsid w:val="00822CBB"/>
    <w:rsid w:val="00822ED3"/>
    <w:rsid w:val="00822F10"/>
    <w:rsid w:val="00822F9B"/>
    <w:rsid w:val="0082312B"/>
    <w:rsid w:val="008231E5"/>
    <w:rsid w:val="00823212"/>
    <w:rsid w:val="0082345E"/>
    <w:rsid w:val="00823508"/>
    <w:rsid w:val="00823705"/>
    <w:rsid w:val="00823A64"/>
    <w:rsid w:val="00823AEA"/>
    <w:rsid w:val="00823B87"/>
    <w:rsid w:val="00823BAB"/>
    <w:rsid w:val="00823C69"/>
    <w:rsid w:val="00823DC4"/>
    <w:rsid w:val="00823DEE"/>
    <w:rsid w:val="00823F69"/>
    <w:rsid w:val="00823FB7"/>
    <w:rsid w:val="008240C5"/>
    <w:rsid w:val="0082419F"/>
    <w:rsid w:val="00824254"/>
    <w:rsid w:val="008243A2"/>
    <w:rsid w:val="008244A7"/>
    <w:rsid w:val="008245E8"/>
    <w:rsid w:val="008249C5"/>
    <w:rsid w:val="00824C14"/>
    <w:rsid w:val="00824C25"/>
    <w:rsid w:val="00824CF1"/>
    <w:rsid w:val="00824D63"/>
    <w:rsid w:val="00824ED2"/>
    <w:rsid w:val="00824F35"/>
    <w:rsid w:val="00824F56"/>
    <w:rsid w:val="00824FF3"/>
    <w:rsid w:val="0082502A"/>
    <w:rsid w:val="00825056"/>
    <w:rsid w:val="008251B3"/>
    <w:rsid w:val="00825263"/>
    <w:rsid w:val="00825282"/>
    <w:rsid w:val="00825427"/>
    <w:rsid w:val="00825429"/>
    <w:rsid w:val="0082554B"/>
    <w:rsid w:val="0082558D"/>
    <w:rsid w:val="0082561D"/>
    <w:rsid w:val="00825724"/>
    <w:rsid w:val="00825790"/>
    <w:rsid w:val="0082579A"/>
    <w:rsid w:val="008258B2"/>
    <w:rsid w:val="008258F0"/>
    <w:rsid w:val="00825A35"/>
    <w:rsid w:val="00825B3F"/>
    <w:rsid w:val="00825C43"/>
    <w:rsid w:val="00825DBB"/>
    <w:rsid w:val="00825DC8"/>
    <w:rsid w:val="00825EAF"/>
    <w:rsid w:val="00825EED"/>
    <w:rsid w:val="00825F05"/>
    <w:rsid w:val="00825F4B"/>
    <w:rsid w:val="00826098"/>
    <w:rsid w:val="008260D3"/>
    <w:rsid w:val="008260FF"/>
    <w:rsid w:val="00826149"/>
    <w:rsid w:val="00826487"/>
    <w:rsid w:val="008264C2"/>
    <w:rsid w:val="0082664E"/>
    <w:rsid w:val="00826654"/>
    <w:rsid w:val="008267FD"/>
    <w:rsid w:val="008268FC"/>
    <w:rsid w:val="00826946"/>
    <w:rsid w:val="00826A88"/>
    <w:rsid w:val="00826AC5"/>
    <w:rsid w:val="00826AD2"/>
    <w:rsid w:val="00826C45"/>
    <w:rsid w:val="00826CC1"/>
    <w:rsid w:val="00826D19"/>
    <w:rsid w:val="00826D1A"/>
    <w:rsid w:val="00826E4C"/>
    <w:rsid w:val="00826F2D"/>
    <w:rsid w:val="00826FB5"/>
    <w:rsid w:val="008272D5"/>
    <w:rsid w:val="00827453"/>
    <w:rsid w:val="00827473"/>
    <w:rsid w:val="008275EA"/>
    <w:rsid w:val="0082761A"/>
    <w:rsid w:val="008277E3"/>
    <w:rsid w:val="0082789C"/>
    <w:rsid w:val="008278C6"/>
    <w:rsid w:val="00827A65"/>
    <w:rsid w:val="00827AA0"/>
    <w:rsid w:val="00827B51"/>
    <w:rsid w:val="00827BE6"/>
    <w:rsid w:val="00827CA5"/>
    <w:rsid w:val="00827CE5"/>
    <w:rsid w:val="00827D17"/>
    <w:rsid w:val="00827FAB"/>
    <w:rsid w:val="00830125"/>
    <w:rsid w:val="00830156"/>
    <w:rsid w:val="0083019C"/>
    <w:rsid w:val="008301E4"/>
    <w:rsid w:val="008302E4"/>
    <w:rsid w:val="00830480"/>
    <w:rsid w:val="008304DB"/>
    <w:rsid w:val="0083065B"/>
    <w:rsid w:val="008306DD"/>
    <w:rsid w:val="008307A2"/>
    <w:rsid w:val="008309A4"/>
    <w:rsid w:val="00830A92"/>
    <w:rsid w:val="00830B49"/>
    <w:rsid w:val="00830DA9"/>
    <w:rsid w:val="00830DFD"/>
    <w:rsid w:val="00830E4B"/>
    <w:rsid w:val="00830EDE"/>
    <w:rsid w:val="00830FE7"/>
    <w:rsid w:val="008313C2"/>
    <w:rsid w:val="0083144C"/>
    <w:rsid w:val="00831517"/>
    <w:rsid w:val="0083157A"/>
    <w:rsid w:val="00831712"/>
    <w:rsid w:val="008317C0"/>
    <w:rsid w:val="0083184B"/>
    <w:rsid w:val="00831A70"/>
    <w:rsid w:val="00831B1F"/>
    <w:rsid w:val="00831C71"/>
    <w:rsid w:val="00831E3B"/>
    <w:rsid w:val="00831E49"/>
    <w:rsid w:val="00831ECE"/>
    <w:rsid w:val="0083212A"/>
    <w:rsid w:val="00832199"/>
    <w:rsid w:val="008321B5"/>
    <w:rsid w:val="00832259"/>
    <w:rsid w:val="008322C2"/>
    <w:rsid w:val="00832462"/>
    <w:rsid w:val="00832841"/>
    <w:rsid w:val="00832855"/>
    <w:rsid w:val="00832926"/>
    <w:rsid w:val="0083298C"/>
    <w:rsid w:val="00832BB7"/>
    <w:rsid w:val="00832BEE"/>
    <w:rsid w:val="00832D28"/>
    <w:rsid w:val="00832D73"/>
    <w:rsid w:val="00832F22"/>
    <w:rsid w:val="00833074"/>
    <w:rsid w:val="008330DA"/>
    <w:rsid w:val="00833260"/>
    <w:rsid w:val="008332A8"/>
    <w:rsid w:val="008334AF"/>
    <w:rsid w:val="008334FB"/>
    <w:rsid w:val="00833566"/>
    <w:rsid w:val="008336CB"/>
    <w:rsid w:val="008338A5"/>
    <w:rsid w:val="008338E8"/>
    <w:rsid w:val="00833DFC"/>
    <w:rsid w:val="00833FFD"/>
    <w:rsid w:val="008343FC"/>
    <w:rsid w:val="0083448E"/>
    <w:rsid w:val="008344EE"/>
    <w:rsid w:val="0083467F"/>
    <w:rsid w:val="008347E5"/>
    <w:rsid w:val="00834907"/>
    <w:rsid w:val="00834D4C"/>
    <w:rsid w:val="00834DF3"/>
    <w:rsid w:val="00835140"/>
    <w:rsid w:val="0083523F"/>
    <w:rsid w:val="00835377"/>
    <w:rsid w:val="00835440"/>
    <w:rsid w:val="00835553"/>
    <w:rsid w:val="0083556D"/>
    <w:rsid w:val="008355F6"/>
    <w:rsid w:val="008356BB"/>
    <w:rsid w:val="008356FD"/>
    <w:rsid w:val="008357D4"/>
    <w:rsid w:val="008358A5"/>
    <w:rsid w:val="00835AF5"/>
    <w:rsid w:val="00835BDB"/>
    <w:rsid w:val="00835FFC"/>
    <w:rsid w:val="00836025"/>
    <w:rsid w:val="00836471"/>
    <w:rsid w:val="0083654F"/>
    <w:rsid w:val="0083657D"/>
    <w:rsid w:val="00836670"/>
    <w:rsid w:val="0083667A"/>
    <w:rsid w:val="00836698"/>
    <w:rsid w:val="0083675E"/>
    <w:rsid w:val="00836863"/>
    <w:rsid w:val="00836ADE"/>
    <w:rsid w:val="00836AFA"/>
    <w:rsid w:val="00836BE2"/>
    <w:rsid w:val="00836C47"/>
    <w:rsid w:val="00836CAF"/>
    <w:rsid w:val="00836CE9"/>
    <w:rsid w:val="00836D0D"/>
    <w:rsid w:val="00836E8F"/>
    <w:rsid w:val="0083701E"/>
    <w:rsid w:val="008371ED"/>
    <w:rsid w:val="0083791A"/>
    <w:rsid w:val="00837A9A"/>
    <w:rsid w:val="00837C7F"/>
    <w:rsid w:val="0084013F"/>
    <w:rsid w:val="00840248"/>
    <w:rsid w:val="0084044F"/>
    <w:rsid w:val="0084055F"/>
    <w:rsid w:val="00840683"/>
    <w:rsid w:val="00840695"/>
    <w:rsid w:val="008407E2"/>
    <w:rsid w:val="00840DD8"/>
    <w:rsid w:val="00840F5A"/>
    <w:rsid w:val="00841115"/>
    <w:rsid w:val="0084113F"/>
    <w:rsid w:val="00841192"/>
    <w:rsid w:val="008412E1"/>
    <w:rsid w:val="00841577"/>
    <w:rsid w:val="00841644"/>
    <w:rsid w:val="0084181B"/>
    <w:rsid w:val="0084183B"/>
    <w:rsid w:val="008418A7"/>
    <w:rsid w:val="0084198C"/>
    <w:rsid w:val="00841AC9"/>
    <w:rsid w:val="00841BB8"/>
    <w:rsid w:val="00841C58"/>
    <w:rsid w:val="00841C92"/>
    <w:rsid w:val="00841E08"/>
    <w:rsid w:val="00841E11"/>
    <w:rsid w:val="00841EF8"/>
    <w:rsid w:val="00841FC6"/>
    <w:rsid w:val="0084219D"/>
    <w:rsid w:val="00842540"/>
    <w:rsid w:val="0084255B"/>
    <w:rsid w:val="00842697"/>
    <w:rsid w:val="008426BF"/>
    <w:rsid w:val="008427D9"/>
    <w:rsid w:val="0084286A"/>
    <w:rsid w:val="00842946"/>
    <w:rsid w:val="00842BED"/>
    <w:rsid w:val="00842C80"/>
    <w:rsid w:val="00842D5F"/>
    <w:rsid w:val="00842FE9"/>
    <w:rsid w:val="00843166"/>
    <w:rsid w:val="00843209"/>
    <w:rsid w:val="00843398"/>
    <w:rsid w:val="008434AA"/>
    <w:rsid w:val="00843987"/>
    <w:rsid w:val="00843B47"/>
    <w:rsid w:val="00843B79"/>
    <w:rsid w:val="00843D9D"/>
    <w:rsid w:val="00843E00"/>
    <w:rsid w:val="00843E56"/>
    <w:rsid w:val="008440A8"/>
    <w:rsid w:val="00844110"/>
    <w:rsid w:val="00844180"/>
    <w:rsid w:val="008441E8"/>
    <w:rsid w:val="00844201"/>
    <w:rsid w:val="00844294"/>
    <w:rsid w:val="0084455B"/>
    <w:rsid w:val="00844581"/>
    <w:rsid w:val="00844642"/>
    <w:rsid w:val="008447EC"/>
    <w:rsid w:val="00844B5A"/>
    <w:rsid w:val="00844C81"/>
    <w:rsid w:val="00844CE0"/>
    <w:rsid w:val="008452E0"/>
    <w:rsid w:val="008452E4"/>
    <w:rsid w:val="008453D8"/>
    <w:rsid w:val="00845559"/>
    <w:rsid w:val="00845774"/>
    <w:rsid w:val="0084581C"/>
    <w:rsid w:val="00845943"/>
    <w:rsid w:val="008459AC"/>
    <w:rsid w:val="008459FD"/>
    <w:rsid w:val="00845AB5"/>
    <w:rsid w:val="00845C9B"/>
    <w:rsid w:val="00845FD6"/>
    <w:rsid w:val="0084601D"/>
    <w:rsid w:val="00846021"/>
    <w:rsid w:val="0084607B"/>
    <w:rsid w:val="00846262"/>
    <w:rsid w:val="00846354"/>
    <w:rsid w:val="0084638B"/>
    <w:rsid w:val="0084646F"/>
    <w:rsid w:val="008465FB"/>
    <w:rsid w:val="008467A8"/>
    <w:rsid w:val="00846914"/>
    <w:rsid w:val="00846BAA"/>
    <w:rsid w:val="00846C3A"/>
    <w:rsid w:val="00846C95"/>
    <w:rsid w:val="0084704A"/>
    <w:rsid w:val="0084768D"/>
    <w:rsid w:val="0084793D"/>
    <w:rsid w:val="00847A6A"/>
    <w:rsid w:val="00847B93"/>
    <w:rsid w:val="00847D89"/>
    <w:rsid w:val="0085005B"/>
    <w:rsid w:val="00850180"/>
    <w:rsid w:val="008501EA"/>
    <w:rsid w:val="00850339"/>
    <w:rsid w:val="008505FC"/>
    <w:rsid w:val="00850625"/>
    <w:rsid w:val="008506FD"/>
    <w:rsid w:val="00850814"/>
    <w:rsid w:val="008508BD"/>
    <w:rsid w:val="008509C4"/>
    <w:rsid w:val="00850AAA"/>
    <w:rsid w:val="00850B33"/>
    <w:rsid w:val="00850B7D"/>
    <w:rsid w:val="00850BCD"/>
    <w:rsid w:val="00850D34"/>
    <w:rsid w:val="00850D37"/>
    <w:rsid w:val="00850D62"/>
    <w:rsid w:val="00850F1B"/>
    <w:rsid w:val="00851006"/>
    <w:rsid w:val="00851342"/>
    <w:rsid w:val="00851379"/>
    <w:rsid w:val="00851479"/>
    <w:rsid w:val="008516D0"/>
    <w:rsid w:val="00851759"/>
    <w:rsid w:val="0085183D"/>
    <w:rsid w:val="008518A8"/>
    <w:rsid w:val="0085197F"/>
    <w:rsid w:val="008519E4"/>
    <w:rsid w:val="00851A89"/>
    <w:rsid w:val="00851B85"/>
    <w:rsid w:val="00851C12"/>
    <w:rsid w:val="00851D93"/>
    <w:rsid w:val="00851E26"/>
    <w:rsid w:val="008520A0"/>
    <w:rsid w:val="008520D9"/>
    <w:rsid w:val="00852145"/>
    <w:rsid w:val="008521C5"/>
    <w:rsid w:val="008521DC"/>
    <w:rsid w:val="0085224C"/>
    <w:rsid w:val="008524E4"/>
    <w:rsid w:val="008525A1"/>
    <w:rsid w:val="008525D9"/>
    <w:rsid w:val="008526E0"/>
    <w:rsid w:val="00852854"/>
    <w:rsid w:val="00852B3A"/>
    <w:rsid w:val="00852F49"/>
    <w:rsid w:val="00852F8D"/>
    <w:rsid w:val="0085326D"/>
    <w:rsid w:val="00853471"/>
    <w:rsid w:val="00853485"/>
    <w:rsid w:val="00853594"/>
    <w:rsid w:val="00853B3D"/>
    <w:rsid w:val="00853BCE"/>
    <w:rsid w:val="00853EAF"/>
    <w:rsid w:val="00853EED"/>
    <w:rsid w:val="00853F06"/>
    <w:rsid w:val="00853F25"/>
    <w:rsid w:val="00853FD7"/>
    <w:rsid w:val="00853FDC"/>
    <w:rsid w:val="0085400B"/>
    <w:rsid w:val="00854154"/>
    <w:rsid w:val="0085425B"/>
    <w:rsid w:val="0085437B"/>
    <w:rsid w:val="008543C2"/>
    <w:rsid w:val="008543DF"/>
    <w:rsid w:val="008544AF"/>
    <w:rsid w:val="008547CF"/>
    <w:rsid w:val="00854858"/>
    <w:rsid w:val="00854A2D"/>
    <w:rsid w:val="00854A4C"/>
    <w:rsid w:val="00854BD5"/>
    <w:rsid w:val="00854DEC"/>
    <w:rsid w:val="00854DF4"/>
    <w:rsid w:val="00854F8F"/>
    <w:rsid w:val="00855302"/>
    <w:rsid w:val="00855367"/>
    <w:rsid w:val="0085555C"/>
    <w:rsid w:val="0085571D"/>
    <w:rsid w:val="008558F4"/>
    <w:rsid w:val="0085592E"/>
    <w:rsid w:val="00855994"/>
    <w:rsid w:val="008559D1"/>
    <w:rsid w:val="008559D2"/>
    <w:rsid w:val="00855A4D"/>
    <w:rsid w:val="00855A7B"/>
    <w:rsid w:val="00855AF8"/>
    <w:rsid w:val="00855C5E"/>
    <w:rsid w:val="00855C7F"/>
    <w:rsid w:val="00855C8E"/>
    <w:rsid w:val="0085610C"/>
    <w:rsid w:val="008562B7"/>
    <w:rsid w:val="0085671D"/>
    <w:rsid w:val="008567DF"/>
    <w:rsid w:val="008567FC"/>
    <w:rsid w:val="00856A01"/>
    <w:rsid w:val="00856A97"/>
    <w:rsid w:val="00856AD5"/>
    <w:rsid w:val="00856BF2"/>
    <w:rsid w:val="00856C1A"/>
    <w:rsid w:val="00856D59"/>
    <w:rsid w:val="00856F39"/>
    <w:rsid w:val="00857278"/>
    <w:rsid w:val="00857427"/>
    <w:rsid w:val="00857469"/>
    <w:rsid w:val="008574A5"/>
    <w:rsid w:val="00857537"/>
    <w:rsid w:val="008577BF"/>
    <w:rsid w:val="0085790A"/>
    <w:rsid w:val="00857BA2"/>
    <w:rsid w:val="00857C04"/>
    <w:rsid w:val="00857D0E"/>
    <w:rsid w:val="00857F4A"/>
    <w:rsid w:val="008600F7"/>
    <w:rsid w:val="0086025F"/>
    <w:rsid w:val="008602E6"/>
    <w:rsid w:val="00860682"/>
    <w:rsid w:val="008606AF"/>
    <w:rsid w:val="008606D2"/>
    <w:rsid w:val="008606FE"/>
    <w:rsid w:val="00860CA9"/>
    <w:rsid w:val="00860D05"/>
    <w:rsid w:val="00860D55"/>
    <w:rsid w:val="00860F12"/>
    <w:rsid w:val="00860FB8"/>
    <w:rsid w:val="00861151"/>
    <w:rsid w:val="0086122C"/>
    <w:rsid w:val="00861425"/>
    <w:rsid w:val="00861455"/>
    <w:rsid w:val="008614B2"/>
    <w:rsid w:val="0086156D"/>
    <w:rsid w:val="008615F2"/>
    <w:rsid w:val="00861680"/>
    <w:rsid w:val="0086170A"/>
    <w:rsid w:val="008617D8"/>
    <w:rsid w:val="00861803"/>
    <w:rsid w:val="00861997"/>
    <w:rsid w:val="00861B2D"/>
    <w:rsid w:val="00861CA9"/>
    <w:rsid w:val="00861CEA"/>
    <w:rsid w:val="00861DE1"/>
    <w:rsid w:val="00861E6B"/>
    <w:rsid w:val="00861F5D"/>
    <w:rsid w:val="008620A0"/>
    <w:rsid w:val="008620D2"/>
    <w:rsid w:val="008621B9"/>
    <w:rsid w:val="008622B1"/>
    <w:rsid w:val="00862832"/>
    <w:rsid w:val="008628B6"/>
    <w:rsid w:val="00862901"/>
    <w:rsid w:val="00862AC9"/>
    <w:rsid w:val="00862B1A"/>
    <w:rsid w:val="00862D4B"/>
    <w:rsid w:val="00862DDE"/>
    <w:rsid w:val="00862F9E"/>
    <w:rsid w:val="0086311F"/>
    <w:rsid w:val="008631FC"/>
    <w:rsid w:val="0086324E"/>
    <w:rsid w:val="00863403"/>
    <w:rsid w:val="00863533"/>
    <w:rsid w:val="00863671"/>
    <w:rsid w:val="008636A6"/>
    <w:rsid w:val="008636EF"/>
    <w:rsid w:val="0086376D"/>
    <w:rsid w:val="0086391B"/>
    <w:rsid w:val="00863A8C"/>
    <w:rsid w:val="00863B0F"/>
    <w:rsid w:val="00863B71"/>
    <w:rsid w:val="00863D05"/>
    <w:rsid w:val="00863E8E"/>
    <w:rsid w:val="0086415A"/>
    <w:rsid w:val="00864179"/>
    <w:rsid w:val="008641DD"/>
    <w:rsid w:val="00864229"/>
    <w:rsid w:val="008642BB"/>
    <w:rsid w:val="008643B4"/>
    <w:rsid w:val="00864440"/>
    <w:rsid w:val="008644CC"/>
    <w:rsid w:val="0086451B"/>
    <w:rsid w:val="008645B9"/>
    <w:rsid w:val="00864723"/>
    <w:rsid w:val="0086474F"/>
    <w:rsid w:val="00864948"/>
    <w:rsid w:val="0086497B"/>
    <w:rsid w:val="00864FE0"/>
    <w:rsid w:val="00864FE7"/>
    <w:rsid w:val="0086506D"/>
    <w:rsid w:val="008652EA"/>
    <w:rsid w:val="008654EA"/>
    <w:rsid w:val="008655C2"/>
    <w:rsid w:val="008658A5"/>
    <w:rsid w:val="00865A92"/>
    <w:rsid w:val="00865BFF"/>
    <w:rsid w:val="00865D35"/>
    <w:rsid w:val="00865D59"/>
    <w:rsid w:val="00865D9B"/>
    <w:rsid w:val="00865E6D"/>
    <w:rsid w:val="008660B4"/>
    <w:rsid w:val="008662B2"/>
    <w:rsid w:val="008662B4"/>
    <w:rsid w:val="008662DE"/>
    <w:rsid w:val="008663C2"/>
    <w:rsid w:val="008664F3"/>
    <w:rsid w:val="00866524"/>
    <w:rsid w:val="00866782"/>
    <w:rsid w:val="0086688E"/>
    <w:rsid w:val="00866898"/>
    <w:rsid w:val="00866964"/>
    <w:rsid w:val="00866981"/>
    <w:rsid w:val="0086698C"/>
    <w:rsid w:val="008669C0"/>
    <w:rsid w:val="00866B99"/>
    <w:rsid w:val="00866BDA"/>
    <w:rsid w:val="00866F5F"/>
    <w:rsid w:val="00867363"/>
    <w:rsid w:val="008674FF"/>
    <w:rsid w:val="008675F5"/>
    <w:rsid w:val="00867753"/>
    <w:rsid w:val="00867832"/>
    <w:rsid w:val="008679EF"/>
    <w:rsid w:val="00867C33"/>
    <w:rsid w:val="00867D21"/>
    <w:rsid w:val="00867D7D"/>
    <w:rsid w:val="00867ED1"/>
    <w:rsid w:val="00867F7E"/>
    <w:rsid w:val="00870016"/>
    <w:rsid w:val="00870226"/>
    <w:rsid w:val="0087024D"/>
    <w:rsid w:val="00870391"/>
    <w:rsid w:val="008703BF"/>
    <w:rsid w:val="0087069C"/>
    <w:rsid w:val="008709F4"/>
    <w:rsid w:val="00870D5C"/>
    <w:rsid w:val="00870D7B"/>
    <w:rsid w:val="00870DEA"/>
    <w:rsid w:val="00870E11"/>
    <w:rsid w:val="00870E9A"/>
    <w:rsid w:val="00870F26"/>
    <w:rsid w:val="00871016"/>
    <w:rsid w:val="0087104B"/>
    <w:rsid w:val="00871121"/>
    <w:rsid w:val="008711A4"/>
    <w:rsid w:val="00871293"/>
    <w:rsid w:val="00871312"/>
    <w:rsid w:val="00871378"/>
    <w:rsid w:val="00871401"/>
    <w:rsid w:val="00871791"/>
    <w:rsid w:val="00871AAB"/>
    <w:rsid w:val="00871C21"/>
    <w:rsid w:val="00871DE9"/>
    <w:rsid w:val="00871E72"/>
    <w:rsid w:val="00871EF3"/>
    <w:rsid w:val="00871F4F"/>
    <w:rsid w:val="008720A6"/>
    <w:rsid w:val="008721DA"/>
    <w:rsid w:val="00872243"/>
    <w:rsid w:val="00872280"/>
    <w:rsid w:val="008722B3"/>
    <w:rsid w:val="00872808"/>
    <w:rsid w:val="00872C1C"/>
    <w:rsid w:val="00872CB0"/>
    <w:rsid w:val="00872E7C"/>
    <w:rsid w:val="00872E8E"/>
    <w:rsid w:val="008730CC"/>
    <w:rsid w:val="0087337F"/>
    <w:rsid w:val="008735EE"/>
    <w:rsid w:val="00873786"/>
    <w:rsid w:val="00873AB9"/>
    <w:rsid w:val="00873AF9"/>
    <w:rsid w:val="00873DAC"/>
    <w:rsid w:val="00873DAF"/>
    <w:rsid w:val="00873F68"/>
    <w:rsid w:val="008741AC"/>
    <w:rsid w:val="008744A2"/>
    <w:rsid w:val="008745E9"/>
    <w:rsid w:val="00874A4A"/>
    <w:rsid w:val="00874B9A"/>
    <w:rsid w:val="00874BDA"/>
    <w:rsid w:val="00874CCE"/>
    <w:rsid w:val="00874D8F"/>
    <w:rsid w:val="00874DD8"/>
    <w:rsid w:val="00874DFA"/>
    <w:rsid w:val="00874E1C"/>
    <w:rsid w:val="00874F81"/>
    <w:rsid w:val="0087523E"/>
    <w:rsid w:val="008752D1"/>
    <w:rsid w:val="0087536F"/>
    <w:rsid w:val="00875371"/>
    <w:rsid w:val="0087544E"/>
    <w:rsid w:val="008756A8"/>
    <w:rsid w:val="0087581A"/>
    <w:rsid w:val="00875925"/>
    <w:rsid w:val="00875BD0"/>
    <w:rsid w:val="00875CBA"/>
    <w:rsid w:val="00875E16"/>
    <w:rsid w:val="00875ECC"/>
    <w:rsid w:val="00875F60"/>
    <w:rsid w:val="00875FEA"/>
    <w:rsid w:val="0087612B"/>
    <w:rsid w:val="00876358"/>
    <w:rsid w:val="008765DB"/>
    <w:rsid w:val="0087664D"/>
    <w:rsid w:val="008768AC"/>
    <w:rsid w:val="0087697E"/>
    <w:rsid w:val="00876AE2"/>
    <w:rsid w:val="00876AF2"/>
    <w:rsid w:val="00876BA2"/>
    <w:rsid w:val="00876CD3"/>
    <w:rsid w:val="00876D5B"/>
    <w:rsid w:val="00876EDA"/>
    <w:rsid w:val="00876F4A"/>
    <w:rsid w:val="00876FF1"/>
    <w:rsid w:val="0087712B"/>
    <w:rsid w:val="008771B6"/>
    <w:rsid w:val="00877258"/>
    <w:rsid w:val="00877472"/>
    <w:rsid w:val="0087748D"/>
    <w:rsid w:val="008774AD"/>
    <w:rsid w:val="008774E5"/>
    <w:rsid w:val="008774FB"/>
    <w:rsid w:val="00877728"/>
    <w:rsid w:val="00877B03"/>
    <w:rsid w:val="00877B29"/>
    <w:rsid w:val="00880079"/>
    <w:rsid w:val="0088013E"/>
    <w:rsid w:val="008801D7"/>
    <w:rsid w:val="008802DD"/>
    <w:rsid w:val="008803B5"/>
    <w:rsid w:val="008804AD"/>
    <w:rsid w:val="0088066F"/>
    <w:rsid w:val="00880704"/>
    <w:rsid w:val="00880B6B"/>
    <w:rsid w:val="00880B77"/>
    <w:rsid w:val="00880D71"/>
    <w:rsid w:val="00880DD3"/>
    <w:rsid w:val="00880E8C"/>
    <w:rsid w:val="00880F09"/>
    <w:rsid w:val="00880F20"/>
    <w:rsid w:val="0088102F"/>
    <w:rsid w:val="008812B5"/>
    <w:rsid w:val="0088144F"/>
    <w:rsid w:val="00881471"/>
    <w:rsid w:val="008814B0"/>
    <w:rsid w:val="008815CB"/>
    <w:rsid w:val="008815E7"/>
    <w:rsid w:val="008815F6"/>
    <w:rsid w:val="00881613"/>
    <w:rsid w:val="0088199C"/>
    <w:rsid w:val="00881A13"/>
    <w:rsid w:val="00881AE7"/>
    <w:rsid w:val="00881D8B"/>
    <w:rsid w:val="00881DD9"/>
    <w:rsid w:val="00881F3B"/>
    <w:rsid w:val="00881F83"/>
    <w:rsid w:val="00881FB6"/>
    <w:rsid w:val="00882053"/>
    <w:rsid w:val="00882322"/>
    <w:rsid w:val="008824BE"/>
    <w:rsid w:val="0088251F"/>
    <w:rsid w:val="0088270E"/>
    <w:rsid w:val="00882D2F"/>
    <w:rsid w:val="00882DAC"/>
    <w:rsid w:val="00882E21"/>
    <w:rsid w:val="00882F6C"/>
    <w:rsid w:val="00883170"/>
    <w:rsid w:val="008831B6"/>
    <w:rsid w:val="00883216"/>
    <w:rsid w:val="00883280"/>
    <w:rsid w:val="008834EC"/>
    <w:rsid w:val="0088376B"/>
    <w:rsid w:val="0088379F"/>
    <w:rsid w:val="0088388F"/>
    <w:rsid w:val="008839D0"/>
    <w:rsid w:val="00883C7F"/>
    <w:rsid w:val="00883DA0"/>
    <w:rsid w:val="00883F3B"/>
    <w:rsid w:val="00883FA8"/>
    <w:rsid w:val="00883FD5"/>
    <w:rsid w:val="00884118"/>
    <w:rsid w:val="008843EE"/>
    <w:rsid w:val="008846BD"/>
    <w:rsid w:val="00884722"/>
    <w:rsid w:val="008847CC"/>
    <w:rsid w:val="00884880"/>
    <w:rsid w:val="0088496B"/>
    <w:rsid w:val="00884B1B"/>
    <w:rsid w:val="00884D7B"/>
    <w:rsid w:val="00884E5A"/>
    <w:rsid w:val="00884F17"/>
    <w:rsid w:val="00884FBE"/>
    <w:rsid w:val="00884FF8"/>
    <w:rsid w:val="0088501D"/>
    <w:rsid w:val="008851E3"/>
    <w:rsid w:val="008852BD"/>
    <w:rsid w:val="0088542C"/>
    <w:rsid w:val="00885571"/>
    <w:rsid w:val="008855C6"/>
    <w:rsid w:val="008857C3"/>
    <w:rsid w:val="00885827"/>
    <w:rsid w:val="0088587D"/>
    <w:rsid w:val="008859A6"/>
    <w:rsid w:val="00885A0F"/>
    <w:rsid w:val="00885A14"/>
    <w:rsid w:val="00885DD1"/>
    <w:rsid w:val="00885F89"/>
    <w:rsid w:val="0088617E"/>
    <w:rsid w:val="00886235"/>
    <w:rsid w:val="00886292"/>
    <w:rsid w:val="008862C2"/>
    <w:rsid w:val="00886368"/>
    <w:rsid w:val="008867B3"/>
    <w:rsid w:val="008867BC"/>
    <w:rsid w:val="008867DC"/>
    <w:rsid w:val="00886864"/>
    <w:rsid w:val="00886B28"/>
    <w:rsid w:val="00886C16"/>
    <w:rsid w:val="00886C33"/>
    <w:rsid w:val="00886CE7"/>
    <w:rsid w:val="00887126"/>
    <w:rsid w:val="0088730B"/>
    <w:rsid w:val="00887334"/>
    <w:rsid w:val="008873D8"/>
    <w:rsid w:val="008875E0"/>
    <w:rsid w:val="008876A5"/>
    <w:rsid w:val="00887709"/>
    <w:rsid w:val="00887713"/>
    <w:rsid w:val="008877FE"/>
    <w:rsid w:val="008879A8"/>
    <w:rsid w:val="008879AB"/>
    <w:rsid w:val="00887B6A"/>
    <w:rsid w:val="00887B81"/>
    <w:rsid w:val="00887E49"/>
    <w:rsid w:val="00887F60"/>
    <w:rsid w:val="00890042"/>
    <w:rsid w:val="008900BB"/>
    <w:rsid w:val="0089012E"/>
    <w:rsid w:val="00890156"/>
    <w:rsid w:val="008901DC"/>
    <w:rsid w:val="0089029C"/>
    <w:rsid w:val="0089047E"/>
    <w:rsid w:val="00890529"/>
    <w:rsid w:val="0089057C"/>
    <w:rsid w:val="00890599"/>
    <w:rsid w:val="008908B8"/>
    <w:rsid w:val="008909E7"/>
    <w:rsid w:val="00890B83"/>
    <w:rsid w:val="00890C76"/>
    <w:rsid w:val="00890F03"/>
    <w:rsid w:val="00890F89"/>
    <w:rsid w:val="00890F9E"/>
    <w:rsid w:val="0089109D"/>
    <w:rsid w:val="00891101"/>
    <w:rsid w:val="0089130C"/>
    <w:rsid w:val="0089133D"/>
    <w:rsid w:val="008914A4"/>
    <w:rsid w:val="008914BE"/>
    <w:rsid w:val="008914FC"/>
    <w:rsid w:val="0089179D"/>
    <w:rsid w:val="00891AED"/>
    <w:rsid w:val="00891D41"/>
    <w:rsid w:val="00891D54"/>
    <w:rsid w:val="00891E46"/>
    <w:rsid w:val="00891FD5"/>
    <w:rsid w:val="0089208F"/>
    <w:rsid w:val="008922BD"/>
    <w:rsid w:val="00892436"/>
    <w:rsid w:val="00892627"/>
    <w:rsid w:val="0089264F"/>
    <w:rsid w:val="0089266B"/>
    <w:rsid w:val="00892695"/>
    <w:rsid w:val="00892A22"/>
    <w:rsid w:val="00892AB1"/>
    <w:rsid w:val="00892BF2"/>
    <w:rsid w:val="00892D74"/>
    <w:rsid w:val="00892D81"/>
    <w:rsid w:val="00892E5F"/>
    <w:rsid w:val="00892FC9"/>
    <w:rsid w:val="0089317D"/>
    <w:rsid w:val="00893184"/>
    <w:rsid w:val="008931CE"/>
    <w:rsid w:val="008932D8"/>
    <w:rsid w:val="00893300"/>
    <w:rsid w:val="0089331F"/>
    <w:rsid w:val="00893795"/>
    <w:rsid w:val="00893885"/>
    <w:rsid w:val="00893ADF"/>
    <w:rsid w:val="00893C37"/>
    <w:rsid w:val="00893D0A"/>
    <w:rsid w:val="00893D17"/>
    <w:rsid w:val="00893D82"/>
    <w:rsid w:val="00893FE6"/>
    <w:rsid w:val="00894037"/>
    <w:rsid w:val="0089407E"/>
    <w:rsid w:val="00894092"/>
    <w:rsid w:val="008940A9"/>
    <w:rsid w:val="00894197"/>
    <w:rsid w:val="008941C6"/>
    <w:rsid w:val="00894247"/>
    <w:rsid w:val="00894263"/>
    <w:rsid w:val="00894655"/>
    <w:rsid w:val="0089476E"/>
    <w:rsid w:val="00894820"/>
    <w:rsid w:val="00894A38"/>
    <w:rsid w:val="00894D79"/>
    <w:rsid w:val="00894F5F"/>
    <w:rsid w:val="00895013"/>
    <w:rsid w:val="0089520C"/>
    <w:rsid w:val="008952B5"/>
    <w:rsid w:val="008953FA"/>
    <w:rsid w:val="0089541F"/>
    <w:rsid w:val="00895671"/>
    <w:rsid w:val="00895753"/>
    <w:rsid w:val="00895BB6"/>
    <w:rsid w:val="00895C1E"/>
    <w:rsid w:val="00895CE5"/>
    <w:rsid w:val="00895F53"/>
    <w:rsid w:val="0089611E"/>
    <w:rsid w:val="0089670F"/>
    <w:rsid w:val="008968FA"/>
    <w:rsid w:val="008969C7"/>
    <w:rsid w:val="008969E6"/>
    <w:rsid w:val="00896A2F"/>
    <w:rsid w:val="00896A5A"/>
    <w:rsid w:val="00896AA0"/>
    <w:rsid w:val="00896B17"/>
    <w:rsid w:val="00896FA7"/>
    <w:rsid w:val="00896FFB"/>
    <w:rsid w:val="008971A2"/>
    <w:rsid w:val="0089720C"/>
    <w:rsid w:val="0089728C"/>
    <w:rsid w:val="008972F2"/>
    <w:rsid w:val="008972F4"/>
    <w:rsid w:val="0089749A"/>
    <w:rsid w:val="00897581"/>
    <w:rsid w:val="008975B2"/>
    <w:rsid w:val="0089760C"/>
    <w:rsid w:val="008976BD"/>
    <w:rsid w:val="0089774D"/>
    <w:rsid w:val="00897861"/>
    <w:rsid w:val="008978AB"/>
    <w:rsid w:val="008978AE"/>
    <w:rsid w:val="008978E4"/>
    <w:rsid w:val="00897943"/>
    <w:rsid w:val="008979FE"/>
    <w:rsid w:val="00897A23"/>
    <w:rsid w:val="00897B1A"/>
    <w:rsid w:val="00897C8B"/>
    <w:rsid w:val="00897D3D"/>
    <w:rsid w:val="00897ED4"/>
    <w:rsid w:val="00897EE8"/>
    <w:rsid w:val="00897EFD"/>
    <w:rsid w:val="00897F4F"/>
    <w:rsid w:val="008A00B3"/>
    <w:rsid w:val="008A0101"/>
    <w:rsid w:val="008A0334"/>
    <w:rsid w:val="008A0405"/>
    <w:rsid w:val="008A04CE"/>
    <w:rsid w:val="008A055A"/>
    <w:rsid w:val="008A0904"/>
    <w:rsid w:val="008A0968"/>
    <w:rsid w:val="008A0AB6"/>
    <w:rsid w:val="008A0AD2"/>
    <w:rsid w:val="008A0B95"/>
    <w:rsid w:val="008A0C39"/>
    <w:rsid w:val="008A0CBC"/>
    <w:rsid w:val="008A0D1E"/>
    <w:rsid w:val="008A0DDA"/>
    <w:rsid w:val="008A1103"/>
    <w:rsid w:val="008A12C4"/>
    <w:rsid w:val="008A132B"/>
    <w:rsid w:val="008A1337"/>
    <w:rsid w:val="008A1639"/>
    <w:rsid w:val="008A1727"/>
    <w:rsid w:val="008A172D"/>
    <w:rsid w:val="008A17BF"/>
    <w:rsid w:val="008A1909"/>
    <w:rsid w:val="008A1E24"/>
    <w:rsid w:val="008A1E3F"/>
    <w:rsid w:val="008A1E71"/>
    <w:rsid w:val="008A1ECE"/>
    <w:rsid w:val="008A1F22"/>
    <w:rsid w:val="008A1F95"/>
    <w:rsid w:val="008A219A"/>
    <w:rsid w:val="008A2573"/>
    <w:rsid w:val="008A267C"/>
    <w:rsid w:val="008A270F"/>
    <w:rsid w:val="008A273E"/>
    <w:rsid w:val="008A27C2"/>
    <w:rsid w:val="008A2817"/>
    <w:rsid w:val="008A2D6D"/>
    <w:rsid w:val="008A2D87"/>
    <w:rsid w:val="008A30D3"/>
    <w:rsid w:val="008A30F5"/>
    <w:rsid w:val="008A3228"/>
    <w:rsid w:val="008A3297"/>
    <w:rsid w:val="008A329E"/>
    <w:rsid w:val="008A32A6"/>
    <w:rsid w:val="008A3323"/>
    <w:rsid w:val="008A337A"/>
    <w:rsid w:val="008A35F7"/>
    <w:rsid w:val="008A3651"/>
    <w:rsid w:val="008A3670"/>
    <w:rsid w:val="008A370F"/>
    <w:rsid w:val="008A3828"/>
    <w:rsid w:val="008A3866"/>
    <w:rsid w:val="008A39E3"/>
    <w:rsid w:val="008A3A82"/>
    <w:rsid w:val="008A3B6B"/>
    <w:rsid w:val="008A3B6D"/>
    <w:rsid w:val="008A3C4D"/>
    <w:rsid w:val="008A3CBF"/>
    <w:rsid w:val="008A3D59"/>
    <w:rsid w:val="008A3DEF"/>
    <w:rsid w:val="008A3F92"/>
    <w:rsid w:val="008A403B"/>
    <w:rsid w:val="008A4290"/>
    <w:rsid w:val="008A4355"/>
    <w:rsid w:val="008A4440"/>
    <w:rsid w:val="008A4627"/>
    <w:rsid w:val="008A4866"/>
    <w:rsid w:val="008A4974"/>
    <w:rsid w:val="008A499F"/>
    <w:rsid w:val="008A4CD5"/>
    <w:rsid w:val="008A5162"/>
    <w:rsid w:val="008A534F"/>
    <w:rsid w:val="008A5573"/>
    <w:rsid w:val="008A576C"/>
    <w:rsid w:val="008A5790"/>
    <w:rsid w:val="008A5875"/>
    <w:rsid w:val="008A5882"/>
    <w:rsid w:val="008A5A46"/>
    <w:rsid w:val="008A5A89"/>
    <w:rsid w:val="008A5B6D"/>
    <w:rsid w:val="008A5B81"/>
    <w:rsid w:val="008A5BBA"/>
    <w:rsid w:val="008A5E3D"/>
    <w:rsid w:val="008A6187"/>
    <w:rsid w:val="008A61A0"/>
    <w:rsid w:val="008A61AF"/>
    <w:rsid w:val="008A621E"/>
    <w:rsid w:val="008A62B1"/>
    <w:rsid w:val="008A635F"/>
    <w:rsid w:val="008A63D2"/>
    <w:rsid w:val="008A6522"/>
    <w:rsid w:val="008A65AA"/>
    <w:rsid w:val="008A6613"/>
    <w:rsid w:val="008A6758"/>
    <w:rsid w:val="008A6766"/>
    <w:rsid w:val="008A6771"/>
    <w:rsid w:val="008A67FF"/>
    <w:rsid w:val="008A688F"/>
    <w:rsid w:val="008A69FB"/>
    <w:rsid w:val="008A6AE3"/>
    <w:rsid w:val="008A6B94"/>
    <w:rsid w:val="008A6C0F"/>
    <w:rsid w:val="008A6E43"/>
    <w:rsid w:val="008A71E7"/>
    <w:rsid w:val="008A71EE"/>
    <w:rsid w:val="008A7227"/>
    <w:rsid w:val="008A7310"/>
    <w:rsid w:val="008A73BB"/>
    <w:rsid w:val="008A7455"/>
    <w:rsid w:val="008A74BB"/>
    <w:rsid w:val="008A76A9"/>
    <w:rsid w:val="008A76AF"/>
    <w:rsid w:val="008A76F1"/>
    <w:rsid w:val="008A776B"/>
    <w:rsid w:val="008A77AB"/>
    <w:rsid w:val="008A7838"/>
    <w:rsid w:val="008A78B0"/>
    <w:rsid w:val="008A7ACD"/>
    <w:rsid w:val="008A7AEF"/>
    <w:rsid w:val="008A7F8A"/>
    <w:rsid w:val="008B0094"/>
    <w:rsid w:val="008B0286"/>
    <w:rsid w:val="008B0AF9"/>
    <w:rsid w:val="008B0B19"/>
    <w:rsid w:val="008B0C3D"/>
    <w:rsid w:val="008B0C76"/>
    <w:rsid w:val="008B0C9B"/>
    <w:rsid w:val="008B0F09"/>
    <w:rsid w:val="008B111B"/>
    <w:rsid w:val="008B13C7"/>
    <w:rsid w:val="008B13EB"/>
    <w:rsid w:val="008B14A5"/>
    <w:rsid w:val="008B15C9"/>
    <w:rsid w:val="008B1713"/>
    <w:rsid w:val="008B1969"/>
    <w:rsid w:val="008B1A52"/>
    <w:rsid w:val="008B1AA2"/>
    <w:rsid w:val="008B1AF1"/>
    <w:rsid w:val="008B1AFA"/>
    <w:rsid w:val="008B1C41"/>
    <w:rsid w:val="008B1CEB"/>
    <w:rsid w:val="008B1DD4"/>
    <w:rsid w:val="008B1E88"/>
    <w:rsid w:val="008B1EC3"/>
    <w:rsid w:val="008B1FC2"/>
    <w:rsid w:val="008B2071"/>
    <w:rsid w:val="008B209E"/>
    <w:rsid w:val="008B22C1"/>
    <w:rsid w:val="008B2385"/>
    <w:rsid w:val="008B28D6"/>
    <w:rsid w:val="008B29A2"/>
    <w:rsid w:val="008B29C5"/>
    <w:rsid w:val="008B2A8A"/>
    <w:rsid w:val="008B2B4C"/>
    <w:rsid w:val="008B2D2C"/>
    <w:rsid w:val="008B2D57"/>
    <w:rsid w:val="008B2EE8"/>
    <w:rsid w:val="008B2FB0"/>
    <w:rsid w:val="008B308B"/>
    <w:rsid w:val="008B30CB"/>
    <w:rsid w:val="008B3151"/>
    <w:rsid w:val="008B31AA"/>
    <w:rsid w:val="008B3250"/>
    <w:rsid w:val="008B33C8"/>
    <w:rsid w:val="008B358F"/>
    <w:rsid w:val="008B36C0"/>
    <w:rsid w:val="008B3771"/>
    <w:rsid w:val="008B3783"/>
    <w:rsid w:val="008B379F"/>
    <w:rsid w:val="008B37E4"/>
    <w:rsid w:val="008B3846"/>
    <w:rsid w:val="008B399F"/>
    <w:rsid w:val="008B3B56"/>
    <w:rsid w:val="008B3C6A"/>
    <w:rsid w:val="008B3DFE"/>
    <w:rsid w:val="008B3FAC"/>
    <w:rsid w:val="008B3FC5"/>
    <w:rsid w:val="008B43DF"/>
    <w:rsid w:val="008B4711"/>
    <w:rsid w:val="008B488C"/>
    <w:rsid w:val="008B4A22"/>
    <w:rsid w:val="008B4A2A"/>
    <w:rsid w:val="008B4AF0"/>
    <w:rsid w:val="008B4AFA"/>
    <w:rsid w:val="008B4E2D"/>
    <w:rsid w:val="008B4FD0"/>
    <w:rsid w:val="008B501D"/>
    <w:rsid w:val="008B503E"/>
    <w:rsid w:val="008B5175"/>
    <w:rsid w:val="008B5246"/>
    <w:rsid w:val="008B52E9"/>
    <w:rsid w:val="008B5667"/>
    <w:rsid w:val="008B57D8"/>
    <w:rsid w:val="008B5AB0"/>
    <w:rsid w:val="008B5BB1"/>
    <w:rsid w:val="008B5BE7"/>
    <w:rsid w:val="008B5F50"/>
    <w:rsid w:val="008B5F5F"/>
    <w:rsid w:val="008B5F88"/>
    <w:rsid w:val="008B60C2"/>
    <w:rsid w:val="008B620A"/>
    <w:rsid w:val="008B63DA"/>
    <w:rsid w:val="008B644C"/>
    <w:rsid w:val="008B64BC"/>
    <w:rsid w:val="008B6521"/>
    <w:rsid w:val="008B669D"/>
    <w:rsid w:val="008B66B0"/>
    <w:rsid w:val="008B68C5"/>
    <w:rsid w:val="008B6953"/>
    <w:rsid w:val="008B69B4"/>
    <w:rsid w:val="008B6AC8"/>
    <w:rsid w:val="008B6D78"/>
    <w:rsid w:val="008B6E9A"/>
    <w:rsid w:val="008B701D"/>
    <w:rsid w:val="008B7947"/>
    <w:rsid w:val="008B79F1"/>
    <w:rsid w:val="008B7C18"/>
    <w:rsid w:val="008B7EC6"/>
    <w:rsid w:val="008B7EDE"/>
    <w:rsid w:val="008B7F2E"/>
    <w:rsid w:val="008C0032"/>
    <w:rsid w:val="008C00B8"/>
    <w:rsid w:val="008C013C"/>
    <w:rsid w:val="008C016D"/>
    <w:rsid w:val="008C0232"/>
    <w:rsid w:val="008C034F"/>
    <w:rsid w:val="008C0487"/>
    <w:rsid w:val="008C0664"/>
    <w:rsid w:val="008C06C1"/>
    <w:rsid w:val="008C06E1"/>
    <w:rsid w:val="008C06E5"/>
    <w:rsid w:val="008C06F4"/>
    <w:rsid w:val="008C086F"/>
    <w:rsid w:val="008C089F"/>
    <w:rsid w:val="008C08C0"/>
    <w:rsid w:val="008C0965"/>
    <w:rsid w:val="008C0A04"/>
    <w:rsid w:val="008C0C82"/>
    <w:rsid w:val="008C10EA"/>
    <w:rsid w:val="008C1138"/>
    <w:rsid w:val="008C11E0"/>
    <w:rsid w:val="008C11FD"/>
    <w:rsid w:val="008C1613"/>
    <w:rsid w:val="008C17C1"/>
    <w:rsid w:val="008C1986"/>
    <w:rsid w:val="008C1A2E"/>
    <w:rsid w:val="008C1ABB"/>
    <w:rsid w:val="008C1E15"/>
    <w:rsid w:val="008C1E9B"/>
    <w:rsid w:val="008C1FAE"/>
    <w:rsid w:val="008C2058"/>
    <w:rsid w:val="008C20BB"/>
    <w:rsid w:val="008C2478"/>
    <w:rsid w:val="008C26B5"/>
    <w:rsid w:val="008C27A5"/>
    <w:rsid w:val="008C2936"/>
    <w:rsid w:val="008C297A"/>
    <w:rsid w:val="008C2ADD"/>
    <w:rsid w:val="008C2AFD"/>
    <w:rsid w:val="008C2DC4"/>
    <w:rsid w:val="008C2E27"/>
    <w:rsid w:val="008C2ED8"/>
    <w:rsid w:val="008C2EF4"/>
    <w:rsid w:val="008C3216"/>
    <w:rsid w:val="008C3287"/>
    <w:rsid w:val="008C328F"/>
    <w:rsid w:val="008C329D"/>
    <w:rsid w:val="008C33DB"/>
    <w:rsid w:val="008C3527"/>
    <w:rsid w:val="008C376E"/>
    <w:rsid w:val="008C3863"/>
    <w:rsid w:val="008C39D4"/>
    <w:rsid w:val="008C3A63"/>
    <w:rsid w:val="008C3A82"/>
    <w:rsid w:val="008C3B81"/>
    <w:rsid w:val="008C3BA4"/>
    <w:rsid w:val="008C3C23"/>
    <w:rsid w:val="008C3C66"/>
    <w:rsid w:val="008C3D16"/>
    <w:rsid w:val="008C3DEE"/>
    <w:rsid w:val="008C3E3F"/>
    <w:rsid w:val="008C3EC0"/>
    <w:rsid w:val="008C40BB"/>
    <w:rsid w:val="008C42AF"/>
    <w:rsid w:val="008C440A"/>
    <w:rsid w:val="008C4556"/>
    <w:rsid w:val="008C4559"/>
    <w:rsid w:val="008C466F"/>
    <w:rsid w:val="008C46CC"/>
    <w:rsid w:val="008C48E2"/>
    <w:rsid w:val="008C49EE"/>
    <w:rsid w:val="008C4D67"/>
    <w:rsid w:val="008C4F91"/>
    <w:rsid w:val="008C5053"/>
    <w:rsid w:val="008C531E"/>
    <w:rsid w:val="008C5398"/>
    <w:rsid w:val="008C54DE"/>
    <w:rsid w:val="008C5539"/>
    <w:rsid w:val="008C58AE"/>
    <w:rsid w:val="008C5912"/>
    <w:rsid w:val="008C5A65"/>
    <w:rsid w:val="008C5A8F"/>
    <w:rsid w:val="008C6078"/>
    <w:rsid w:val="008C63A8"/>
    <w:rsid w:val="008C66DF"/>
    <w:rsid w:val="008C66EA"/>
    <w:rsid w:val="008C68B7"/>
    <w:rsid w:val="008C697E"/>
    <w:rsid w:val="008C6A21"/>
    <w:rsid w:val="008C6C19"/>
    <w:rsid w:val="008C6D39"/>
    <w:rsid w:val="008C6F52"/>
    <w:rsid w:val="008C6F6C"/>
    <w:rsid w:val="008C706D"/>
    <w:rsid w:val="008C70D8"/>
    <w:rsid w:val="008C70DE"/>
    <w:rsid w:val="008C710B"/>
    <w:rsid w:val="008C73AE"/>
    <w:rsid w:val="008C742A"/>
    <w:rsid w:val="008C7473"/>
    <w:rsid w:val="008C74A5"/>
    <w:rsid w:val="008C75BF"/>
    <w:rsid w:val="008C763C"/>
    <w:rsid w:val="008C76EA"/>
    <w:rsid w:val="008C7791"/>
    <w:rsid w:val="008C78FF"/>
    <w:rsid w:val="008C7C36"/>
    <w:rsid w:val="008C7CC2"/>
    <w:rsid w:val="008C7EEB"/>
    <w:rsid w:val="008C7F0B"/>
    <w:rsid w:val="008D0052"/>
    <w:rsid w:val="008D008B"/>
    <w:rsid w:val="008D00E1"/>
    <w:rsid w:val="008D02AC"/>
    <w:rsid w:val="008D02B3"/>
    <w:rsid w:val="008D0365"/>
    <w:rsid w:val="008D039B"/>
    <w:rsid w:val="008D0495"/>
    <w:rsid w:val="008D049D"/>
    <w:rsid w:val="008D04D8"/>
    <w:rsid w:val="008D069B"/>
    <w:rsid w:val="008D0768"/>
    <w:rsid w:val="008D078B"/>
    <w:rsid w:val="008D08EA"/>
    <w:rsid w:val="008D093E"/>
    <w:rsid w:val="008D0993"/>
    <w:rsid w:val="008D0AF5"/>
    <w:rsid w:val="008D0B10"/>
    <w:rsid w:val="008D0B69"/>
    <w:rsid w:val="008D0BE0"/>
    <w:rsid w:val="008D0CEE"/>
    <w:rsid w:val="008D0D00"/>
    <w:rsid w:val="008D0D96"/>
    <w:rsid w:val="008D0DA9"/>
    <w:rsid w:val="008D0E1C"/>
    <w:rsid w:val="008D1031"/>
    <w:rsid w:val="008D1168"/>
    <w:rsid w:val="008D1180"/>
    <w:rsid w:val="008D123E"/>
    <w:rsid w:val="008D1289"/>
    <w:rsid w:val="008D1359"/>
    <w:rsid w:val="008D160A"/>
    <w:rsid w:val="008D17D5"/>
    <w:rsid w:val="008D18D0"/>
    <w:rsid w:val="008D18FB"/>
    <w:rsid w:val="008D198A"/>
    <w:rsid w:val="008D1B70"/>
    <w:rsid w:val="008D1C9C"/>
    <w:rsid w:val="008D20A4"/>
    <w:rsid w:val="008D21BE"/>
    <w:rsid w:val="008D245E"/>
    <w:rsid w:val="008D2493"/>
    <w:rsid w:val="008D2496"/>
    <w:rsid w:val="008D24D8"/>
    <w:rsid w:val="008D2543"/>
    <w:rsid w:val="008D25F1"/>
    <w:rsid w:val="008D26C0"/>
    <w:rsid w:val="008D28EC"/>
    <w:rsid w:val="008D29CE"/>
    <w:rsid w:val="008D2AB6"/>
    <w:rsid w:val="008D2B8C"/>
    <w:rsid w:val="008D2C20"/>
    <w:rsid w:val="008D2D16"/>
    <w:rsid w:val="008D2D24"/>
    <w:rsid w:val="008D2D28"/>
    <w:rsid w:val="008D2E45"/>
    <w:rsid w:val="008D2E4B"/>
    <w:rsid w:val="008D2F21"/>
    <w:rsid w:val="008D307F"/>
    <w:rsid w:val="008D3112"/>
    <w:rsid w:val="008D326F"/>
    <w:rsid w:val="008D3474"/>
    <w:rsid w:val="008D3516"/>
    <w:rsid w:val="008D364A"/>
    <w:rsid w:val="008D36A1"/>
    <w:rsid w:val="008D38C8"/>
    <w:rsid w:val="008D397F"/>
    <w:rsid w:val="008D3A11"/>
    <w:rsid w:val="008D3C8F"/>
    <w:rsid w:val="008D3D03"/>
    <w:rsid w:val="008D3D88"/>
    <w:rsid w:val="008D3F0B"/>
    <w:rsid w:val="008D3F14"/>
    <w:rsid w:val="008D3F83"/>
    <w:rsid w:val="008D404E"/>
    <w:rsid w:val="008D4193"/>
    <w:rsid w:val="008D4358"/>
    <w:rsid w:val="008D435B"/>
    <w:rsid w:val="008D460B"/>
    <w:rsid w:val="008D47A8"/>
    <w:rsid w:val="008D4868"/>
    <w:rsid w:val="008D4989"/>
    <w:rsid w:val="008D499C"/>
    <w:rsid w:val="008D49B8"/>
    <w:rsid w:val="008D4B5C"/>
    <w:rsid w:val="008D4C13"/>
    <w:rsid w:val="008D4C3E"/>
    <w:rsid w:val="008D4C70"/>
    <w:rsid w:val="008D4CA2"/>
    <w:rsid w:val="008D4CCB"/>
    <w:rsid w:val="008D4F61"/>
    <w:rsid w:val="008D4FFF"/>
    <w:rsid w:val="008D5062"/>
    <w:rsid w:val="008D52DB"/>
    <w:rsid w:val="008D532E"/>
    <w:rsid w:val="008D538B"/>
    <w:rsid w:val="008D55DE"/>
    <w:rsid w:val="008D5754"/>
    <w:rsid w:val="008D5801"/>
    <w:rsid w:val="008D58AB"/>
    <w:rsid w:val="008D58B4"/>
    <w:rsid w:val="008D597A"/>
    <w:rsid w:val="008D5B6A"/>
    <w:rsid w:val="008D5E45"/>
    <w:rsid w:val="008D5F87"/>
    <w:rsid w:val="008D60BD"/>
    <w:rsid w:val="008D60FF"/>
    <w:rsid w:val="008D61C0"/>
    <w:rsid w:val="008D61D4"/>
    <w:rsid w:val="008D62AB"/>
    <w:rsid w:val="008D62F9"/>
    <w:rsid w:val="008D64E1"/>
    <w:rsid w:val="008D6582"/>
    <w:rsid w:val="008D6585"/>
    <w:rsid w:val="008D663E"/>
    <w:rsid w:val="008D66D8"/>
    <w:rsid w:val="008D6D2D"/>
    <w:rsid w:val="008D6DFE"/>
    <w:rsid w:val="008D6E14"/>
    <w:rsid w:val="008D710D"/>
    <w:rsid w:val="008D71C0"/>
    <w:rsid w:val="008D71E9"/>
    <w:rsid w:val="008D7234"/>
    <w:rsid w:val="008D7253"/>
    <w:rsid w:val="008D72EE"/>
    <w:rsid w:val="008D734D"/>
    <w:rsid w:val="008D7362"/>
    <w:rsid w:val="008D73F8"/>
    <w:rsid w:val="008D748C"/>
    <w:rsid w:val="008D75F8"/>
    <w:rsid w:val="008D76A1"/>
    <w:rsid w:val="008D7830"/>
    <w:rsid w:val="008D7859"/>
    <w:rsid w:val="008D7963"/>
    <w:rsid w:val="008D797F"/>
    <w:rsid w:val="008D7AD4"/>
    <w:rsid w:val="008D7DC6"/>
    <w:rsid w:val="008D7ECB"/>
    <w:rsid w:val="008E005F"/>
    <w:rsid w:val="008E00AD"/>
    <w:rsid w:val="008E0362"/>
    <w:rsid w:val="008E036F"/>
    <w:rsid w:val="008E03B3"/>
    <w:rsid w:val="008E06A4"/>
    <w:rsid w:val="008E07C7"/>
    <w:rsid w:val="008E0A1E"/>
    <w:rsid w:val="008E0DFD"/>
    <w:rsid w:val="008E10F6"/>
    <w:rsid w:val="008E1578"/>
    <w:rsid w:val="008E15D4"/>
    <w:rsid w:val="008E15F2"/>
    <w:rsid w:val="008E1622"/>
    <w:rsid w:val="008E173E"/>
    <w:rsid w:val="008E1747"/>
    <w:rsid w:val="008E1777"/>
    <w:rsid w:val="008E17C1"/>
    <w:rsid w:val="008E1988"/>
    <w:rsid w:val="008E1B12"/>
    <w:rsid w:val="008E1B9E"/>
    <w:rsid w:val="008E1C08"/>
    <w:rsid w:val="008E1C24"/>
    <w:rsid w:val="008E1F1E"/>
    <w:rsid w:val="008E20A3"/>
    <w:rsid w:val="008E2114"/>
    <w:rsid w:val="008E259E"/>
    <w:rsid w:val="008E27A0"/>
    <w:rsid w:val="008E2B8D"/>
    <w:rsid w:val="008E2C35"/>
    <w:rsid w:val="008E2C4E"/>
    <w:rsid w:val="008E2C89"/>
    <w:rsid w:val="008E2CB1"/>
    <w:rsid w:val="008E2E16"/>
    <w:rsid w:val="008E2E1E"/>
    <w:rsid w:val="008E2F52"/>
    <w:rsid w:val="008E3057"/>
    <w:rsid w:val="008E3108"/>
    <w:rsid w:val="008E31C4"/>
    <w:rsid w:val="008E3213"/>
    <w:rsid w:val="008E3243"/>
    <w:rsid w:val="008E32AA"/>
    <w:rsid w:val="008E35A1"/>
    <w:rsid w:val="008E35DA"/>
    <w:rsid w:val="008E3950"/>
    <w:rsid w:val="008E3B5A"/>
    <w:rsid w:val="008E3B9B"/>
    <w:rsid w:val="008E3CCC"/>
    <w:rsid w:val="008E3E42"/>
    <w:rsid w:val="008E40C5"/>
    <w:rsid w:val="008E42EC"/>
    <w:rsid w:val="008E4445"/>
    <w:rsid w:val="008E457B"/>
    <w:rsid w:val="008E4637"/>
    <w:rsid w:val="008E4844"/>
    <w:rsid w:val="008E48C5"/>
    <w:rsid w:val="008E4966"/>
    <w:rsid w:val="008E4A00"/>
    <w:rsid w:val="008E4A26"/>
    <w:rsid w:val="008E4B41"/>
    <w:rsid w:val="008E4B5B"/>
    <w:rsid w:val="008E4BEE"/>
    <w:rsid w:val="008E4BFA"/>
    <w:rsid w:val="008E4C98"/>
    <w:rsid w:val="008E4CDD"/>
    <w:rsid w:val="008E4DDC"/>
    <w:rsid w:val="008E4EA8"/>
    <w:rsid w:val="008E508A"/>
    <w:rsid w:val="008E5220"/>
    <w:rsid w:val="008E54A0"/>
    <w:rsid w:val="008E54CB"/>
    <w:rsid w:val="008E54ED"/>
    <w:rsid w:val="008E5527"/>
    <w:rsid w:val="008E560B"/>
    <w:rsid w:val="008E571D"/>
    <w:rsid w:val="008E574D"/>
    <w:rsid w:val="008E5A4F"/>
    <w:rsid w:val="008E5A81"/>
    <w:rsid w:val="008E5B14"/>
    <w:rsid w:val="008E5E3C"/>
    <w:rsid w:val="008E5F04"/>
    <w:rsid w:val="008E604C"/>
    <w:rsid w:val="008E60F4"/>
    <w:rsid w:val="008E6371"/>
    <w:rsid w:val="008E63A2"/>
    <w:rsid w:val="008E63E2"/>
    <w:rsid w:val="008E6733"/>
    <w:rsid w:val="008E6921"/>
    <w:rsid w:val="008E6977"/>
    <w:rsid w:val="008E6A20"/>
    <w:rsid w:val="008E6A64"/>
    <w:rsid w:val="008E6C1C"/>
    <w:rsid w:val="008E6C9D"/>
    <w:rsid w:val="008E78BD"/>
    <w:rsid w:val="008E7B50"/>
    <w:rsid w:val="008E7BFD"/>
    <w:rsid w:val="008E7C81"/>
    <w:rsid w:val="008E7E52"/>
    <w:rsid w:val="008E7FBB"/>
    <w:rsid w:val="008F00B4"/>
    <w:rsid w:val="008F00E7"/>
    <w:rsid w:val="008F0155"/>
    <w:rsid w:val="008F0305"/>
    <w:rsid w:val="008F044E"/>
    <w:rsid w:val="008F0481"/>
    <w:rsid w:val="008F04F1"/>
    <w:rsid w:val="008F05E1"/>
    <w:rsid w:val="008F06E2"/>
    <w:rsid w:val="008F070D"/>
    <w:rsid w:val="008F07C9"/>
    <w:rsid w:val="008F0830"/>
    <w:rsid w:val="008F08F9"/>
    <w:rsid w:val="008F0915"/>
    <w:rsid w:val="008F0918"/>
    <w:rsid w:val="008F0938"/>
    <w:rsid w:val="008F0C28"/>
    <w:rsid w:val="008F0D2A"/>
    <w:rsid w:val="008F0EDC"/>
    <w:rsid w:val="008F10E0"/>
    <w:rsid w:val="008F1127"/>
    <w:rsid w:val="008F1246"/>
    <w:rsid w:val="008F14C4"/>
    <w:rsid w:val="008F14E1"/>
    <w:rsid w:val="008F1600"/>
    <w:rsid w:val="008F167F"/>
    <w:rsid w:val="008F180D"/>
    <w:rsid w:val="008F182E"/>
    <w:rsid w:val="008F1884"/>
    <w:rsid w:val="008F1B87"/>
    <w:rsid w:val="008F1E5E"/>
    <w:rsid w:val="008F1F84"/>
    <w:rsid w:val="008F20F5"/>
    <w:rsid w:val="008F21EE"/>
    <w:rsid w:val="008F223D"/>
    <w:rsid w:val="008F244A"/>
    <w:rsid w:val="008F2475"/>
    <w:rsid w:val="008F24D8"/>
    <w:rsid w:val="008F251B"/>
    <w:rsid w:val="008F2556"/>
    <w:rsid w:val="008F2A18"/>
    <w:rsid w:val="008F2B97"/>
    <w:rsid w:val="008F2C7B"/>
    <w:rsid w:val="008F2E3C"/>
    <w:rsid w:val="008F2F35"/>
    <w:rsid w:val="008F2FFD"/>
    <w:rsid w:val="008F3017"/>
    <w:rsid w:val="008F31F6"/>
    <w:rsid w:val="008F3274"/>
    <w:rsid w:val="008F34D5"/>
    <w:rsid w:val="008F3547"/>
    <w:rsid w:val="008F35A4"/>
    <w:rsid w:val="008F35D4"/>
    <w:rsid w:val="008F37A7"/>
    <w:rsid w:val="008F37F7"/>
    <w:rsid w:val="008F391C"/>
    <w:rsid w:val="008F3BE1"/>
    <w:rsid w:val="008F3BE6"/>
    <w:rsid w:val="008F3BEB"/>
    <w:rsid w:val="008F3CDD"/>
    <w:rsid w:val="008F3F15"/>
    <w:rsid w:val="008F3F78"/>
    <w:rsid w:val="008F3F9A"/>
    <w:rsid w:val="008F4081"/>
    <w:rsid w:val="008F4167"/>
    <w:rsid w:val="008F41A7"/>
    <w:rsid w:val="008F41E6"/>
    <w:rsid w:val="008F42F9"/>
    <w:rsid w:val="008F438B"/>
    <w:rsid w:val="008F462E"/>
    <w:rsid w:val="008F47FB"/>
    <w:rsid w:val="008F4AEE"/>
    <w:rsid w:val="008F4BC0"/>
    <w:rsid w:val="008F4D55"/>
    <w:rsid w:val="008F4DE3"/>
    <w:rsid w:val="008F4EFC"/>
    <w:rsid w:val="008F5152"/>
    <w:rsid w:val="008F51F7"/>
    <w:rsid w:val="008F5258"/>
    <w:rsid w:val="008F525F"/>
    <w:rsid w:val="008F52F5"/>
    <w:rsid w:val="008F5405"/>
    <w:rsid w:val="008F54E9"/>
    <w:rsid w:val="008F55A4"/>
    <w:rsid w:val="008F55DB"/>
    <w:rsid w:val="008F577E"/>
    <w:rsid w:val="008F57F8"/>
    <w:rsid w:val="008F5980"/>
    <w:rsid w:val="008F5A0C"/>
    <w:rsid w:val="008F5B89"/>
    <w:rsid w:val="008F5C99"/>
    <w:rsid w:val="008F5DEE"/>
    <w:rsid w:val="008F5E27"/>
    <w:rsid w:val="008F5FAA"/>
    <w:rsid w:val="008F62C1"/>
    <w:rsid w:val="008F62FD"/>
    <w:rsid w:val="008F637B"/>
    <w:rsid w:val="008F6395"/>
    <w:rsid w:val="008F6720"/>
    <w:rsid w:val="008F680E"/>
    <w:rsid w:val="008F68F4"/>
    <w:rsid w:val="008F6A06"/>
    <w:rsid w:val="008F6B9F"/>
    <w:rsid w:val="008F6E08"/>
    <w:rsid w:val="008F6FD0"/>
    <w:rsid w:val="008F6FED"/>
    <w:rsid w:val="008F7044"/>
    <w:rsid w:val="008F7073"/>
    <w:rsid w:val="008F7267"/>
    <w:rsid w:val="008F7298"/>
    <w:rsid w:val="008F77CB"/>
    <w:rsid w:val="008F7A97"/>
    <w:rsid w:val="008F7B49"/>
    <w:rsid w:val="008F7DDE"/>
    <w:rsid w:val="008F7E52"/>
    <w:rsid w:val="0090020B"/>
    <w:rsid w:val="0090026E"/>
    <w:rsid w:val="009003A9"/>
    <w:rsid w:val="009005A8"/>
    <w:rsid w:val="00900726"/>
    <w:rsid w:val="0090080D"/>
    <w:rsid w:val="009009C6"/>
    <w:rsid w:val="009009E6"/>
    <w:rsid w:val="00900A20"/>
    <w:rsid w:val="00900A22"/>
    <w:rsid w:val="00900C09"/>
    <w:rsid w:val="00900E27"/>
    <w:rsid w:val="00900E94"/>
    <w:rsid w:val="00900F04"/>
    <w:rsid w:val="00901155"/>
    <w:rsid w:val="00901162"/>
    <w:rsid w:val="00901174"/>
    <w:rsid w:val="0090117B"/>
    <w:rsid w:val="00901344"/>
    <w:rsid w:val="00901422"/>
    <w:rsid w:val="0090152D"/>
    <w:rsid w:val="0090160C"/>
    <w:rsid w:val="00901685"/>
    <w:rsid w:val="00901709"/>
    <w:rsid w:val="009018EA"/>
    <w:rsid w:val="009019D7"/>
    <w:rsid w:val="009019F9"/>
    <w:rsid w:val="00901AAB"/>
    <w:rsid w:val="00901B4F"/>
    <w:rsid w:val="00901B88"/>
    <w:rsid w:val="00901E66"/>
    <w:rsid w:val="00901ED8"/>
    <w:rsid w:val="00901F5B"/>
    <w:rsid w:val="00902029"/>
    <w:rsid w:val="009021CB"/>
    <w:rsid w:val="009021D1"/>
    <w:rsid w:val="00902248"/>
    <w:rsid w:val="0090225F"/>
    <w:rsid w:val="009022B1"/>
    <w:rsid w:val="009022D1"/>
    <w:rsid w:val="00902511"/>
    <w:rsid w:val="009025F9"/>
    <w:rsid w:val="00902959"/>
    <w:rsid w:val="0090297B"/>
    <w:rsid w:val="00902F45"/>
    <w:rsid w:val="00902F79"/>
    <w:rsid w:val="009033A7"/>
    <w:rsid w:val="00903645"/>
    <w:rsid w:val="009037B6"/>
    <w:rsid w:val="009037D4"/>
    <w:rsid w:val="009038BC"/>
    <w:rsid w:val="009038F7"/>
    <w:rsid w:val="009039E4"/>
    <w:rsid w:val="00903EC7"/>
    <w:rsid w:val="00904069"/>
    <w:rsid w:val="0090422F"/>
    <w:rsid w:val="0090428C"/>
    <w:rsid w:val="00904316"/>
    <w:rsid w:val="009045C6"/>
    <w:rsid w:val="0090480F"/>
    <w:rsid w:val="009048A4"/>
    <w:rsid w:val="00904A1B"/>
    <w:rsid w:val="00904A99"/>
    <w:rsid w:val="00904AFC"/>
    <w:rsid w:val="00904CFB"/>
    <w:rsid w:val="00904FE2"/>
    <w:rsid w:val="00905162"/>
    <w:rsid w:val="00905295"/>
    <w:rsid w:val="009054A1"/>
    <w:rsid w:val="009054BE"/>
    <w:rsid w:val="009054C1"/>
    <w:rsid w:val="00905651"/>
    <w:rsid w:val="0090565E"/>
    <w:rsid w:val="009056C3"/>
    <w:rsid w:val="009056D3"/>
    <w:rsid w:val="00905896"/>
    <w:rsid w:val="009058B0"/>
    <w:rsid w:val="009059D7"/>
    <w:rsid w:val="00905B00"/>
    <w:rsid w:val="00905FEA"/>
    <w:rsid w:val="0090639F"/>
    <w:rsid w:val="00906416"/>
    <w:rsid w:val="0090642C"/>
    <w:rsid w:val="0090647A"/>
    <w:rsid w:val="009068EF"/>
    <w:rsid w:val="00906979"/>
    <w:rsid w:val="00906A6B"/>
    <w:rsid w:val="00906A8E"/>
    <w:rsid w:val="00906AC7"/>
    <w:rsid w:val="00906AE3"/>
    <w:rsid w:val="00906E4B"/>
    <w:rsid w:val="00906EDC"/>
    <w:rsid w:val="00906F2E"/>
    <w:rsid w:val="00906FCC"/>
    <w:rsid w:val="009071FB"/>
    <w:rsid w:val="009074E1"/>
    <w:rsid w:val="00907714"/>
    <w:rsid w:val="009077A0"/>
    <w:rsid w:val="0090785B"/>
    <w:rsid w:val="00907A0C"/>
    <w:rsid w:val="00907AE9"/>
    <w:rsid w:val="00907B5B"/>
    <w:rsid w:val="00907BBB"/>
    <w:rsid w:val="00907D5B"/>
    <w:rsid w:val="00907D68"/>
    <w:rsid w:val="00907DDC"/>
    <w:rsid w:val="00907E27"/>
    <w:rsid w:val="00907FAE"/>
    <w:rsid w:val="00907FD9"/>
    <w:rsid w:val="009105AE"/>
    <w:rsid w:val="009106C1"/>
    <w:rsid w:val="0091085C"/>
    <w:rsid w:val="009108DA"/>
    <w:rsid w:val="009108E8"/>
    <w:rsid w:val="00910923"/>
    <w:rsid w:val="00910A64"/>
    <w:rsid w:val="00910B33"/>
    <w:rsid w:val="00910BE8"/>
    <w:rsid w:val="00910C6C"/>
    <w:rsid w:val="00910DDA"/>
    <w:rsid w:val="00910E10"/>
    <w:rsid w:val="009110A0"/>
    <w:rsid w:val="0091126E"/>
    <w:rsid w:val="009112EF"/>
    <w:rsid w:val="00911339"/>
    <w:rsid w:val="0091182D"/>
    <w:rsid w:val="009118AA"/>
    <w:rsid w:val="009118B4"/>
    <w:rsid w:val="00911A55"/>
    <w:rsid w:val="00911D65"/>
    <w:rsid w:val="00911DA5"/>
    <w:rsid w:val="00911DD9"/>
    <w:rsid w:val="00911EC9"/>
    <w:rsid w:val="00911F03"/>
    <w:rsid w:val="00911F21"/>
    <w:rsid w:val="00911F6A"/>
    <w:rsid w:val="00912218"/>
    <w:rsid w:val="00912345"/>
    <w:rsid w:val="00912427"/>
    <w:rsid w:val="00912458"/>
    <w:rsid w:val="0091249F"/>
    <w:rsid w:val="0091254E"/>
    <w:rsid w:val="00912691"/>
    <w:rsid w:val="0091273C"/>
    <w:rsid w:val="00912979"/>
    <w:rsid w:val="00912B23"/>
    <w:rsid w:val="00912BE8"/>
    <w:rsid w:val="00912CE2"/>
    <w:rsid w:val="009131AC"/>
    <w:rsid w:val="0091327D"/>
    <w:rsid w:val="009132A6"/>
    <w:rsid w:val="00913410"/>
    <w:rsid w:val="00913642"/>
    <w:rsid w:val="009136AC"/>
    <w:rsid w:val="00913764"/>
    <w:rsid w:val="0091377B"/>
    <w:rsid w:val="009137D4"/>
    <w:rsid w:val="0091383E"/>
    <w:rsid w:val="00913894"/>
    <w:rsid w:val="009139DB"/>
    <w:rsid w:val="00913A9A"/>
    <w:rsid w:val="00913B31"/>
    <w:rsid w:val="00913BE1"/>
    <w:rsid w:val="00913FD4"/>
    <w:rsid w:val="00914024"/>
    <w:rsid w:val="009140AA"/>
    <w:rsid w:val="009140CD"/>
    <w:rsid w:val="0091411C"/>
    <w:rsid w:val="00914189"/>
    <w:rsid w:val="00914194"/>
    <w:rsid w:val="00914208"/>
    <w:rsid w:val="0091424D"/>
    <w:rsid w:val="00914293"/>
    <w:rsid w:val="00914332"/>
    <w:rsid w:val="00914572"/>
    <w:rsid w:val="00914BD9"/>
    <w:rsid w:val="00914C0C"/>
    <w:rsid w:val="00914C54"/>
    <w:rsid w:val="00914EA2"/>
    <w:rsid w:val="0091516C"/>
    <w:rsid w:val="0091521E"/>
    <w:rsid w:val="0091525A"/>
    <w:rsid w:val="00915311"/>
    <w:rsid w:val="00915359"/>
    <w:rsid w:val="0091583E"/>
    <w:rsid w:val="00915946"/>
    <w:rsid w:val="00915A60"/>
    <w:rsid w:val="00915AD9"/>
    <w:rsid w:val="00915ADA"/>
    <w:rsid w:val="00915CDE"/>
    <w:rsid w:val="00915D3B"/>
    <w:rsid w:val="00915E02"/>
    <w:rsid w:val="00915EA4"/>
    <w:rsid w:val="0091603E"/>
    <w:rsid w:val="0091607A"/>
    <w:rsid w:val="00916167"/>
    <w:rsid w:val="00916244"/>
    <w:rsid w:val="009163DC"/>
    <w:rsid w:val="00916415"/>
    <w:rsid w:val="00916433"/>
    <w:rsid w:val="00916646"/>
    <w:rsid w:val="009166E9"/>
    <w:rsid w:val="0091677B"/>
    <w:rsid w:val="00916A61"/>
    <w:rsid w:val="00916A69"/>
    <w:rsid w:val="00916E3B"/>
    <w:rsid w:val="00916E82"/>
    <w:rsid w:val="00916F8D"/>
    <w:rsid w:val="0091705C"/>
    <w:rsid w:val="009170C0"/>
    <w:rsid w:val="00917157"/>
    <w:rsid w:val="0091720C"/>
    <w:rsid w:val="00917214"/>
    <w:rsid w:val="00917235"/>
    <w:rsid w:val="00917239"/>
    <w:rsid w:val="00917647"/>
    <w:rsid w:val="00917707"/>
    <w:rsid w:val="009177CB"/>
    <w:rsid w:val="0091782A"/>
    <w:rsid w:val="00917843"/>
    <w:rsid w:val="00917971"/>
    <w:rsid w:val="00917D29"/>
    <w:rsid w:val="00917D4D"/>
    <w:rsid w:val="0092026E"/>
    <w:rsid w:val="009203AC"/>
    <w:rsid w:val="0092041E"/>
    <w:rsid w:val="009204B0"/>
    <w:rsid w:val="00920558"/>
    <w:rsid w:val="0092057F"/>
    <w:rsid w:val="00920775"/>
    <w:rsid w:val="009207FF"/>
    <w:rsid w:val="009208D7"/>
    <w:rsid w:val="00920AA1"/>
    <w:rsid w:val="00920B12"/>
    <w:rsid w:val="00920C24"/>
    <w:rsid w:val="00920C7D"/>
    <w:rsid w:val="0092135C"/>
    <w:rsid w:val="00921393"/>
    <w:rsid w:val="009216C0"/>
    <w:rsid w:val="00921751"/>
    <w:rsid w:val="009217CB"/>
    <w:rsid w:val="00921A17"/>
    <w:rsid w:val="00921D22"/>
    <w:rsid w:val="00921D61"/>
    <w:rsid w:val="00922057"/>
    <w:rsid w:val="00922215"/>
    <w:rsid w:val="009222C6"/>
    <w:rsid w:val="00922508"/>
    <w:rsid w:val="00922639"/>
    <w:rsid w:val="009226BA"/>
    <w:rsid w:val="009227BC"/>
    <w:rsid w:val="0092288A"/>
    <w:rsid w:val="00922994"/>
    <w:rsid w:val="00922A3D"/>
    <w:rsid w:val="00922B39"/>
    <w:rsid w:val="00922B78"/>
    <w:rsid w:val="00922CE5"/>
    <w:rsid w:val="00922E5A"/>
    <w:rsid w:val="00922FF3"/>
    <w:rsid w:val="00923000"/>
    <w:rsid w:val="00923147"/>
    <w:rsid w:val="00923153"/>
    <w:rsid w:val="0092335E"/>
    <w:rsid w:val="009233CC"/>
    <w:rsid w:val="00923449"/>
    <w:rsid w:val="0092346B"/>
    <w:rsid w:val="00923818"/>
    <w:rsid w:val="009239AF"/>
    <w:rsid w:val="00923BEA"/>
    <w:rsid w:val="00923D3E"/>
    <w:rsid w:val="00923DE6"/>
    <w:rsid w:val="00923F2E"/>
    <w:rsid w:val="00924492"/>
    <w:rsid w:val="009246D4"/>
    <w:rsid w:val="009247DE"/>
    <w:rsid w:val="0092484E"/>
    <w:rsid w:val="00924909"/>
    <w:rsid w:val="00924B3E"/>
    <w:rsid w:val="00924D9B"/>
    <w:rsid w:val="00925091"/>
    <w:rsid w:val="009251D7"/>
    <w:rsid w:val="0092537E"/>
    <w:rsid w:val="00925422"/>
    <w:rsid w:val="0092551A"/>
    <w:rsid w:val="00925604"/>
    <w:rsid w:val="00925642"/>
    <w:rsid w:val="009257D3"/>
    <w:rsid w:val="009257E9"/>
    <w:rsid w:val="009257F5"/>
    <w:rsid w:val="0092590E"/>
    <w:rsid w:val="0092591C"/>
    <w:rsid w:val="009259A1"/>
    <w:rsid w:val="0092625D"/>
    <w:rsid w:val="0092645F"/>
    <w:rsid w:val="0092654C"/>
    <w:rsid w:val="009265A6"/>
    <w:rsid w:val="0092665F"/>
    <w:rsid w:val="009267C1"/>
    <w:rsid w:val="00926829"/>
    <w:rsid w:val="00926863"/>
    <w:rsid w:val="00926AB0"/>
    <w:rsid w:val="00926AF7"/>
    <w:rsid w:val="00926CB5"/>
    <w:rsid w:val="00926D1B"/>
    <w:rsid w:val="00926D5E"/>
    <w:rsid w:val="00926D84"/>
    <w:rsid w:val="00926E6E"/>
    <w:rsid w:val="00927149"/>
    <w:rsid w:val="009271AB"/>
    <w:rsid w:val="009271D7"/>
    <w:rsid w:val="009272CC"/>
    <w:rsid w:val="00927303"/>
    <w:rsid w:val="00927338"/>
    <w:rsid w:val="0092733E"/>
    <w:rsid w:val="0092754B"/>
    <w:rsid w:val="009275B7"/>
    <w:rsid w:val="009276CC"/>
    <w:rsid w:val="00927903"/>
    <w:rsid w:val="00927CDF"/>
    <w:rsid w:val="00927EF9"/>
    <w:rsid w:val="009302EF"/>
    <w:rsid w:val="0093042D"/>
    <w:rsid w:val="009304D2"/>
    <w:rsid w:val="0093057D"/>
    <w:rsid w:val="009305DC"/>
    <w:rsid w:val="0093063E"/>
    <w:rsid w:val="009307CF"/>
    <w:rsid w:val="009307D8"/>
    <w:rsid w:val="00930849"/>
    <w:rsid w:val="00930C0C"/>
    <w:rsid w:val="00930C0F"/>
    <w:rsid w:val="00930C67"/>
    <w:rsid w:val="00930D5B"/>
    <w:rsid w:val="00930E28"/>
    <w:rsid w:val="00930E52"/>
    <w:rsid w:val="00930E5F"/>
    <w:rsid w:val="00931219"/>
    <w:rsid w:val="00931496"/>
    <w:rsid w:val="00931963"/>
    <w:rsid w:val="00931A4B"/>
    <w:rsid w:val="00931ABD"/>
    <w:rsid w:val="00931AD5"/>
    <w:rsid w:val="00931BEE"/>
    <w:rsid w:val="00931C01"/>
    <w:rsid w:val="00931CB3"/>
    <w:rsid w:val="00931EA0"/>
    <w:rsid w:val="00932100"/>
    <w:rsid w:val="00932112"/>
    <w:rsid w:val="00932336"/>
    <w:rsid w:val="00932457"/>
    <w:rsid w:val="009328F7"/>
    <w:rsid w:val="00932939"/>
    <w:rsid w:val="009329EA"/>
    <w:rsid w:val="00932C25"/>
    <w:rsid w:val="00932C5E"/>
    <w:rsid w:val="00932CF2"/>
    <w:rsid w:val="00932D10"/>
    <w:rsid w:val="00932D45"/>
    <w:rsid w:val="00932DBF"/>
    <w:rsid w:val="00932E2D"/>
    <w:rsid w:val="00932F35"/>
    <w:rsid w:val="00932FFF"/>
    <w:rsid w:val="009331D5"/>
    <w:rsid w:val="0093348F"/>
    <w:rsid w:val="009335CE"/>
    <w:rsid w:val="009336AA"/>
    <w:rsid w:val="009337A4"/>
    <w:rsid w:val="0093385E"/>
    <w:rsid w:val="0093395F"/>
    <w:rsid w:val="00933A29"/>
    <w:rsid w:val="00933C53"/>
    <w:rsid w:val="00933FE8"/>
    <w:rsid w:val="00933FF6"/>
    <w:rsid w:val="009340BD"/>
    <w:rsid w:val="009341D9"/>
    <w:rsid w:val="0093423A"/>
    <w:rsid w:val="009343B0"/>
    <w:rsid w:val="0093443A"/>
    <w:rsid w:val="009344D9"/>
    <w:rsid w:val="00934524"/>
    <w:rsid w:val="0093466E"/>
    <w:rsid w:val="009349EE"/>
    <w:rsid w:val="00934C40"/>
    <w:rsid w:val="00934C84"/>
    <w:rsid w:val="00934D4C"/>
    <w:rsid w:val="00934D81"/>
    <w:rsid w:val="00934E36"/>
    <w:rsid w:val="00934E43"/>
    <w:rsid w:val="00934E57"/>
    <w:rsid w:val="00934FA5"/>
    <w:rsid w:val="009352D5"/>
    <w:rsid w:val="0093539E"/>
    <w:rsid w:val="009356CE"/>
    <w:rsid w:val="0093571E"/>
    <w:rsid w:val="0093579E"/>
    <w:rsid w:val="009358B9"/>
    <w:rsid w:val="0093590B"/>
    <w:rsid w:val="00935C96"/>
    <w:rsid w:val="00935E6F"/>
    <w:rsid w:val="00935E86"/>
    <w:rsid w:val="00935F09"/>
    <w:rsid w:val="00935F68"/>
    <w:rsid w:val="009360B1"/>
    <w:rsid w:val="009360F6"/>
    <w:rsid w:val="0093617A"/>
    <w:rsid w:val="0093650B"/>
    <w:rsid w:val="009365A2"/>
    <w:rsid w:val="00936641"/>
    <w:rsid w:val="00936643"/>
    <w:rsid w:val="00936657"/>
    <w:rsid w:val="00936768"/>
    <w:rsid w:val="009367A4"/>
    <w:rsid w:val="009367B5"/>
    <w:rsid w:val="0093685D"/>
    <w:rsid w:val="0093695F"/>
    <w:rsid w:val="00936AB4"/>
    <w:rsid w:val="00936D52"/>
    <w:rsid w:val="00936F8C"/>
    <w:rsid w:val="00936FA3"/>
    <w:rsid w:val="009370B0"/>
    <w:rsid w:val="009370E7"/>
    <w:rsid w:val="0093711D"/>
    <w:rsid w:val="009373A3"/>
    <w:rsid w:val="00937502"/>
    <w:rsid w:val="009376C0"/>
    <w:rsid w:val="009376F2"/>
    <w:rsid w:val="00937744"/>
    <w:rsid w:val="0093774F"/>
    <w:rsid w:val="00937752"/>
    <w:rsid w:val="00937799"/>
    <w:rsid w:val="009378B7"/>
    <w:rsid w:val="00937A4D"/>
    <w:rsid w:val="00937B2B"/>
    <w:rsid w:val="00937BF7"/>
    <w:rsid w:val="00937EBD"/>
    <w:rsid w:val="009401DC"/>
    <w:rsid w:val="00940265"/>
    <w:rsid w:val="00940311"/>
    <w:rsid w:val="009404C7"/>
    <w:rsid w:val="00940501"/>
    <w:rsid w:val="0094061F"/>
    <w:rsid w:val="009407BC"/>
    <w:rsid w:val="009408B0"/>
    <w:rsid w:val="0094094F"/>
    <w:rsid w:val="00940C41"/>
    <w:rsid w:val="00940C6D"/>
    <w:rsid w:val="00940D1A"/>
    <w:rsid w:val="00940E7C"/>
    <w:rsid w:val="00940ED6"/>
    <w:rsid w:val="009411A4"/>
    <w:rsid w:val="009411CA"/>
    <w:rsid w:val="009412B8"/>
    <w:rsid w:val="009412DA"/>
    <w:rsid w:val="009414DD"/>
    <w:rsid w:val="009415F4"/>
    <w:rsid w:val="00941611"/>
    <w:rsid w:val="009419EC"/>
    <w:rsid w:val="00941A66"/>
    <w:rsid w:val="00941B55"/>
    <w:rsid w:val="00941C00"/>
    <w:rsid w:val="00941D20"/>
    <w:rsid w:val="00941EDE"/>
    <w:rsid w:val="00941EE6"/>
    <w:rsid w:val="00941FF0"/>
    <w:rsid w:val="00942019"/>
    <w:rsid w:val="0094204A"/>
    <w:rsid w:val="009420A5"/>
    <w:rsid w:val="00942180"/>
    <w:rsid w:val="00942507"/>
    <w:rsid w:val="009425A8"/>
    <w:rsid w:val="009426D8"/>
    <w:rsid w:val="00942702"/>
    <w:rsid w:val="00942710"/>
    <w:rsid w:val="00942734"/>
    <w:rsid w:val="0094288D"/>
    <w:rsid w:val="0094291A"/>
    <w:rsid w:val="009429AA"/>
    <w:rsid w:val="009429C9"/>
    <w:rsid w:val="00942AAA"/>
    <w:rsid w:val="00942AC7"/>
    <w:rsid w:val="00942B3A"/>
    <w:rsid w:val="00942BC3"/>
    <w:rsid w:val="00942CA3"/>
    <w:rsid w:val="00942D6E"/>
    <w:rsid w:val="00942E4E"/>
    <w:rsid w:val="00942EF9"/>
    <w:rsid w:val="00943013"/>
    <w:rsid w:val="00943098"/>
    <w:rsid w:val="009430E2"/>
    <w:rsid w:val="00943435"/>
    <w:rsid w:val="0094348E"/>
    <w:rsid w:val="0094349E"/>
    <w:rsid w:val="00943709"/>
    <w:rsid w:val="00943716"/>
    <w:rsid w:val="009437D9"/>
    <w:rsid w:val="0094385B"/>
    <w:rsid w:val="009438BB"/>
    <w:rsid w:val="009439FF"/>
    <w:rsid w:val="00943B9B"/>
    <w:rsid w:val="00943DE8"/>
    <w:rsid w:val="00943DFE"/>
    <w:rsid w:val="00943EC4"/>
    <w:rsid w:val="00943ED7"/>
    <w:rsid w:val="0094409B"/>
    <w:rsid w:val="009441AC"/>
    <w:rsid w:val="00944223"/>
    <w:rsid w:val="00944258"/>
    <w:rsid w:val="0094442E"/>
    <w:rsid w:val="00944533"/>
    <w:rsid w:val="00944703"/>
    <w:rsid w:val="00944D64"/>
    <w:rsid w:val="00944EA8"/>
    <w:rsid w:val="00945034"/>
    <w:rsid w:val="00945097"/>
    <w:rsid w:val="009450F1"/>
    <w:rsid w:val="0094552E"/>
    <w:rsid w:val="00945606"/>
    <w:rsid w:val="00945A0A"/>
    <w:rsid w:val="00945BAE"/>
    <w:rsid w:val="00945C7A"/>
    <w:rsid w:val="00945D0C"/>
    <w:rsid w:val="00945D7F"/>
    <w:rsid w:val="009461F9"/>
    <w:rsid w:val="0094633F"/>
    <w:rsid w:val="0094644D"/>
    <w:rsid w:val="0094646A"/>
    <w:rsid w:val="00946668"/>
    <w:rsid w:val="009466BA"/>
    <w:rsid w:val="009467B1"/>
    <w:rsid w:val="009469CC"/>
    <w:rsid w:val="00946A75"/>
    <w:rsid w:val="00946A95"/>
    <w:rsid w:val="00946B02"/>
    <w:rsid w:val="00946D1B"/>
    <w:rsid w:val="00946ECC"/>
    <w:rsid w:val="00946F9A"/>
    <w:rsid w:val="0094707B"/>
    <w:rsid w:val="009470A9"/>
    <w:rsid w:val="009472D4"/>
    <w:rsid w:val="00947335"/>
    <w:rsid w:val="009473AA"/>
    <w:rsid w:val="009476A0"/>
    <w:rsid w:val="00947746"/>
    <w:rsid w:val="009477D8"/>
    <w:rsid w:val="0094796D"/>
    <w:rsid w:val="00947A39"/>
    <w:rsid w:val="00947A70"/>
    <w:rsid w:val="00947BF0"/>
    <w:rsid w:val="00947BFF"/>
    <w:rsid w:val="00947D78"/>
    <w:rsid w:val="00947E70"/>
    <w:rsid w:val="00947EDD"/>
    <w:rsid w:val="00947FB5"/>
    <w:rsid w:val="0095026A"/>
    <w:rsid w:val="00950431"/>
    <w:rsid w:val="0095046F"/>
    <w:rsid w:val="009504B5"/>
    <w:rsid w:val="00950687"/>
    <w:rsid w:val="00950845"/>
    <w:rsid w:val="009508A5"/>
    <w:rsid w:val="00950933"/>
    <w:rsid w:val="00950938"/>
    <w:rsid w:val="0095093F"/>
    <w:rsid w:val="00950A60"/>
    <w:rsid w:val="00950A81"/>
    <w:rsid w:val="00950B2A"/>
    <w:rsid w:val="00950BF5"/>
    <w:rsid w:val="00950C9A"/>
    <w:rsid w:val="00950CED"/>
    <w:rsid w:val="00950FBC"/>
    <w:rsid w:val="00950FE8"/>
    <w:rsid w:val="009510C3"/>
    <w:rsid w:val="009511B9"/>
    <w:rsid w:val="0095121F"/>
    <w:rsid w:val="0095128E"/>
    <w:rsid w:val="00951329"/>
    <w:rsid w:val="009514FC"/>
    <w:rsid w:val="00951587"/>
    <w:rsid w:val="009515D5"/>
    <w:rsid w:val="009515EE"/>
    <w:rsid w:val="00951B2C"/>
    <w:rsid w:val="00951B7D"/>
    <w:rsid w:val="00951C31"/>
    <w:rsid w:val="00951DC8"/>
    <w:rsid w:val="009520A4"/>
    <w:rsid w:val="00952168"/>
    <w:rsid w:val="009521BF"/>
    <w:rsid w:val="009521C4"/>
    <w:rsid w:val="009521D6"/>
    <w:rsid w:val="00952277"/>
    <w:rsid w:val="009523AE"/>
    <w:rsid w:val="009523F2"/>
    <w:rsid w:val="00952434"/>
    <w:rsid w:val="00952722"/>
    <w:rsid w:val="00952783"/>
    <w:rsid w:val="0095279E"/>
    <w:rsid w:val="0095285F"/>
    <w:rsid w:val="00952889"/>
    <w:rsid w:val="009528C4"/>
    <w:rsid w:val="009529A6"/>
    <w:rsid w:val="00952AA5"/>
    <w:rsid w:val="00952CA2"/>
    <w:rsid w:val="00952CD2"/>
    <w:rsid w:val="00952E31"/>
    <w:rsid w:val="00952E66"/>
    <w:rsid w:val="00952F2B"/>
    <w:rsid w:val="00952F82"/>
    <w:rsid w:val="00953215"/>
    <w:rsid w:val="00953390"/>
    <w:rsid w:val="009533B7"/>
    <w:rsid w:val="009535F4"/>
    <w:rsid w:val="009536EC"/>
    <w:rsid w:val="009539DD"/>
    <w:rsid w:val="00953D02"/>
    <w:rsid w:val="00953F0F"/>
    <w:rsid w:val="00953F5B"/>
    <w:rsid w:val="00953F78"/>
    <w:rsid w:val="00954016"/>
    <w:rsid w:val="009541CC"/>
    <w:rsid w:val="009542DB"/>
    <w:rsid w:val="00954323"/>
    <w:rsid w:val="00954385"/>
    <w:rsid w:val="009543AB"/>
    <w:rsid w:val="00954415"/>
    <w:rsid w:val="009545B7"/>
    <w:rsid w:val="009547DA"/>
    <w:rsid w:val="00954855"/>
    <w:rsid w:val="00954891"/>
    <w:rsid w:val="009549A7"/>
    <w:rsid w:val="00954C90"/>
    <w:rsid w:val="00954E79"/>
    <w:rsid w:val="00954EBB"/>
    <w:rsid w:val="00954F48"/>
    <w:rsid w:val="00954FA1"/>
    <w:rsid w:val="0095506B"/>
    <w:rsid w:val="00955201"/>
    <w:rsid w:val="009552ED"/>
    <w:rsid w:val="009553B9"/>
    <w:rsid w:val="00955418"/>
    <w:rsid w:val="00955442"/>
    <w:rsid w:val="00955500"/>
    <w:rsid w:val="0095550A"/>
    <w:rsid w:val="0095568B"/>
    <w:rsid w:val="009558BE"/>
    <w:rsid w:val="00955A9E"/>
    <w:rsid w:val="00955CA5"/>
    <w:rsid w:val="00955E82"/>
    <w:rsid w:val="00956012"/>
    <w:rsid w:val="0095602D"/>
    <w:rsid w:val="00956054"/>
    <w:rsid w:val="009560A1"/>
    <w:rsid w:val="00956124"/>
    <w:rsid w:val="00956361"/>
    <w:rsid w:val="00956384"/>
    <w:rsid w:val="0095648D"/>
    <w:rsid w:val="009564AF"/>
    <w:rsid w:val="0095651C"/>
    <w:rsid w:val="00956589"/>
    <w:rsid w:val="00956750"/>
    <w:rsid w:val="009567F5"/>
    <w:rsid w:val="00956CC4"/>
    <w:rsid w:val="00956D30"/>
    <w:rsid w:val="00956F1B"/>
    <w:rsid w:val="009571B3"/>
    <w:rsid w:val="009573C1"/>
    <w:rsid w:val="009574F2"/>
    <w:rsid w:val="00957555"/>
    <w:rsid w:val="0095766A"/>
    <w:rsid w:val="009576A5"/>
    <w:rsid w:val="0095775A"/>
    <w:rsid w:val="0095776A"/>
    <w:rsid w:val="0095780D"/>
    <w:rsid w:val="009578F3"/>
    <w:rsid w:val="0095799F"/>
    <w:rsid w:val="00957AD1"/>
    <w:rsid w:val="00957B27"/>
    <w:rsid w:val="00957E43"/>
    <w:rsid w:val="00957EE0"/>
    <w:rsid w:val="009604D3"/>
    <w:rsid w:val="0096054A"/>
    <w:rsid w:val="009607F5"/>
    <w:rsid w:val="009609A4"/>
    <w:rsid w:val="00960A8F"/>
    <w:rsid w:val="00960AB1"/>
    <w:rsid w:val="00960C0F"/>
    <w:rsid w:val="00960D37"/>
    <w:rsid w:val="00960DD2"/>
    <w:rsid w:val="00960E9B"/>
    <w:rsid w:val="00960FFC"/>
    <w:rsid w:val="0096104C"/>
    <w:rsid w:val="00961084"/>
    <w:rsid w:val="0096110F"/>
    <w:rsid w:val="00961208"/>
    <w:rsid w:val="00961242"/>
    <w:rsid w:val="009613B1"/>
    <w:rsid w:val="009614BB"/>
    <w:rsid w:val="009614BE"/>
    <w:rsid w:val="009614DF"/>
    <w:rsid w:val="009616EB"/>
    <w:rsid w:val="009617A9"/>
    <w:rsid w:val="009617C4"/>
    <w:rsid w:val="009618AA"/>
    <w:rsid w:val="00961A03"/>
    <w:rsid w:val="00961CD9"/>
    <w:rsid w:val="00961DAA"/>
    <w:rsid w:val="00961DFD"/>
    <w:rsid w:val="0096207C"/>
    <w:rsid w:val="009623EE"/>
    <w:rsid w:val="009623F3"/>
    <w:rsid w:val="00962685"/>
    <w:rsid w:val="009626C2"/>
    <w:rsid w:val="0096284A"/>
    <w:rsid w:val="00962920"/>
    <w:rsid w:val="00962AFE"/>
    <w:rsid w:val="00962BD0"/>
    <w:rsid w:val="00962DB1"/>
    <w:rsid w:val="00962E0F"/>
    <w:rsid w:val="00962FF9"/>
    <w:rsid w:val="0096313C"/>
    <w:rsid w:val="00963279"/>
    <w:rsid w:val="0096357F"/>
    <w:rsid w:val="00963A0E"/>
    <w:rsid w:val="00963B1A"/>
    <w:rsid w:val="00963B2F"/>
    <w:rsid w:val="00963B3B"/>
    <w:rsid w:val="00963B6B"/>
    <w:rsid w:val="00963BBE"/>
    <w:rsid w:val="00963C14"/>
    <w:rsid w:val="00963FD3"/>
    <w:rsid w:val="0096412B"/>
    <w:rsid w:val="00964164"/>
    <w:rsid w:val="00964183"/>
    <w:rsid w:val="0096464D"/>
    <w:rsid w:val="00964723"/>
    <w:rsid w:val="0096473F"/>
    <w:rsid w:val="009647F8"/>
    <w:rsid w:val="0096483D"/>
    <w:rsid w:val="0096485D"/>
    <w:rsid w:val="00964997"/>
    <w:rsid w:val="00964BC7"/>
    <w:rsid w:val="00964C15"/>
    <w:rsid w:val="00964D74"/>
    <w:rsid w:val="00964DDB"/>
    <w:rsid w:val="00964E1E"/>
    <w:rsid w:val="00964F34"/>
    <w:rsid w:val="00965146"/>
    <w:rsid w:val="00965179"/>
    <w:rsid w:val="009652B5"/>
    <w:rsid w:val="00965508"/>
    <w:rsid w:val="00965530"/>
    <w:rsid w:val="00965690"/>
    <w:rsid w:val="00965771"/>
    <w:rsid w:val="00965A3F"/>
    <w:rsid w:val="00965C64"/>
    <w:rsid w:val="00965F67"/>
    <w:rsid w:val="00965FDA"/>
    <w:rsid w:val="0096613B"/>
    <w:rsid w:val="00966157"/>
    <w:rsid w:val="00966179"/>
    <w:rsid w:val="0096632C"/>
    <w:rsid w:val="00966377"/>
    <w:rsid w:val="00966489"/>
    <w:rsid w:val="00966612"/>
    <w:rsid w:val="0096690A"/>
    <w:rsid w:val="00966984"/>
    <w:rsid w:val="00966A2A"/>
    <w:rsid w:val="00966A81"/>
    <w:rsid w:val="00966AE7"/>
    <w:rsid w:val="00966B6D"/>
    <w:rsid w:val="00966B7D"/>
    <w:rsid w:val="00966C5B"/>
    <w:rsid w:val="00966CA9"/>
    <w:rsid w:val="00966FC2"/>
    <w:rsid w:val="00967203"/>
    <w:rsid w:val="00967229"/>
    <w:rsid w:val="00967246"/>
    <w:rsid w:val="00967264"/>
    <w:rsid w:val="00967478"/>
    <w:rsid w:val="009674C1"/>
    <w:rsid w:val="009675B7"/>
    <w:rsid w:val="009675DE"/>
    <w:rsid w:val="009677B3"/>
    <w:rsid w:val="009678A1"/>
    <w:rsid w:val="009679C8"/>
    <w:rsid w:val="00967A6D"/>
    <w:rsid w:val="00967C66"/>
    <w:rsid w:val="00967C79"/>
    <w:rsid w:val="00967CA7"/>
    <w:rsid w:val="00967D70"/>
    <w:rsid w:val="00967D88"/>
    <w:rsid w:val="00967E68"/>
    <w:rsid w:val="00967FD9"/>
    <w:rsid w:val="00970356"/>
    <w:rsid w:val="009705AB"/>
    <w:rsid w:val="00970678"/>
    <w:rsid w:val="00970721"/>
    <w:rsid w:val="00970750"/>
    <w:rsid w:val="0097076D"/>
    <w:rsid w:val="0097090C"/>
    <w:rsid w:val="0097090E"/>
    <w:rsid w:val="00970C5B"/>
    <w:rsid w:val="00970D39"/>
    <w:rsid w:val="00970D86"/>
    <w:rsid w:val="00970DA5"/>
    <w:rsid w:val="00970E1A"/>
    <w:rsid w:val="00970E23"/>
    <w:rsid w:val="00970FD7"/>
    <w:rsid w:val="00971039"/>
    <w:rsid w:val="00971049"/>
    <w:rsid w:val="009710EB"/>
    <w:rsid w:val="00971123"/>
    <w:rsid w:val="00971493"/>
    <w:rsid w:val="00971946"/>
    <w:rsid w:val="009719D3"/>
    <w:rsid w:val="00971AEF"/>
    <w:rsid w:val="00971AFC"/>
    <w:rsid w:val="00971BB0"/>
    <w:rsid w:val="00971CD7"/>
    <w:rsid w:val="00971D99"/>
    <w:rsid w:val="00971DB6"/>
    <w:rsid w:val="00971F8E"/>
    <w:rsid w:val="00971FB7"/>
    <w:rsid w:val="00972090"/>
    <w:rsid w:val="00972295"/>
    <w:rsid w:val="009723B2"/>
    <w:rsid w:val="009724BA"/>
    <w:rsid w:val="0097290F"/>
    <w:rsid w:val="00972B2B"/>
    <w:rsid w:val="00972C8F"/>
    <w:rsid w:val="00972EC3"/>
    <w:rsid w:val="00973000"/>
    <w:rsid w:val="009731B9"/>
    <w:rsid w:val="00973309"/>
    <w:rsid w:val="0097335C"/>
    <w:rsid w:val="0097353E"/>
    <w:rsid w:val="009737D4"/>
    <w:rsid w:val="009739FD"/>
    <w:rsid w:val="00973A0F"/>
    <w:rsid w:val="00973AA6"/>
    <w:rsid w:val="00973BA3"/>
    <w:rsid w:val="00973BBC"/>
    <w:rsid w:val="00973C69"/>
    <w:rsid w:val="00973D04"/>
    <w:rsid w:val="00973D31"/>
    <w:rsid w:val="00973F22"/>
    <w:rsid w:val="00973FC5"/>
    <w:rsid w:val="009741B5"/>
    <w:rsid w:val="009742C1"/>
    <w:rsid w:val="0097441E"/>
    <w:rsid w:val="009745B8"/>
    <w:rsid w:val="00974852"/>
    <w:rsid w:val="00974864"/>
    <w:rsid w:val="00974A27"/>
    <w:rsid w:val="00974BCC"/>
    <w:rsid w:val="00974CB0"/>
    <w:rsid w:val="00974E20"/>
    <w:rsid w:val="00974EC5"/>
    <w:rsid w:val="00975328"/>
    <w:rsid w:val="009754C6"/>
    <w:rsid w:val="00975676"/>
    <w:rsid w:val="009756D3"/>
    <w:rsid w:val="00975A8C"/>
    <w:rsid w:val="00975CB3"/>
    <w:rsid w:val="00975D6C"/>
    <w:rsid w:val="00976191"/>
    <w:rsid w:val="009761CB"/>
    <w:rsid w:val="00976280"/>
    <w:rsid w:val="00976304"/>
    <w:rsid w:val="009764E5"/>
    <w:rsid w:val="00976832"/>
    <w:rsid w:val="00976C81"/>
    <w:rsid w:val="00976CF8"/>
    <w:rsid w:val="00976D28"/>
    <w:rsid w:val="00976F2D"/>
    <w:rsid w:val="00976F55"/>
    <w:rsid w:val="00976F77"/>
    <w:rsid w:val="00977046"/>
    <w:rsid w:val="009770B3"/>
    <w:rsid w:val="009770C5"/>
    <w:rsid w:val="009772E9"/>
    <w:rsid w:val="009772F3"/>
    <w:rsid w:val="009774DB"/>
    <w:rsid w:val="0097752C"/>
    <w:rsid w:val="0097787C"/>
    <w:rsid w:val="009778B9"/>
    <w:rsid w:val="00977912"/>
    <w:rsid w:val="009779B9"/>
    <w:rsid w:val="009779FF"/>
    <w:rsid w:val="00977A94"/>
    <w:rsid w:val="00977D1B"/>
    <w:rsid w:val="00977E34"/>
    <w:rsid w:val="00977F1B"/>
    <w:rsid w:val="00980091"/>
    <w:rsid w:val="0098037A"/>
    <w:rsid w:val="00980404"/>
    <w:rsid w:val="009805C2"/>
    <w:rsid w:val="0098084E"/>
    <w:rsid w:val="00980A40"/>
    <w:rsid w:val="00980CE9"/>
    <w:rsid w:val="0098101B"/>
    <w:rsid w:val="009812A2"/>
    <w:rsid w:val="0098138C"/>
    <w:rsid w:val="00981431"/>
    <w:rsid w:val="00981451"/>
    <w:rsid w:val="0098149C"/>
    <w:rsid w:val="0098157E"/>
    <w:rsid w:val="00981687"/>
    <w:rsid w:val="00981711"/>
    <w:rsid w:val="009817B7"/>
    <w:rsid w:val="0098183D"/>
    <w:rsid w:val="00981B37"/>
    <w:rsid w:val="00981B45"/>
    <w:rsid w:val="00981B5A"/>
    <w:rsid w:val="00981BE7"/>
    <w:rsid w:val="00981BF6"/>
    <w:rsid w:val="00981C69"/>
    <w:rsid w:val="00981E7F"/>
    <w:rsid w:val="00982030"/>
    <w:rsid w:val="009821DD"/>
    <w:rsid w:val="00982266"/>
    <w:rsid w:val="009822D7"/>
    <w:rsid w:val="00982323"/>
    <w:rsid w:val="00982853"/>
    <w:rsid w:val="00982864"/>
    <w:rsid w:val="009829B4"/>
    <w:rsid w:val="009829E6"/>
    <w:rsid w:val="00982A6D"/>
    <w:rsid w:val="00982A70"/>
    <w:rsid w:val="00982AE8"/>
    <w:rsid w:val="00982C1F"/>
    <w:rsid w:val="00982C69"/>
    <w:rsid w:val="00982D97"/>
    <w:rsid w:val="00982EF3"/>
    <w:rsid w:val="00983047"/>
    <w:rsid w:val="0098312E"/>
    <w:rsid w:val="0098318A"/>
    <w:rsid w:val="00983335"/>
    <w:rsid w:val="009833CA"/>
    <w:rsid w:val="009834E4"/>
    <w:rsid w:val="009834FB"/>
    <w:rsid w:val="00983637"/>
    <w:rsid w:val="00983783"/>
    <w:rsid w:val="0098387C"/>
    <w:rsid w:val="00983912"/>
    <w:rsid w:val="00983A42"/>
    <w:rsid w:val="00983A7C"/>
    <w:rsid w:val="00983B4A"/>
    <w:rsid w:val="00983B6E"/>
    <w:rsid w:val="00983D40"/>
    <w:rsid w:val="00984063"/>
    <w:rsid w:val="009841F1"/>
    <w:rsid w:val="00984214"/>
    <w:rsid w:val="0098437D"/>
    <w:rsid w:val="00984457"/>
    <w:rsid w:val="00984A80"/>
    <w:rsid w:val="00984B36"/>
    <w:rsid w:val="00984BD9"/>
    <w:rsid w:val="00984E23"/>
    <w:rsid w:val="00984F6C"/>
    <w:rsid w:val="00984FA5"/>
    <w:rsid w:val="00984FEB"/>
    <w:rsid w:val="00985042"/>
    <w:rsid w:val="009853CB"/>
    <w:rsid w:val="0098545B"/>
    <w:rsid w:val="0098564C"/>
    <w:rsid w:val="009859D9"/>
    <w:rsid w:val="009859E2"/>
    <w:rsid w:val="00985A4B"/>
    <w:rsid w:val="00985B05"/>
    <w:rsid w:val="00985BDA"/>
    <w:rsid w:val="00985DE2"/>
    <w:rsid w:val="00985DFF"/>
    <w:rsid w:val="00985F55"/>
    <w:rsid w:val="009860C9"/>
    <w:rsid w:val="00986282"/>
    <w:rsid w:val="009862F3"/>
    <w:rsid w:val="009864D9"/>
    <w:rsid w:val="009866EA"/>
    <w:rsid w:val="0098672E"/>
    <w:rsid w:val="00986801"/>
    <w:rsid w:val="00986B3C"/>
    <w:rsid w:val="00986E1F"/>
    <w:rsid w:val="00986E22"/>
    <w:rsid w:val="009871F9"/>
    <w:rsid w:val="009872EF"/>
    <w:rsid w:val="00987315"/>
    <w:rsid w:val="0098754A"/>
    <w:rsid w:val="009879B1"/>
    <w:rsid w:val="00987B3D"/>
    <w:rsid w:val="00987C1E"/>
    <w:rsid w:val="00987CC3"/>
    <w:rsid w:val="00987E27"/>
    <w:rsid w:val="0099004F"/>
    <w:rsid w:val="0099007F"/>
    <w:rsid w:val="0099009F"/>
    <w:rsid w:val="009900AC"/>
    <w:rsid w:val="00990183"/>
    <w:rsid w:val="009901DE"/>
    <w:rsid w:val="009903CE"/>
    <w:rsid w:val="0099054E"/>
    <w:rsid w:val="00990559"/>
    <w:rsid w:val="009905C0"/>
    <w:rsid w:val="00990646"/>
    <w:rsid w:val="00990C0C"/>
    <w:rsid w:val="00990C46"/>
    <w:rsid w:val="00990DDA"/>
    <w:rsid w:val="00990EDB"/>
    <w:rsid w:val="00990EF4"/>
    <w:rsid w:val="009910D9"/>
    <w:rsid w:val="00991110"/>
    <w:rsid w:val="0099130F"/>
    <w:rsid w:val="0099131A"/>
    <w:rsid w:val="00991425"/>
    <w:rsid w:val="009914DC"/>
    <w:rsid w:val="0099152D"/>
    <w:rsid w:val="009915D2"/>
    <w:rsid w:val="0099199C"/>
    <w:rsid w:val="00991B4C"/>
    <w:rsid w:val="00991CC0"/>
    <w:rsid w:val="00991CD7"/>
    <w:rsid w:val="00991D31"/>
    <w:rsid w:val="00991D36"/>
    <w:rsid w:val="00991E66"/>
    <w:rsid w:val="00991E6B"/>
    <w:rsid w:val="00991EAD"/>
    <w:rsid w:val="0099207C"/>
    <w:rsid w:val="00992223"/>
    <w:rsid w:val="009924A8"/>
    <w:rsid w:val="009925D7"/>
    <w:rsid w:val="009926B3"/>
    <w:rsid w:val="00992758"/>
    <w:rsid w:val="0099284C"/>
    <w:rsid w:val="00992A1C"/>
    <w:rsid w:val="00992BC7"/>
    <w:rsid w:val="00992CC2"/>
    <w:rsid w:val="00992CF7"/>
    <w:rsid w:val="00992E3B"/>
    <w:rsid w:val="00992F5A"/>
    <w:rsid w:val="00993045"/>
    <w:rsid w:val="00993066"/>
    <w:rsid w:val="00993129"/>
    <w:rsid w:val="00993163"/>
    <w:rsid w:val="00993188"/>
    <w:rsid w:val="0099352B"/>
    <w:rsid w:val="009935BF"/>
    <w:rsid w:val="009936B6"/>
    <w:rsid w:val="0099371F"/>
    <w:rsid w:val="00993C32"/>
    <w:rsid w:val="00993DB9"/>
    <w:rsid w:val="00993E05"/>
    <w:rsid w:val="00993E29"/>
    <w:rsid w:val="00993E57"/>
    <w:rsid w:val="00993E66"/>
    <w:rsid w:val="00993FF1"/>
    <w:rsid w:val="00994090"/>
    <w:rsid w:val="009940AA"/>
    <w:rsid w:val="0099419C"/>
    <w:rsid w:val="009941EA"/>
    <w:rsid w:val="009941FE"/>
    <w:rsid w:val="00994220"/>
    <w:rsid w:val="009942C5"/>
    <w:rsid w:val="00994340"/>
    <w:rsid w:val="00994358"/>
    <w:rsid w:val="00994481"/>
    <w:rsid w:val="0099454B"/>
    <w:rsid w:val="00994587"/>
    <w:rsid w:val="009945D2"/>
    <w:rsid w:val="00994602"/>
    <w:rsid w:val="00994689"/>
    <w:rsid w:val="00994A8A"/>
    <w:rsid w:val="00994B2D"/>
    <w:rsid w:val="00994B48"/>
    <w:rsid w:val="00994BBE"/>
    <w:rsid w:val="00994C32"/>
    <w:rsid w:val="00994E6B"/>
    <w:rsid w:val="00994FF7"/>
    <w:rsid w:val="0099507F"/>
    <w:rsid w:val="00995290"/>
    <w:rsid w:val="0099535F"/>
    <w:rsid w:val="00995519"/>
    <w:rsid w:val="00995625"/>
    <w:rsid w:val="00995689"/>
    <w:rsid w:val="009956ED"/>
    <w:rsid w:val="0099575A"/>
    <w:rsid w:val="00995800"/>
    <w:rsid w:val="009958A1"/>
    <w:rsid w:val="0099592E"/>
    <w:rsid w:val="009959C3"/>
    <w:rsid w:val="00995AF4"/>
    <w:rsid w:val="00995B6B"/>
    <w:rsid w:val="00995C1E"/>
    <w:rsid w:val="00995D63"/>
    <w:rsid w:val="00995DE2"/>
    <w:rsid w:val="00995F48"/>
    <w:rsid w:val="00995F63"/>
    <w:rsid w:val="00995F7A"/>
    <w:rsid w:val="00995FB7"/>
    <w:rsid w:val="0099616F"/>
    <w:rsid w:val="0099637F"/>
    <w:rsid w:val="009963B9"/>
    <w:rsid w:val="009963BE"/>
    <w:rsid w:val="0099656C"/>
    <w:rsid w:val="009965BB"/>
    <w:rsid w:val="0099696A"/>
    <w:rsid w:val="00996993"/>
    <w:rsid w:val="00996AA1"/>
    <w:rsid w:val="00996AD7"/>
    <w:rsid w:val="00996B20"/>
    <w:rsid w:val="00996D1F"/>
    <w:rsid w:val="00996DFC"/>
    <w:rsid w:val="00996E4F"/>
    <w:rsid w:val="00996F22"/>
    <w:rsid w:val="00996FBF"/>
    <w:rsid w:val="0099702F"/>
    <w:rsid w:val="0099703C"/>
    <w:rsid w:val="009971AF"/>
    <w:rsid w:val="00997365"/>
    <w:rsid w:val="00997431"/>
    <w:rsid w:val="0099780C"/>
    <w:rsid w:val="00997948"/>
    <w:rsid w:val="00997A14"/>
    <w:rsid w:val="00997A83"/>
    <w:rsid w:val="00997C75"/>
    <w:rsid w:val="00997C93"/>
    <w:rsid w:val="00997CEA"/>
    <w:rsid w:val="00997FCF"/>
    <w:rsid w:val="009A0120"/>
    <w:rsid w:val="009A0135"/>
    <w:rsid w:val="009A026E"/>
    <w:rsid w:val="009A02A9"/>
    <w:rsid w:val="009A0340"/>
    <w:rsid w:val="009A0386"/>
    <w:rsid w:val="009A03AE"/>
    <w:rsid w:val="009A0453"/>
    <w:rsid w:val="009A0847"/>
    <w:rsid w:val="009A085F"/>
    <w:rsid w:val="009A08F5"/>
    <w:rsid w:val="009A096A"/>
    <w:rsid w:val="009A0973"/>
    <w:rsid w:val="009A0A2F"/>
    <w:rsid w:val="009A0C91"/>
    <w:rsid w:val="009A0CF0"/>
    <w:rsid w:val="009A0CF6"/>
    <w:rsid w:val="009A0D70"/>
    <w:rsid w:val="009A0DE1"/>
    <w:rsid w:val="009A0E8D"/>
    <w:rsid w:val="009A0FC0"/>
    <w:rsid w:val="009A105F"/>
    <w:rsid w:val="009A10A9"/>
    <w:rsid w:val="009A10B7"/>
    <w:rsid w:val="009A1247"/>
    <w:rsid w:val="009A1388"/>
    <w:rsid w:val="009A14DC"/>
    <w:rsid w:val="009A15B9"/>
    <w:rsid w:val="009A15BE"/>
    <w:rsid w:val="009A188A"/>
    <w:rsid w:val="009A19D7"/>
    <w:rsid w:val="009A1A8F"/>
    <w:rsid w:val="009A1AB1"/>
    <w:rsid w:val="009A1E89"/>
    <w:rsid w:val="009A1FA2"/>
    <w:rsid w:val="009A239D"/>
    <w:rsid w:val="009A2536"/>
    <w:rsid w:val="009A25CA"/>
    <w:rsid w:val="009A2963"/>
    <w:rsid w:val="009A2A51"/>
    <w:rsid w:val="009A2C81"/>
    <w:rsid w:val="009A2CDE"/>
    <w:rsid w:val="009A2F36"/>
    <w:rsid w:val="009A2F6C"/>
    <w:rsid w:val="009A2F9C"/>
    <w:rsid w:val="009A311E"/>
    <w:rsid w:val="009A318E"/>
    <w:rsid w:val="009A340C"/>
    <w:rsid w:val="009A3524"/>
    <w:rsid w:val="009A35A0"/>
    <w:rsid w:val="009A35FA"/>
    <w:rsid w:val="009A391D"/>
    <w:rsid w:val="009A3D47"/>
    <w:rsid w:val="009A4270"/>
    <w:rsid w:val="009A427C"/>
    <w:rsid w:val="009A42CE"/>
    <w:rsid w:val="009A43D7"/>
    <w:rsid w:val="009A445F"/>
    <w:rsid w:val="009A44C6"/>
    <w:rsid w:val="009A46B0"/>
    <w:rsid w:val="009A4717"/>
    <w:rsid w:val="009A473D"/>
    <w:rsid w:val="009A4751"/>
    <w:rsid w:val="009A4781"/>
    <w:rsid w:val="009A4BDC"/>
    <w:rsid w:val="009A4C35"/>
    <w:rsid w:val="009A4C4E"/>
    <w:rsid w:val="009A4E26"/>
    <w:rsid w:val="009A4E2B"/>
    <w:rsid w:val="009A4EF7"/>
    <w:rsid w:val="009A4FB2"/>
    <w:rsid w:val="009A4FE3"/>
    <w:rsid w:val="009A4FFF"/>
    <w:rsid w:val="009A524F"/>
    <w:rsid w:val="009A52B0"/>
    <w:rsid w:val="009A53A8"/>
    <w:rsid w:val="009A5408"/>
    <w:rsid w:val="009A5420"/>
    <w:rsid w:val="009A5587"/>
    <w:rsid w:val="009A561B"/>
    <w:rsid w:val="009A562C"/>
    <w:rsid w:val="009A5637"/>
    <w:rsid w:val="009A564B"/>
    <w:rsid w:val="009A579F"/>
    <w:rsid w:val="009A57FF"/>
    <w:rsid w:val="009A5979"/>
    <w:rsid w:val="009A5A02"/>
    <w:rsid w:val="009A5C36"/>
    <w:rsid w:val="009A5C39"/>
    <w:rsid w:val="009A5CD1"/>
    <w:rsid w:val="009A5DFD"/>
    <w:rsid w:val="009A5F90"/>
    <w:rsid w:val="009A620C"/>
    <w:rsid w:val="009A629E"/>
    <w:rsid w:val="009A6387"/>
    <w:rsid w:val="009A63FA"/>
    <w:rsid w:val="009A642E"/>
    <w:rsid w:val="009A65E4"/>
    <w:rsid w:val="009A672D"/>
    <w:rsid w:val="009A6756"/>
    <w:rsid w:val="009A67BD"/>
    <w:rsid w:val="009A692D"/>
    <w:rsid w:val="009A69B0"/>
    <w:rsid w:val="009A6C18"/>
    <w:rsid w:val="009A6F37"/>
    <w:rsid w:val="009A6F7B"/>
    <w:rsid w:val="009A76DB"/>
    <w:rsid w:val="009A794A"/>
    <w:rsid w:val="009A79B0"/>
    <w:rsid w:val="009A7C91"/>
    <w:rsid w:val="009A7CC6"/>
    <w:rsid w:val="009A7E16"/>
    <w:rsid w:val="009B0193"/>
    <w:rsid w:val="009B01B9"/>
    <w:rsid w:val="009B0227"/>
    <w:rsid w:val="009B0237"/>
    <w:rsid w:val="009B0251"/>
    <w:rsid w:val="009B03D5"/>
    <w:rsid w:val="009B051C"/>
    <w:rsid w:val="009B05E9"/>
    <w:rsid w:val="009B0614"/>
    <w:rsid w:val="009B069B"/>
    <w:rsid w:val="009B0AD6"/>
    <w:rsid w:val="009B0D31"/>
    <w:rsid w:val="009B0D66"/>
    <w:rsid w:val="009B109D"/>
    <w:rsid w:val="009B11A3"/>
    <w:rsid w:val="009B1439"/>
    <w:rsid w:val="009B14FE"/>
    <w:rsid w:val="009B16F4"/>
    <w:rsid w:val="009B1850"/>
    <w:rsid w:val="009B190B"/>
    <w:rsid w:val="009B1931"/>
    <w:rsid w:val="009B1AFF"/>
    <w:rsid w:val="009B1DA3"/>
    <w:rsid w:val="009B2024"/>
    <w:rsid w:val="009B2381"/>
    <w:rsid w:val="009B23A2"/>
    <w:rsid w:val="009B2410"/>
    <w:rsid w:val="009B2419"/>
    <w:rsid w:val="009B2499"/>
    <w:rsid w:val="009B2682"/>
    <w:rsid w:val="009B269F"/>
    <w:rsid w:val="009B26DE"/>
    <w:rsid w:val="009B27D5"/>
    <w:rsid w:val="009B28F6"/>
    <w:rsid w:val="009B2934"/>
    <w:rsid w:val="009B2B2C"/>
    <w:rsid w:val="009B2D38"/>
    <w:rsid w:val="009B2DDC"/>
    <w:rsid w:val="009B3237"/>
    <w:rsid w:val="009B3280"/>
    <w:rsid w:val="009B34C3"/>
    <w:rsid w:val="009B3532"/>
    <w:rsid w:val="009B3647"/>
    <w:rsid w:val="009B395E"/>
    <w:rsid w:val="009B3AA2"/>
    <w:rsid w:val="009B3AED"/>
    <w:rsid w:val="009B3AEF"/>
    <w:rsid w:val="009B3B55"/>
    <w:rsid w:val="009B3B93"/>
    <w:rsid w:val="009B3BFA"/>
    <w:rsid w:val="009B3C04"/>
    <w:rsid w:val="009B3C8F"/>
    <w:rsid w:val="009B3DD0"/>
    <w:rsid w:val="009B3E25"/>
    <w:rsid w:val="009B3FD0"/>
    <w:rsid w:val="009B404C"/>
    <w:rsid w:val="009B416F"/>
    <w:rsid w:val="009B44AA"/>
    <w:rsid w:val="009B453D"/>
    <w:rsid w:val="009B45B1"/>
    <w:rsid w:val="009B45CD"/>
    <w:rsid w:val="009B4660"/>
    <w:rsid w:val="009B46EA"/>
    <w:rsid w:val="009B470B"/>
    <w:rsid w:val="009B4832"/>
    <w:rsid w:val="009B4971"/>
    <w:rsid w:val="009B4978"/>
    <w:rsid w:val="009B4A98"/>
    <w:rsid w:val="009B4C40"/>
    <w:rsid w:val="009B4CA0"/>
    <w:rsid w:val="009B4CC1"/>
    <w:rsid w:val="009B4F44"/>
    <w:rsid w:val="009B4F7E"/>
    <w:rsid w:val="009B4F9D"/>
    <w:rsid w:val="009B4FF8"/>
    <w:rsid w:val="009B5033"/>
    <w:rsid w:val="009B5068"/>
    <w:rsid w:val="009B5083"/>
    <w:rsid w:val="009B51DD"/>
    <w:rsid w:val="009B5261"/>
    <w:rsid w:val="009B5302"/>
    <w:rsid w:val="009B537D"/>
    <w:rsid w:val="009B54D6"/>
    <w:rsid w:val="009B556A"/>
    <w:rsid w:val="009B55B3"/>
    <w:rsid w:val="009B5660"/>
    <w:rsid w:val="009B5AAC"/>
    <w:rsid w:val="009B5C76"/>
    <w:rsid w:val="009B5CAD"/>
    <w:rsid w:val="009B5DC5"/>
    <w:rsid w:val="009B5E39"/>
    <w:rsid w:val="009B5F7E"/>
    <w:rsid w:val="009B5FC8"/>
    <w:rsid w:val="009B6174"/>
    <w:rsid w:val="009B6196"/>
    <w:rsid w:val="009B6256"/>
    <w:rsid w:val="009B6340"/>
    <w:rsid w:val="009B640C"/>
    <w:rsid w:val="009B6447"/>
    <w:rsid w:val="009B6581"/>
    <w:rsid w:val="009B65E3"/>
    <w:rsid w:val="009B65F1"/>
    <w:rsid w:val="009B65FB"/>
    <w:rsid w:val="009B6626"/>
    <w:rsid w:val="009B664D"/>
    <w:rsid w:val="009B6858"/>
    <w:rsid w:val="009B6886"/>
    <w:rsid w:val="009B69DD"/>
    <w:rsid w:val="009B6BAF"/>
    <w:rsid w:val="009B6C78"/>
    <w:rsid w:val="009B6D72"/>
    <w:rsid w:val="009B6E8C"/>
    <w:rsid w:val="009B6F4C"/>
    <w:rsid w:val="009B6FBF"/>
    <w:rsid w:val="009B70A4"/>
    <w:rsid w:val="009B70BB"/>
    <w:rsid w:val="009B75DD"/>
    <w:rsid w:val="009B772F"/>
    <w:rsid w:val="009B782A"/>
    <w:rsid w:val="009B78B2"/>
    <w:rsid w:val="009B7930"/>
    <w:rsid w:val="009B7DB5"/>
    <w:rsid w:val="009B7ECA"/>
    <w:rsid w:val="009C00C6"/>
    <w:rsid w:val="009C015C"/>
    <w:rsid w:val="009C01D3"/>
    <w:rsid w:val="009C0375"/>
    <w:rsid w:val="009C05BE"/>
    <w:rsid w:val="009C05FC"/>
    <w:rsid w:val="009C0659"/>
    <w:rsid w:val="009C0671"/>
    <w:rsid w:val="009C06CB"/>
    <w:rsid w:val="009C0A66"/>
    <w:rsid w:val="009C0A79"/>
    <w:rsid w:val="009C0B03"/>
    <w:rsid w:val="009C0B21"/>
    <w:rsid w:val="009C0BB3"/>
    <w:rsid w:val="009C0F3E"/>
    <w:rsid w:val="009C0F4D"/>
    <w:rsid w:val="009C113B"/>
    <w:rsid w:val="009C1203"/>
    <w:rsid w:val="009C1232"/>
    <w:rsid w:val="009C14C4"/>
    <w:rsid w:val="009C1714"/>
    <w:rsid w:val="009C1942"/>
    <w:rsid w:val="009C1AA0"/>
    <w:rsid w:val="009C1ADD"/>
    <w:rsid w:val="009C1CB7"/>
    <w:rsid w:val="009C2404"/>
    <w:rsid w:val="009C240A"/>
    <w:rsid w:val="009C2875"/>
    <w:rsid w:val="009C2883"/>
    <w:rsid w:val="009C29C1"/>
    <w:rsid w:val="009C29EC"/>
    <w:rsid w:val="009C2ADF"/>
    <w:rsid w:val="009C2B99"/>
    <w:rsid w:val="009C2BD6"/>
    <w:rsid w:val="009C2BDD"/>
    <w:rsid w:val="009C2C52"/>
    <w:rsid w:val="009C2C7A"/>
    <w:rsid w:val="009C2EC2"/>
    <w:rsid w:val="009C31EA"/>
    <w:rsid w:val="009C345A"/>
    <w:rsid w:val="009C3692"/>
    <w:rsid w:val="009C36FA"/>
    <w:rsid w:val="009C3747"/>
    <w:rsid w:val="009C3749"/>
    <w:rsid w:val="009C376A"/>
    <w:rsid w:val="009C39C5"/>
    <w:rsid w:val="009C3AE2"/>
    <w:rsid w:val="009C3B77"/>
    <w:rsid w:val="009C3C63"/>
    <w:rsid w:val="009C3DE0"/>
    <w:rsid w:val="009C3E04"/>
    <w:rsid w:val="009C3E28"/>
    <w:rsid w:val="009C3E37"/>
    <w:rsid w:val="009C40FE"/>
    <w:rsid w:val="009C4116"/>
    <w:rsid w:val="009C4367"/>
    <w:rsid w:val="009C452A"/>
    <w:rsid w:val="009C4585"/>
    <w:rsid w:val="009C466C"/>
    <w:rsid w:val="009C4678"/>
    <w:rsid w:val="009C4742"/>
    <w:rsid w:val="009C4821"/>
    <w:rsid w:val="009C48D0"/>
    <w:rsid w:val="009C4984"/>
    <w:rsid w:val="009C4B70"/>
    <w:rsid w:val="009C4DF1"/>
    <w:rsid w:val="009C4E39"/>
    <w:rsid w:val="009C4E96"/>
    <w:rsid w:val="009C4ED7"/>
    <w:rsid w:val="009C4FC2"/>
    <w:rsid w:val="009C5305"/>
    <w:rsid w:val="009C532C"/>
    <w:rsid w:val="009C5422"/>
    <w:rsid w:val="009C573B"/>
    <w:rsid w:val="009C5749"/>
    <w:rsid w:val="009C5764"/>
    <w:rsid w:val="009C57CE"/>
    <w:rsid w:val="009C59FB"/>
    <w:rsid w:val="009C5B90"/>
    <w:rsid w:val="009C5BF2"/>
    <w:rsid w:val="009C5BF5"/>
    <w:rsid w:val="009C611D"/>
    <w:rsid w:val="009C61CF"/>
    <w:rsid w:val="009C64EE"/>
    <w:rsid w:val="009C6792"/>
    <w:rsid w:val="009C67C2"/>
    <w:rsid w:val="009C6820"/>
    <w:rsid w:val="009C6AD6"/>
    <w:rsid w:val="009C6CEC"/>
    <w:rsid w:val="009C6ED3"/>
    <w:rsid w:val="009C7008"/>
    <w:rsid w:val="009C703C"/>
    <w:rsid w:val="009C7061"/>
    <w:rsid w:val="009C7104"/>
    <w:rsid w:val="009C7116"/>
    <w:rsid w:val="009C7172"/>
    <w:rsid w:val="009C72F3"/>
    <w:rsid w:val="009C744B"/>
    <w:rsid w:val="009C7453"/>
    <w:rsid w:val="009C75B6"/>
    <w:rsid w:val="009C7673"/>
    <w:rsid w:val="009C76AB"/>
    <w:rsid w:val="009C77F5"/>
    <w:rsid w:val="009C787C"/>
    <w:rsid w:val="009C78CA"/>
    <w:rsid w:val="009C7AA3"/>
    <w:rsid w:val="009C7ACD"/>
    <w:rsid w:val="009C7CA4"/>
    <w:rsid w:val="009C7D8B"/>
    <w:rsid w:val="009D0072"/>
    <w:rsid w:val="009D035F"/>
    <w:rsid w:val="009D03F0"/>
    <w:rsid w:val="009D04DE"/>
    <w:rsid w:val="009D0762"/>
    <w:rsid w:val="009D07CF"/>
    <w:rsid w:val="009D094D"/>
    <w:rsid w:val="009D0B38"/>
    <w:rsid w:val="009D0B5C"/>
    <w:rsid w:val="009D0DE9"/>
    <w:rsid w:val="009D0EBE"/>
    <w:rsid w:val="009D0F2A"/>
    <w:rsid w:val="009D14B8"/>
    <w:rsid w:val="009D14F2"/>
    <w:rsid w:val="009D15C1"/>
    <w:rsid w:val="009D1A8B"/>
    <w:rsid w:val="009D1AC2"/>
    <w:rsid w:val="009D1B55"/>
    <w:rsid w:val="009D1C6E"/>
    <w:rsid w:val="009D1ECD"/>
    <w:rsid w:val="009D1F93"/>
    <w:rsid w:val="009D2382"/>
    <w:rsid w:val="009D23A4"/>
    <w:rsid w:val="009D244E"/>
    <w:rsid w:val="009D2513"/>
    <w:rsid w:val="009D253F"/>
    <w:rsid w:val="009D25CE"/>
    <w:rsid w:val="009D28A3"/>
    <w:rsid w:val="009D28BB"/>
    <w:rsid w:val="009D28D3"/>
    <w:rsid w:val="009D2992"/>
    <w:rsid w:val="009D2A97"/>
    <w:rsid w:val="009D2A9A"/>
    <w:rsid w:val="009D2BB1"/>
    <w:rsid w:val="009D2D55"/>
    <w:rsid w:val="009D2F3E"/>
    <w:rsid w:val="009D2F90"/>
    <w:rsid w:val="009D32F4"/>
    <w:rsid w:val="009D3362"/>
    <w:rsid w:val="009D3374"/>
    <w:rsid w:val="009D356E"/>
    <w:rsid w:val="009D35D3"/>
    <w:rsid w:val="009D35FB"/>
    <w:rsid w:val="009D360C"/>
    <w:rsid w:val="009D3816"/>
    <w:rsid w:val="009D3D19"/>
    <w:rsid w:val="009D3D42"/>
    <w:rsid w:val="009D3E29"/>
    <w:rsid w:val="009D3F6C"/>
    <w:rsid w:val="009D4044"/>
    <w:rsid w:val="009D4175"/>
    <w:rsid w:val="009D426E"/>
    <w:rsid w:val="009D4497"/>
    <w:rsid w:val="009D4597"/>
    <w:rsid w:val="009D45CF"/>
    <w:rsid w:val="009D497C"/>
    <w:rsid w:val="009D4ADA"/>
    <w:rsid w:val="009D4BE4"/>
    <w:rsid w:val="009D4D1D"/>
    <w:rsid w:val="009D4D4D"/>
    <w:rsid w:val="009D4DC5"/>
    <w:rsid w:val="009D50AE"/>
    <w:rsid w:val="009D50D2"/>
    <w:rsid w:val="009D5172"/>
    <w:rsid w:val="009D5213"/>
    <w:rsid w:val="009D52FB"/>
    <w:rsid w:val="009D533B"/>
    <w:rsid w:val="009D53BA"/>
    <w:rsid w:val="009D55ED"/>
    <w:rsid w:val="009D56D2"/>
    <w:rsid w:val="009D580A"/>
    <w:rsid w:val="009D59B7"/>
    <w:rsid w:val="009D5D20"/>
    <w:rsid w:val="009D5E9E"/>
    <w:rsid w:val="009D5F2A"/>
    <w:rsid w:val="009D5FEC"/>
    <w:rsid w:val="009D5FED"/>
    <w:rsid w:val="009D6155"/>
    <w:rsid w:val="009D617F"/>
    <w:rsid w:val="009D634E"/>
    <w:rsid w:val="009D63A7"/>
    <w:rsid w:val="009D644B"/>
    <w:rsid w:val="009D64B6"/>
    <w:rsid w:val="009D6512"/>
    <w:rsid w:val="009D6611"/>
    <w:rsid w:val="009D6B6D"/>
    <w:rsid w:val="009D6CF9"/>
    <w:rsid w:val="009D6DCB"/>
    <w:rsid w:val="009D7145"/>
    <w:rsid w:val="009D71A4"/>
    <w:rsid w:val="009D71D8"/>
    <w:rsid w:val="009D7378"/>
    <w:rsid w:val="009D7743"/>
    <w:rsid w:val="009D7788"/>
    <w:rsid w:val="009D7816"/>
    <w:rsid w:val="009D7A0E"/>
    <w:rsid w:val="009D7B44"/>
    <w:rsid w:val="009D7CE5"/>
    <w:rsid w:val="009D7EF7"/>
    <w:rsid w:val="009D7F25"/>
    <w:rsid w:val="009E0028"/>
    <w:rsid w:val="009E005F"/>
    <w:rsid w:val="009E0070"/>
    <w:rsid w:val="009E0221"/>
    <w:rsid w:val="009E02B6"/>
    <w:rsid w:val="009E0452"/>
    <w:rsid w:val="009E0505"/>
    <w:rsid w:val="009E05E9"/>
    <w:rsid w:val="009E0667"/>
    <w:rsid w:val="009E0A64"/>
    <w:rsid w:val="009E0D1C"/>
    <w:rsid w:val="009E0D88"/>
    <w:rsid w:val="009E1254"/>
    <w:rsid w:val="009E133E"/>
    <w:rsid w:val="009E14CE"/>
    <w:rsid w:val="009E151E"/>
    <w:rsid w:val="009E174E"/>
    <w:rsid w:val="009E1976"/>
    <w:rsid w:val="009E1A08"/>
    <w:rsid w:val="009E1A4F"/>
    <w:rsid w:val="009E1CD3"/>
    <w:rsid w:val="009E1E77"/>
    <w:rsid w:val="009E1F70"/>
    <w:rsid w:val="009E1FD7"/>
    <w:rsid w:val="009E22BA"/>
    <w:rsid w:val="009E23D8"/>
    <w:rsid w:val="009E247D"/>
    <w:rsid w:val="009E24C4"/>
    <w:rsid w:val="009E24F8"/>
    <w:rsid w:val="009E25B5"/>
    <w:rsid w:val="009E25CF"/>
    <w:rsid w:val="009E262B"/>
    <w:rsid w:val="009E26BA"/>
    <w:rsid w:val="009E271D"/>
    <w:rsid w:val="009E272F"/>
    <w:rsid w:val="009E2A4C"/>
    <w:rsid w:val="009E2A6D"/>
    <w:rsid w:val="009E2AF3"/>
    <w:rsid w:val="009E2B00"/>
    <w:rsid w:val="009E2BD5"/>
    <w:rsid w:val="009E2CA6"/>
    <w:rsid w:val="009E2D54"/>
    <w:rsid w:val="009E2DA7"/>
    <w:rsid w:val="009E2DF4"/>
    <w:rsid w:val="009E30FD"/>
    <w:rsid w:val="009E319A"/>
    <w:rsid w:val="009E31A3"/>
    <w:rsid w:val="009E3634"/>
    <w:rsid w:val="009E3667"/>
    <w:rsid w:val="009E39B2"/>
    <w:rsid w:val="009E39D9"/>
    <w:rsid w:val="009E3A8F"/>
    <w:rsid w:val="009E3BE3"/>
    <w:rsid w:val="009E3C1D"/>
    <w:rsid w:val="009E3F95"/>
    <w:rsid w:val="009E4011"/>
    <w:rsid w:val="009E401D"/>
    <w:rsid w:val="009E415B"/>
    <w:rsid w:val="009E4163"/>
    <w:rsid w:val="009E4247"/>
    <w:rsid w:val="009E42F7"/>
    <w:rsid w:val="009E4310"/>
    <w:rsid w:val="009E4583"/>
    <w:rsid w:val="009E45C2"/>
    <w:rsid w:val="009E4611"/>
    <w:rsid w:val="009E4629"/>
    <w:rsid w:val="009E4684"/>
    <w:rsid w:val="009E46EF"/>
    <w:rsid w:val="009E4782"/>
    <w:rsid w:val="009E491A"/>
    <w:rsid w:val="009E4D96"/>
    <w:rsid w:val="009E5009"/>
    <w:rsid w:val="009E513A"/>
    <w:rsid w:val="009E53DF"/>
    <w:rsid w:val="009E54D7"/>
    <w:rsid w:val="009E58C3"/>
    <w:rsid w:val="009E5927"/>
    <w:rsid w:val="009E59D8"/>
    <w:rsid w:val="009E5A09"/>
    <w:rsid w:val="009E5A4F"/>
    <w:rsid w:val="009E5C08"/>
    <w:rsid w:val="009E5C0B"/>
    <w:rsid w:val="009E5C8F"/>
    <w:rsid w:val="009E5DAF"/>
    <w:rsid w:val="009E5DC5"/>
    <w:rsid w:val="009E5F37"/>
    <w:rsid w:val="009E5F7D"/>
    <w:rsid w:val="009E60AD"/>
    <w:rsid w:val="009E6276"/>
    <w:rsid w:val="009E63A4"/>
    <w:rsid w:val="009E641D"/>
    <w:rsid w:val="009E65E8"/>
    <w:rsid w:val="009E6908"/>
    <w:rsid w:val="009E69E2"/>
    <w:rsid w:val="009E6A84"/>
    <w:rsid w:val="009E6B89"/>
    <w:rsid w:val="009E6E2E"/>
    <w:rsid w:val="009E6EF6"/>
    <w:rsid w:val="009E6F2A"/>
    <w:rsid w:val="009E6F3B"/>
    <w:rsid w:val="009E6FEA"/>
    <w:rsid w:val="009E7049"/>
    <w:rsid w:val="009E7111"/>
    <w:rsid w:val="009E7115"/>
    <w:rsid w:val="009E71BB"/>
    <w:rsid w:val="009E71DF"/>
    <w:rsid w:val="009E71FC"/>
    <w:rsid w:val="009E7211"/>
    <w:rsid w:val="009E73D3"/>
    <w:rsid w:val="009E74AC"/>
    <w:rsid w:val="009E753C"/>
    <w:rsid w:val="009E754A"/>
    <w:rsid w:val="009E75AE"/>
    <w:rsid w:val="009E7643"/>
    <w:rsid w:val="009E76A7"/>
    <w:rsid w:val="009E7759"/>
    <w:rsid w:val="009E7763"/>
    <w:rsid w:val="009E78BF"/>
    <w:rsid w:val="009E78D7"/>
    <w:rsid w:val="009E793A"/>
    <w:rsid w:val="009E79A6"/>
    <w:rsid w:val="009E79B5"/>
    <w:rsid w:val="009E79E9"/>
    <w:rsid w:val="009E7ABC"/>
    <w:rsid w:val="009E7B58"/>
    <w:rsid w:val="009E7D3C"/>
    <w:rsid w:val="009E7D6D"/>
    <w:rsid w:val="009F03EB"/>
    <w:rsid w:val="009F04F3"/>
    <w:rsid w:val="009F066A"/>
    <w:rsid w:val="009F07B4"/>
    <w:rsid w:val="009F0D3B"/>
    <w:rsid w:val="009F104A"/>
    <w:rsid w:val="009F109A"/>
    <w:rsid w:val="009F1214"/>
    <w:rsid w:val="009F125F"/>
    <w:rsid w:val="009F13E8"/>
    <w:rsid w:val="009F1778"/>
    <w:rsid w:val="009F177E"/>
    <w:rsid w:val="009F19E3"/>
    <w:rsid w:val="009F1BA8"/>
    <w:rsid w:val="009F1BF3"/>
    <w:rsid w:val="009F1D18"/>
    <w:rsid w:val="009F1F3A"/>
    <w:rsid w:val="009F2017"/>
    <w:rsid w:val="009F209D"/>
    <w:rsid w:val="009F20A9"/>
    <w:rsid w:val="009F20DC"/>
    <w:rsid w:val="009F21E7"/>
    <w:rsid w:val="009F22D6"/>
    <w:rsid w:val="009F23E6"/>
    <w:rsid w:val="009F24DB"/>
    <w:rsid w:val="009F26E1"/>
    <w:rsid w:val="009F2732"/>
    <w:rsid w:val="009F2755"/>
    <w:rsid w:val="009F2A39"/>
    <w:rsid w:val="009F2B56"/>
    <w:rsid w:val="009F2B6C"/>
    <w:rsid w:val="009F2D2F"/>
    <w:rsid w:val="009F2D72"/>
    <w:rsid w:val="009F2E20"/>
    <w:rsid w:val="009F2EFF"/>
    <w:rsid w:val="009F2F81"/>
    <w:rsid w:val="009F30BE"/>
    <w:rsid w:val="009F34E9"/>
    <w:rsid w:val="009F353A"/>
    <w:rsid w:val="009F35C8"/>
    <w:rsid w:val="009F36E0"/>
    <w:rsid w:val="009F3870"/>
    <w:rsid w:val="009F3902"/>
    <w:rsid w:val="009F3918"/>
    <w:rsid w:val="009F399A"/>
    <w:rsid w:val="009F39C7"/>
    <w:rsid w:val="009F39EE"/>
    <w:rsid w:val="009F3A2A"/>
    <w:rsid w:val="009F3A43"/>
    <w:rsid w:val="009F3AD8"/>
    <w:rsid w:val="009F3B02"/>
    <w:rsid w:val="009F3CF1"/>
    <w:rsid w:val="009F3D17"/>
    <w:rsid w:val="009F3DA3"/>
    <w:rsid w:val="009F3DB3"/>
    <w:rsid w:val="009F3F31"/>
    <w:rsid w:val="009F40F0"/>
    <w:rsid w:val="009F417A"/>
    <w:rsid w:val="009F4305"/>
    <w:rsid w:val="009F43A4"/>
    <w:rsid w:val="009F43CC"/>
    <w:rsid w:val="009F4752"/>
    <w:rsid w:val="009F47A3"/>
    <w:rsid w:val="009F47BB"/>
    <w:rsid w:val="009F486C"/>
    <w:rsid w:val="009F48EE"/>
    <w:rsid w:val="009F4938"/>
    <w:rsid w:val="009F4C43"/>
    <w:rsid w:val="009F4D72"/>
    <w:rsid w:val="009F4DC3"/>
    <w:rsid w:val="009F4DDC"/>
    <w:rsid w:val="009F4E3F"/>
    <w:rsid w:val="009F4FE7"/>
    <w:rsid w:val="009F4FF9"/>
    <w:rsid w:val="009F50B8"/>
    <w:rsid w:val="009F51F0"/>
    <w:rsid w:val="009F5312"/>
    <w:rsid w:val="009F5470"/>
    <w:rsid w:val="009F54FC"/>
    <w:rsid w:val="009F5733"/>
    <w:rsid w:val="009F57F8"/>
    <w:rsid w:val="009F594D"/>
    <w:rsid w:val="009F5AA1"/>
    <w:rsid w:val="009F5D16"/>
    <w:rsid w:val="009F5D4F"/>
    <w:rsid w:val="009F5D64"/>
    <w:rsid w:val="009F6017"/>
    <w:rsid w:val="009F6143"/>
    <w:rsid w:val="009F621E"/>
    <w:rsid w:val="009F66AF"/>
    <w:rsid w:val="009F6702"/>
    <w:rsid w:val="009F6749"/>
    <w:rsid w:val="009F6879"/>
    <w:rsid w:val="009F68A1"/>
    <w:rsid w:val="009F68D9"/>
    <w:rsid w:val="009F68E1"/>
    <w:rsid w:val="009F6CB8"/>
    <w:rsid w:val="009F6DD1"/>
    <w:rsid w:val="009F6EAD"/>
    <w:rsid w:val="009F6FED"/>
    <w:rsid w:val="009F70FD"/>
    <w:rsid w:val="009F71D9"/>
    <w:rsid w:val="009F7254"/>
    <w:rsid w:val="009F73B3"/>
    <w:rsid w:val="009F764D"/>
    <w:rsid w:val="009F77F8"/>
    <w:rsid w:val="009F77FB"/>
    <w:rsid w:val="009F780A"/>
    <w:rsid w:val="009F7822"/>
    <w:rsid w:val="009F797F"/>
    <w:rsid w:val="009F7A28"/>
    <w:rsid w:val="009F7D2B"/>
    <w:rsid w:val="009F7D81"/>
    <w:rsid w:val="009F7E03"/>
    <w:rsid w:val="009F7FB3"/>
    <w:rsid w:val="00A00379"/>
    <w:rsid w:val="00A003BF"/>
    <w:rsid w:val="00A005A2"/>
    <w:rsid w:val="00A00688"/>
    <w:rsid w:val="00A00716"/>
    <w:rsid w:val="00A00783"/>
    <w:rsid w:val="00A00784"/>
    <w:rsid w:val="00A0083D"/>
    <w:rsid w:val="00A00941"/>
    <w:rsid w:val="00A0099B"/>
    <w:rsid w:val="00A00ADD"/>
    <w:rsid w:val="00A00B79"/>
    <w:rsid w:val="00A00C1B"/>
    <w:rsid w:val="00A00CD0"/>
    <w:rsid w:val="00A00F59"/>
    <w:rsid w:val="00A01632"/>
    <w:rsid w:val="00A017AA"/>
    <w:rsid w:val="00A01B1F"/>
    <w:rsid w:val="00A01D72"/>
    <w:rsid w:val="00A01EC2"/>
    <w:rsid w:val="00A01EFB"/>
    <w:rsid w:val="00A02004"/>
    <w:rsid w:val="00A02151"/>
    <w:rsid w:val="00A021F1"/>
    <w:rsid w:val="00A02265"/>
    <w:rsid w:val="00A02284"/>
    <w:rsid w:val="00A02412"/>
    <w:rsid w:val="00A02434"/>
    <w:rsid w:val="00A02443"/>
    <w:rsid w:val="00A02475"/>
    <w:rsid w:val="00A02513"/>
    <w:rsid w:val="00A02A1A"/>
    <w:rsid w:val="00A02A8E"/>
    <w:rsid w:val="00A02BB6"/>
    <w:rsid w:val="00A02C10"/>
    <w:rsid w:val="00A02C80"/>
    <w:rsid w:val="00A02D86"/>
    <w:rsid w:val="00A02F1B"/>
    <w:rsid w:val="00A02F3F"/>
    <w:rsid w:val="00A03290"/>
    <w:rsid w:val="00A03389"/>
    <w:rsid w:val="00A0340F"/>
    <w:rsid w:val="00A03894"/>
    <w:rsid w:val="00A03A89"/>
    <w:rsid w:val="00A03EE3"/>
    <w:rsid w:val="00A03F29"/>
    <w:rsid w:val="00A0411A"/>
    <w:rsid w:val="00A042B3"/>
    <w:rsid w:val="00A0436C"/>
    <w:rsid w:val="00A04371"/>
    <w:rsid w:val="00A04430"/>
    <w:rsid w:val="00A0467A"/>
    <w:rsid w:val="00A0477E"/>
    <w:rsid w:val="00A04940"/>
    <w:rsid w:val="00A04A90"/>
    <w:rsid w:val="00A04AED"/>
    <w:rsid w:val="00A04BA5"/>
    <w:rsid w:val="00A04C03"/>
    <w:rsid w:val="00A04DF8"/>
    <w:rsid w:val="00A04E99"/>
    <w:rsid w:val="00A04E9C"/>
    <w:rsid w:val="00A04EF7"/>
    <w:rsid w:val="00A0541C"/>
    <w:rsid w:val="00A05563"/>
    <w:rsid w:val="00A055DD"/>
    <w:rsid w:val="00A056E3"/>
    <w:rsid w:val="00A0583B"/>
    <w:rsid w:val="00A05A0C"/>
    <w:rsid w:val="00A05C09"/>
    <w:rsid w:val="00A05D36"/>
    <w:rsid w:val="00A05D78"/>
    <w:rsid w:val="00A05E7E"/>
    <w:rsid w:val="00A05E80"/>
    <w:rsid w:val="00A05EBB"/>
    <w:rsid w:val="00A05F5E"/>
    <w:rsid w:val="00A05FDE"/>
    <w:rsid w:val="00A0601F"/>
    <w:rsid w:val="00A06086"/>
    <w:rsid w:val="00A0609E"/>
    <w:rsid w:val="00A0638A"/>
    <w:rsid w:val="00A0638D"/>
    <w:rsid w:val="00A06525"/>
    <w:rsid w:val="00A0657D"/>
    <w:rsid w:val="00A06948"/>
    <w:rsid w:val="00A06A17"/>
    <w:rsid w:val="00A06ABE"/>
    <w:rsid w:val="00A06C0C"/>
    <w:rsid w:val="00A06E20"/>
    <w:rsid w:val="00A06F1E"/>
    <w:rsid w:val="00A0727C"/>
    <w:rsid w:val="00A0737A"/>
    <w:rsid w:val="00A074A3"/>
    <w:rsid w:val="00A07717"/>
    <w:rsid w:val="00A077AF"/>
    <w:rsid w:val="00A077D2"/>
    <w:rsid w:val="00A07868"/>
    <w:rsid w:val="00A0787A"/>
    <w:rsid w:val="00A07B28"/>
    <w:rsid w:val="00A07B91"/>
    <w:rsid w:val="00A07D50"/>
    <w:rsid w:val="00A07E31"/>
    <w:rsid w:val="00A100AD"/>
    <w:rsid w:val="00A100E4"/>
    <w:rsid w:val="00A1010B"/>
    <w:rsid w:val="00A1015A"/>
    <w:rsid w:val="00A10228"/>
    <w:rsid w:val="00A10298"/>
    <w:rsid w:val="00A102B0"/>
    <w:rsid w:val="00A10303"/>
    <w:rsid w:val="00A1030B"/>
    <w:rsid w:val="00A1039C"/>
    <w:rsid w:val="00A10478"/>
    <w:rsid w:val="00A1059A"/>
    <w:rsid w:val="00A105F5"/>
    <w:rsid w:val="00A10709"/>
    <w:rsid w:val="00A10739"/>
    <w:rsid w:val="00A1083B"/>
    <w:rsid w:val="00A10CD4"/>
    <w:rsid w:val="00A10CEE"/>
    <w:rsid w:val="00A10DF6"/>
    <w:rsid w:val="00A10E06"/>
    <w:rsid w:val="00A110BD"/>
    <w:rsid w:val="00A11210"/>
    <w:rsid w:val="00A112B2"/>
    <w:rsid w:val="00A112D1"/>
    <w:rsid w:val="00A11401"/>
    <w:rsid w:val="00A11528"/>
    <w:rsid w:val="00A1159D"/>
    <w:rsid w:val="00A11863"/>
    <w:rsid w:val="00A119AF"/>
    <w:rsid w:val="00A11A1E"/>
    <w:rsid w:val="00A11A3F"/>
    <w:rsid w:val="00A11AFF"/>
    <w:rsid w:val="00A11CFA"/>
    <w:rsid w:val="00A11E5D"/>
    <w:rsid w:val="00A12041"/>
    <w:rsid w:val="00A1213B"/>
    <w:rsid w:val="00A123F5"/>
    <w:rsid w:val="00A12537"/>
    <w:rsid w:val="00A125ED"/>
    <w:rsid w:val="00A126BE"/>
    <w:rsid w:val="00A127EA"/>
    <w:rsid w:val="00A12917"/>
    <w:rsid w:val="00A12A3F"/>
    <w:rsid w:val="00A12AAA"/>
    <w:rsid w:val="00A12BAA"/>
    <w:rsid w:val="00A12BD8"/>
    <w:rsid w:val="00A12D87"/>
    <w:rsid w:val="00A12F23"/>
    <w:rsid w:val="00A12F81"/>
    <w:rsid w:val="00A12FC1"/>
    <w:rsid w:val="00A13012"/>
    <w:rsid w:val="00A13042"/>
    <w:rsid w:val="00A1304E"/>
    <w:rsid w:val="00A1321E"/>
    <w:rsid w:val="00A133D4"/>
    <w:rsid w:val="00A135C8"/>
    <w:rsid w:val="00A13608"/>
    <w:rsid w:val="00A13C27"/>
    <w:rsid w:val="00A13D7B"/>
    <w:rsid w:val="00A13D8D"/>
    <w:rsid w:val="00A13DD7"/>
    <w:rsid w:val="00A13E7A"/>
    <w:rsid w:val="00A1401A"/>
    <w:rsid w:val="00A140B2"/>
    <w:rsid w:val="00A140F0"/>
    <w:rsid w:val="00A14198"/>
    <w:rsid w:val="00A14276"/>
    <w:rsid w:val="00A142C5"/>
    <w:rsid w:val="00A14377"/>
    <w:rsid w:val="00A144DC"/>
    <w:rsid w:val="00A145A1"/>
    <w:rsid w:val="00A14721"/>
    <w:rsid w:val="00A14A62"/>
    <w:rsid w:val="00A14B0D"/>
    <w:rsid w:val="00A14CAA"/>
    <w:rsid w:val="00A14CE3"/>
    <w:rsid w:val="00A14DC2"/>
    <w:rsid w:val="00A14E62"/>
    <w:rsid w:val="00A14E89"/>
    <w:rsid w:val="00A14F45"/>
    <w:rsid w:val="00A14F47"/>
    <w:rsid w:val="00A14F70"/>
    <w:rsid w:val="00A150A8"/>
    <w:rsid w:val="00A150F0"/>
    <w:rsid w:val="00A151DC"/>
    <w:rsid w:val="00A15325"/>
    <w:rsid w:val="00A1536E"/>
    <w:rsid w:val="00A15394"/>
    <w:rsid w:val="00A15396"/>
    <w:rsid w:val="00A15491"/>
    <w:rsid w:val="00A154DF"/>
    <w:rsid w:val="00A155D1"/>
    <w:rsid w:val="00A15648"/>
    <w:rsid w:val="00A1572A"/>
    <w:rsid w:val="00A15933"/>
    <w:rsid w:val="00A15AAA"/>
    <w:rsid w:val="00A15AF0"/>
    <w:rsid w:val="00A15CC3"/>
    <w:rsid w:val="00A15D1C"/>
    <w:rsid w:val="00A15E25"/>
    <w:rsid w:val="00A15F33"/>
    <w:rsid w:val="00A15F44"/>
    <w:rsid w:val="00A1618A"/>
    <w:rsid w:val="00A161F4"/>
    <w:rsid w:val="00A16484"/>
    <w:rsid w:val="00A164EF"/>
    <w:rsid w:val="00A16562"/>
    <w:rsid w:val="00A16644"/>
    <w:rsid w:val="00A1688C"/>
    <w:rsid w:val="00A168F1"/>
    <w:rsid w:val="00A16B2A"/>
    <w:rsid w:val="00A16BC2"/>
    <w:rsid w:val="00A16CC0"/>
    <w:rsid w:val="00A16F14"/>
    <w:rsid w:val="00A16F77"/>
    <w:rsid w:val="00A1709B"/>
    <w:rsid w:val="00A170C1"/>
    <w:rsid w:val="00A17197"/>
    <w:rsid w:val="00A17246"/>
    <w:rsid w:val="00A17747"/>
    <w:rsid w:val="00A1786F"/>
    <w:rsid w:val="00A178D9"/>
    <w:rsid w:val="00A17A0C"/>
    <w:rsid w:val="00A17A5D"/>
    <w:rsid w:val="00A17C0D"/>
    <w:rsid w:val="00A17C3B"/>
    <w:rsid w:val="00A17CDA"/>
    <w:rsid w:val="00A17DA2"/>
    <w:rsid w:val="00A17DFE"/>
    <w:rsid w:val="00A17F37"/>
    <w:rsid w:val="00A20042"/>
    <w:rsid w:val="00A200E8"/>
    <w:rsid w:val="00A201CA"/>
    <w:rsid w:val="00A20204"/>
    <w:rsid w:val="00A202F4"/>
    <w:rsid w:val="00A20440"/>
    <w:rsid w:val="00A20452"/>
    <w:rsid w:val="00A2046A"/>
    <w:rsid w:val="00A205AF"/>
    <w:rsid w:val="00A2075C"/>
    <w:rsid w:val="00A207DB"/>
    <w:rsid w:val="00A20893"/>
    <w:rsid w:val="00A20A6F"/>
    <w:rsid w:val="00A20A7D"/>
    <w:rsid w:val="00A20B22"/>
    <w:rsid w:val="00A20B23"/>
    <w:rsid w:val="00A20C0C"/>
    <w:rsid w:val="00A20C34"/>
    <w:rsid w:val="00A20CD8"/>
    <w:rsid w:val="00A20D03"/>
    <w:rsid w:val="00A20E21"/>
    <w:rsid w:val="00A2101A"/>
    <w:rsid w:val="00A210E7"/>
    <w:rsid w:val="00A2116C"/>
    <w:rsid w:val="00A21192"/>
    <w:rsid w:val="00A211AB"/>
    <w:rsid w:val="00A211B2"/>
    <w:rsid w:val="00A21428"/>
    <w:rsid w:val="00A214CC"/>
    <w:rsid w:val="00A2167E"/>
    <w:rsid w:val="00A21744"/>
    <w:rsid w:val="00A218F9"/>
    <w:rsid w:val="00A218FD"/>
    <w:rsid w:val="00A21EC6"/>
    <w:rsid w:val="00A21F0A"/>
    <w:rsid w:val="00A22083"/>
    <w:rsid w:val="00A22145"/>
    <w:rsid w:val="00A222C2"/>
    <w:rsid w:val="00A22325"/>
    <w:rsid w:val="00A223D8"/>
    <w:rsid w:val="00A223E2"/>
    <w:rsid w:val="00A22447"/>
    <w:rsid w:val="00A22451"/>
    <w:rsid w:val="00A225CC"/>
    <w:rsid w:val="00A2268C"/>
    <w:rsid w:val="00A2274D"/>
    <w:rsid w:val="00A22808"/>
    <w:rsid w:val="00A229CE"/>
    <w:rsid w:val="00A22A89"/>
    <w:rsid w:val="00A22B85"/>
    <w:rsid w:val="00A22C1C"/>
    <w:rsid w:val="00A2312A"/>
    <w:rsid w:val="00A232A7"/>
    <w:rsid w:val="00A234CE"/>
    <w:rsid w:val="00A2367D"/>
    <w:rsid w:val="00A23702"/>
    <w:rsid w:val="00A2378F"/>
    <w:rsid w:val="00A238CC"/>
    <w:rsid w:val="00A23978"/>
    <w:rsid w:val="00A23C34"/>
    <w:rsid w:val="00A23CE0"/>
    <w:rsid w:val="00A23E26"/>
    <w:rsid w:val="00A23E66"/>
    <w:rsid w:val="00A24152"/>
    <w:rsid w:val="00A242C8"/>
    <w:rsid w:val="00A24395"/>
    <w:rsid w:val="00A24531"/>
    <w:rsid w:val="00A24630"/>
    <w:rsid w:val="00A24646"/>
    <w:rsid w:val="00A24740"/>
    <w:rsid w:val="00A2477A"/>
    <w:rsid w:val="00A247D9"/>
    <w:rsid w:val="00A2487F"/>
    <w:rsid w:val="00A24991"/>
    <w:rsid w:val="00A24BCA"/>
    <w:rsid w:val="00A24CC2"/>
    <w:rsid w:val="00A24CF8"/>
    <w:rsid w:val="00A24DB8"/>
    <w:rsid w:val="00A24E75"/>
    <w:rsid w:val="00A24EE4"/>
    <w:rsid w:val="00A24F0C"/>
    <w:rsid w:val="00A24FD0"/>
    <w:rsid w:val="00A250CE"/>
    <w:rsid w:val="00A25168"/>
    <w:rsid w:val="00A2525A"/>
    <w:rsid w:val="00A252A9"/>
    <w:rsid w:val="00A257EE"/>
    <w:rsid w:val="00A25DE4"/>
    <w:rsid w:val="00A25F5B"/>
    <w:rsid w:val="00A25F5F"/>
    <w:rsid w:val="00A25FE3"/>
    <w:rsid w:val="00A26076"/>
    <w:rsid w:val="00A260F5"/>
    <w:rsid w:val="00A261BA"/>
    <w:rsid w:val="00A26207"/>
    <w:rsid w:val="00A26262"/>
    <w:rsid w:val="00A26293"/>
    <w:rsid w:val="00A2665B"/>
    <w:rsid w:val="00A26751"/>
    <w:rsid w:val="00A26781"/>
    <w:rsid w:val="00A26788"/>
    <w:rsid w:val="00A267E8"/>
    <w:rsid w:val="00A2695F"/>
    <w:rsid w:val="00A26984"/>
    <w:rsid w:val="00A26ACD"/>
    <w:rsid w:val="00A26BFF"/>
    <w:rsid w:val="00A26C01"/>
    <w:rsid w:val="00A26D38"/>
    <w:rsid w:val="00A26E4A"/>
    <w:rsid w:val="00A26F18"/>
    <w:rsid w:val="00A26F1A"/>
    <w:rsid w:val="00A26FD7"/>
    <w:rsid w:val="00A27054"/>
    <w:rsid w:val="00A27097"/>
    <w:rsid w:val="00A27747"/>
    <w:rsid w:val="00A277A7"/>
    <w:rsid w:val="00A27871"/>
    <w:rsid w:val="00A27904"/>
    <w:rsid w:val="00A27B37"/>
    <w:rsid w:val="00A27BC2"/>
    <w:rsid w:val="00A27C43"/>
    <w:rsid w:val="00A27D1C"/>
    <w:rsid w:val="00A27D6C"/>
    <w:rsid w:val="00A27FF7"/>
    <w:rsid w:val="00A30065"/>
    <w:rsid w:val="00A300A2"/>
    <w:rsid w:val="00A300A8"/>
    <w:rsid w:val="00A3013C"/>
    <w:rsid w:val="00A30169"/>
    <w:rsid w:val="00A30347"/>
    <w:rsid w:val="00A30452"/>
    <w:rsid w:val="00A30479"/>
    <w:rsid w:val="00A304C4"/>
    <w:rsid w:val="00A30587"/>
    <w:rsid w:val="00A30725"/>
    <w:rsid w:val="00A3073D"/>
    <w:rsid w:val="00A308D6"/>
    <w:rsid w:val="00A30DCB"/>
    <w:rsid w:val="00A30E4E"/>
    <w:rsid w:val="00A30F3A"/>
    <w:rsid w:val="00A30F47"/>
    <w:rsid w:val="00A31034"/>
    <w:rsid w:val="00A31040"/>
    <w:rsid w:val="00A310BE"/>
    <w:rsid w:val="00A311FC"/>
    <w:rsid w:val="00A31373"/>
    <w:rsid w:val="00A31470"/>
    <w:rsid w:val="00A3157D"/>
    <w:rsid w:val="00A31656"/>
    <w:rsid w:val="00A31961"/>
    <w:rsid w:val="00A31A32"/>
    <w:rsid w:val="00A31B98"/>
    <w:rsid w:val="00A31BF8"/>
    <w:rsid w:val="00A31D02"/>
    <w:rsid w:val="00A31D56"/>
    <w:rsid w:val="00A31D87"/>
    <w:rsid w:val="00A31DB1"/>
    <w:rsid w:val="00A31E0D"/>
    <w:rsid w:val="00A31EF8"/>
    <w:rsid w:val="00A31F4A"/>
    <w:rsid w:val="00A31FD5"/>
    <w:rsid w:val="00A32058"/>
    <w:rsid w:val="00A3216C"/>
    <w:rsid w:val="00A324AB"/>
    <w:rsid w:val="00A324E5"/>
    <w:rsid w:val="00A326B7"/>
    <w:rsid w:val="00A329B7"/>
    <w:rsid w:val="00A329FB"/>
    <w:rsid w:val="00A33089"/>
    <w:rsid w:val="00A332AB"/>
    <w:rsid w:val="00A3341E"/>
    <w:rsid w:val="00A33475"/>
    <w:rsid w:val="00A33497"/>
    <w:rsid w:val="00A334D9"/>
    <w:rsid w:val="00A336AB"/>
    <w:rsid w:val="00A33796"/>
    <w:rsid w:val="00A338A6"/>
    <w:rsid w:val="00A3393F"/>
    <w:rsid w:val="00A33978"/>
    <w:rsid w:val="00A33D17"/>
    <w:rsid w:val="00A33F50"/>
    <w:rsid w:val="00A33FD9"/>
    <w:rsid w:val="00A3403F"/>
    <w:rsid w:val="00A34136"/>
    <w:rsid w:val="00A34348"/>
    <w:rsid w:val="00A34434"/>
    <w:rsid w:val="00A3458D"/>
    <w:rsid w:val="00A34817"/>
    <w:rsid w:val="00A3489A"/>
    <w:rsid w:val="00A34A72"/>
    <w:rsid w:val="00A34BD1"/>
    <w:rsid w:val="00A34BD7"/>
    <w:rsid w:val="00A34CAD"/>
    <w:rsid w:val="00A34D1F"/>
    <w:rsid w:val="00A34D82"/>
    <w:rsid w:val="00A353B8"/>
    <w:rsid w:val="00A355DB"/>
    <w:rsid w:val="00A3565D"/>
    <w:rsid w:val="00A35737"/>
    <w:rsid w:val="00A35759"/>
    <w:rsid w:val="00A35860"/>
    <w:rsid w:val="00A3590D"/>
    <w:rsid w:val="00A359BF"/>
    <w:rsid w:val="00A35A59"/>
    <w:rsid w:val="00A35CD7"/>
    <w:rsid w:val="00A35D31"/>
    <w:rsid w:val="00A35D91"/>
    <w:rsid w:val="00A35DFD"/>
    <w:rsid w:val="00A35E75"/>
    <w:rsid w:val="00A36003"/>
    <w:rsid w:val="00A363BC"/>
    <w:rsid w:val="00A36554"/>
    <w:rsid w:val="00A36562"/>
    <w:rsid w:val="00A365F5"/>
    <w:rsid w:val="00A367DF"/>
    <w:rsid w:val="00A367F9"/>
    <w:rsid w:val="00A3689D"/>
    <w:rsid w:val="00A36A49"/>
    <w:rsid w:val="00A36F3B"/>
    <w:rsid w:val="00A37033"/>
    <w:rsid w:val="00A37393"/>
    <w:rsid w:val="00A3762B"/>
    <w:rsid w:val="00A37709"/>
    <w:rsid w:val="00A378B5"/>
    <w:rsid w:val="00A37900"/>
    <w:rsid w:val="00A3792C"/>
    <w:rsid w:val="00A37AB1"/>
    <w:rsid w:val="00A37B95"/>
    <w:rsid w:val="00A37CE0"/>
    <w:rsid w:val="00A37E6A"/>
    <w:rsid w:val="00A37EAC"/>
    <w:rsid w:val="00A37F8C"/>
    <w:rsid w:val="00A4000F"/>
    <w:rsid w:val="00A40326"/>
    <w:rsid w:val="00A403A2"/>
    <w:rsid w:val="00A4041A"/>
    <w:rsid w:val="00A40842"/>
    <w:rsid w:val="00A40984"/>
    <w:rsid w:val="00A40A26"/>
    <w:rsid w:val="00A40D82"/>
    <w:rsid w:val="00A40DF0"/>
    <w:rsid w:val="00A40FE6"/>
    <w:rsid w:val="00A41024"/>
    <w:rsid w:val="00A41089"/>
    <w:rsid w:val="00A41497"/>
    <w:rsid w:val="00A415F4"/>
    <w:rsid w:val="00A4166B"/>
    <w:rsid w:val="00A417A0"/>
    <w:rsid w:val="00A41811"/>
    <w:rsid w:val="00A419B8"/>
    <w:rsid w:val="00A41A83"/>
    <w:rsid w:val="00A41ACB"/>
    <w:rsid w:val="00A41B11"/>
    <w:rsid w:val="00A41B23"/>
    <w:rsid w:val="00A41B53"/>
    <w:rsid w:val="00A41B73"/>
    <w:rsid w:val="00A41BB4"/>
    <w:rsid w:val="00A41C52"/>
    <w:rsid w:val="00A41E1B"/>
    <w:rsid w:val="00A41F3F"/>
    <w:rsid w:val="00A4257C"/>
    <w:rsid w:val="00A425F6"/>
    <w:rsid w:val="00A4264E"/>
    <w:rsid w:val="00A42654"/>
    <w:rsid w:val="00A42689"/>
    <w:rsid w:val="00A4270F"/>
    <w:rsid w:val="00A427BE"/>
    <w:rsid w:val="00A428ED"/>
    <w:rsid w:val="00A42920"/>
    <w:rsid w:val="00A42933"/>
    <w:rsid w:val="00A42AF6"/>
    <w:rsid w:val="00A42B32"/>
    <w:rsid w:val="00A42BFD"/>
    <w:rsid w:val="00A42DB3"/>
    <w:rsid w:val="00A42DC7"/>
    <w:rsid w:val="00A42E41"/>
    <w:rsid w:val="00A42F78"/>
    <w:rsid w:val="00A42FBB"/>
    <w:rsid w:val="00A4310E"/>
    <w:rsid w:val="00A431AB"/>
    <w:rsid w:val="00A43296"/>
    <w:rsid w:val="00A433F0"/>
    <w:rsid w:val="00A4356F"/>
    <w:rsid w:val="00A43584"/>
    <w:rsid w:val="00A43593"/>
    <w:rsid w:val="00A43772"/>
    <w:rsid w:val="00A437EF"/>
    <w:rsid w:val="00A438E5"/>
    <w:rsid w:val="00A43C2D"/>
    <w:rsid w:val="00A43DEB"/>
    <w:rsid w:val="00A44088"/>
    <w:rsid w:val="00A440EE"/>
    <w:rsid w:val="00A4449F"/>
    <w:rsid w:val="00A4463F"/>
    <w:rsid w:val="00A44D6D"/>
    <w:rsid w:val="00A45216"/>
    <w:rsid w:val="00A45250"/>
    <w:rsid w:val="00A4528F"/>
    <w:rsid w:val="00A45452"/>
    <w:rsid w:val="00A45583"/>
    <w:rsid w:val="00A455F3"/>
    <w:rsid w:val="00A4572B"/>
    <w:rsid w:val="00A457A6"/>
    <w:rsid w:val="00A45A6B"/>
    <w:rsid w:val="00A45A6D"/>
    <w:rsid w:val="00A45C27"/>
    <w:rsid w:val="00A45C82"/>
    <w:rsid w:val="00A45DC4"/>
    <w:rsid w:val="00A45E74"/>
    <w:rsid w:val="00A46004"/>
    <w:rsid w:val="00A46077"/>
    <w:rsid w:val="00A46098"/>
    <w:rsid w:val="00A460CD"/>
    <w:rsid w:val="00A461A9"/>
    <w:rsid w:val="00A46213"/>
    <w:rsid w:val="00A46222"/>
    <w:rsid w:val="00A46477"/>
    <w:rsid w:val="00A46486"/>
    <w:rsid w:val="00A46531"/>
    <w:rsid w:val="00A46563"/>
    <w:rsid w:val="00A466FA"/>
    <w:rsid w:val="00A46863"/>
    <w:rsid w:val="00A46AB9"/>
    <w:rsid w:val="00A46D1E"/>
    <w:rsid w:val="00A471FA"/>
    <w:rsid w:val="00A4731A"/>
    <w:rsid w:val="00A474F6"/>
    <w:rsid w:val="00A474FB"/>
    <w:rsid w:val="00A47548"/>
    <w:rsid w:val="00A4772D"/>
    <w:rsid w:val="00A47823"/>
    <w:rsid w:val="00A47893"/>
    <w:rsid w:val="00A479E2"/>
    <w:rsid w:val="00A47B86"/>
    <w:rsid w:val="00A47C26"/>
    <w:rsid w:val="00A47CDC"/>
    <w:rsid w:val="00A47D63"/>
    <w:rsid w:val="00A47F95"/>
    <w:rsid w:val="00A50090"/>
    <w:rsid w:val="00A501E8"/>
    <w:rsid w:val="00A50214"/>
    <w:rsid w:val="00A50343"/>
    <w:rsid w:val="00A50463"/>
    <w:rsid w:val="00A504D0"/>
    <w:rsid w:val="00A505DE"/>
    <w:rsid w:val="00A50703"/>
    <w:rsid w:val="00A5077C"/>
    <w:rsid w:val="00A508A6"/>
    <w:rsid w:val="00A508D6"/>
    <w:rsid w:val="00A50A3A"/>
    <w:rsid w:val="00A50B46"/>
    <w:rsid w:val="00A50EF3"/>
    <w:rsid w:val="00A50FE7"/>
    <w:rsid w:val="00A51114"/>
    <w:rsid w:val="00A5113E"/>
    <w:rsid w:val="00A512C4"/>
    <w:rsid w:val="00A513D5"/>
    <w:rsid w:val="00A5163F"/>
    <w:rsid w:val="00A51687"/>
    <w:rsid w:val="00A5169F"/>
    <w:rsid w:val="00A51799"/>
    <w:rsid w:val="00A518FE"/>
    <w:rsid w:val="00A5195A"/>
    <w:rsid w:val="00A51983"/>
    <w:rsid w:val="00A51ACB"/>
    <w:rsid w:val="00A52083"/>
    <w:rsid w:val="00A52341"/>
    <w:rsid w:val="00A523E8"/>
    <w:rsid w:val="00A529DC"/>
    <w:rsid w:val="00A52E71"/>
    <w:rsid w:val="00A52F8C"/>
    <w:rsid w:val="00A5305A"/>
    <w:rsid w:val="00A53304"/>
    <w:rsid w:val="00A53398"/>
    <w:rsid w:val="00A53587"/>
    <w:rsid w:val="00A535BE"/>
    <w:rsid w:val="00A53677"/>
    <w:rsid w:val="00A5375B"/>
    <w:rsid w:val="00A5379C"/>
    <w:rsid w:val="00A53800"/>
    <w:rsid w:val="00A53898"/>
    <w:rsid w:val="00A53AA6"/>
    <w:rsid w:val="00A53B46"/>
    <w:rsid w:val="00A53B56"/>
    <w:rsid w:val="00A53DD1"/>
    <w:rsid w:val="00A53F27"/>
    <w:rsid w:val="00A53F55"/>
    <w:rsid w:val="00A53FC8"/>
    <w:rsid w:val="00A54056"/>
    <w:rsid w:val="00A544CD"/>
    <w:rsid w:val="00A545CB"/>
    <w:rsid w:val="00A54658"/>
    <w:rsid w:val="00A5475B"/>
    <w:rsid w:val="00A54784"/>
    <w:rsid w:val="00A54835"/>
    <w:rsid w:val="00A549B8"/>
    <w:rsid w:val="00A54C88"/>
    <w:rsid w:val="00A54E3F"/>
    <w:rsid w:val="00A552E7"/>
    <w:rsid w:val="00A552F9"/>
    <w:rsid w:val="00A55448"/>
    <w:rsid w:val="00A554D0"/>
    <w:rsid w:val="00A5550C"/>
    <w:rsid w:val="00A5559A"/>
    <w:rsid w:val="00A556E1"/>
    <w:rsid w:val="00A558F6"/>
    <w:rsid w:val="00A55962"/>
    <w:rsid w:val="00A55ABC"/>
    <w:rsid w:val="00A55ADF"/>
    <w:rsid w:val="00A55B90"/>
    <w:rsid w:val="00A55CAD"/>
    <w:rsid w:val="00A55DC9"/>
    <w:rsid w:val="00A55EA3"/>
    <w:rsid w:val="00A55F89"/>
    <w:rsid w:val="00A56024"/>
    <w:rsid w:val="00A56105"/>
    <w:rsid w:val="00A56126"/>
    <w:rsid w:val="00A564E6"/>
    <w:rsid w:val="00A5656F"/>
    <w:rsid w:val="00A565B2"/>
    <w:rsid w:val="00A568AF"/>
    <w:rsid w:val="00A56996"/>
    <w:rsid w:val="00A569A5"/>
    <w:rsid w:val="00A56B52"/>
    <w:rsid w:val="00A56CE7"/>
    <w:rsid w:val="00A56EBE"/>
    <w:rsid w:val="00A57118"/>
    <w:rsid w:val="00A5716B"/>
    <w:rsid w:val="00A57233"/>
    <w:rsid w:val="00A5728C"/>
    <w:rsid w:val="00A572A3"/>
    <w:rsid w:val="00A572C3"/>
    <w:rsid w:val="00A5742F"/>
    <w:rsid w:val="00A57500"/>
    <w:rsid w:val="00A57531"/>
    <w:rsid w:val="00A5757D"/>
    <w:rsid w:val="00A57676"/>
    <w:rsid w:val="00A578A3"/>
    <w:rsid w:val="00A57918"/>
    <w:rsid w:val="00A579B2"/>
    <w:rsid w:val="00A57AFD"/>
    <w:rsid w:val="00A57CD7"/>
    <w:rsid w:val="00A57EF4"/>
    <w:rsid w:val="00A57FD8"/>
    <w:rsid w:val="00A603E0"/>
    <w:rsid w:val="00A604D9"/>
    <w:rsid w:val="00A60774"/>
    <w:rsid w:val="00A60A2C"/>
    <w:rsid w:val="00A60AA9"/>
    <w:rsid w:val="00A60F62"/>
    <w:rsid w:val="00A61052"/>
    <w:rsid w:val="00A6135A"/>
    <w:rsid w:val="00A61370"/>
    <w:rsid w:val="00A614B7"/>
    <w:rsid w:val="00A61579"/>
    <w:rsid w:val="00A6166A"/>
    <w:rsid w:val="00A618B1"/>
    <w:rsid w:val="00A618C7"/>
    <w:rsid w:val="00A61924"/>
    <w:rsid w:val="00A619C0"/>
    <w:rsid w:val="00A61ADE"/>
    <w:rsid w:val="00A61B99"/>
    <w:rsid w:val="00A61DAC"/>
    <w:rsid w:val="00A61E32"/>
    <w:rsid w:val="00A61F0E"/>
    <w:rsid w:val="00A6217D"/>
    <w:rsid w:val="00A6240A"/>
    <w:rsid w:val="00A6285D"/>
    <w:rsid w:val="00A628C4"/>
    <w:rsid w:val="00A62A65"/>
    <w:rsid w:val="00A62A69"/>
    <w:rsid w:val="00A62B8A"/>
    <w:rsid w:val="00A62C7E"/>
    <w:rsid w:val="00A62CFA"/>
    <w:rsid w:val="00A62F9C"/>
    <w:rsid w:val="00A630C8"/>
    <w:rsid w:val="00A6322B"/>
    <w:rsid w:val="00A632BD"/>
    <w:rsid w:val="00A63388"/>
    <w:rsid w:val="00A637D2"/>
    <w:rsid w:val="00A6397E"/>
    <w:rsid w:val="00A639A7"/>
    <w:rsid w:val="00A63BDD"/>
    <w:rsid w:val="00A63C0C"/>
    <w:rsid w:val="00A63ECD"/>
    <w:rsid w:val="00A63F02"/>
    <w:rsid w:val="00A63F7C"/>
    <w:rsid w:val="00A63FBB"/>
    <w:rsid w:val="00A64020"/>
    <w:rsid w:val="00A643F4"/>
    <w:rsid w:val="00A64410"/>
    <w:rsid w:val="00A6448A"/>
    <w:rsid w:val="00A6452D"/>
    <w:rsid w:val="00A645E1"/>
    <w:rsid w:val="00A64652"/>
    <w:rsid w:val="00A64761"/>
    <w:rsid w:val="00A64AE2"/>
    <w:rsid w:val="00A64B5C"/>
    <w:rsid w:val="00A64B9A"/>
    <w:rsid w:val="00A64C2F"/>
    <w:rsid w:val="00A64D4C"/>
    <w:rsid w:val="00A64EB0"/>
    <w:rsid w:val="00A65036"/>
    <w:rsid w:val="00A6532D"/>
    <w:rsid w:val="00A65383"/>
    <w:rsid w:val="00A65476"/>
    <w:rsid w:val="00A6554B"/>
    <w:rsid w:val="00A655C3"/>
    <w:rsid w:val="00A65613"/>
    <w:rsid w:val="00A657B0"/>
    <w:rsid w:val="00A659F9"/>
    <w:rsid w:val="00A65D5D"/>
    <w:rsid w:val="00A65DC0"/>
    <w:rsid w:val="00A65E09"/>
    <w:rsid w:val="00A65E98"/>
    <w:rsid w:val="00A65EFD"/>
    <w:rsid w:val="00A65F04"/>
    <w:rsid w:val="00A660B6"/>
    <w:rsid w:val="00A662EC"/>
    <w:rsid w:val="00A6634D"/>
    <w:rsid w:val="00A66374"/>
    <w:rsid w:val="00A66489"/>
    <w:rsid w:val="00A6679A"/>
    <w:rsid w:val="00A66837"/>
    <w:rsid w:val="00A66843"/>
    <w:rsid w:val="00A66A6A"/>
    <w:rsid w:val="00A66AC5"/>
    <w:rsid w:val="00A66B26"/>
    <w:rsid w:val="00A66B5D"/>
    <w:rsid w:val="00A66EA0"/>
    <w:rsid w:val="00A67209"/>
    <w:rsid w:val="00A67B19"/>
    <w:rsid w:val="00A67B40"/>
    <w:rsid w:val="00A67DA5"/>
    <w:rsid w:val="00A7010D"/>
    <w:rsid w:val="00A7021B"/>
    <w:rsid w:val="00A70227"/>
    <w:rsid w:val="00A70234"/>
    <w:rsid w:val="00A70246"/>
    <w:rsid w:val="00A706F9"/>
    <w:rsid w:val="00A70716"/>
    <w:rsid w:val="00A7099F"/>
    <w:rsid w:val="00A70BE5"/>
    <w:rsid w:val="00A70D9C"/>
    <w:rsid w:val="00A70F6D"/>
    <w:rsid w:val="00A71276"/>
    <w:rsid w:val="00A712D1"/>
    <w:rsid w:val="00A712D9"/>
    <w:rsid w:val="00A7135E"/>
    <w:rsid w:val="00A713DA"/>
    <w:rsid w:val="00A715AF"/>
    <w:rsid w:val="00A7171D"/>
    <w:rsid w:val="00A717A2"/>
    <w:rsid w:val="00A71875"/>
    <w:rsid w:val="00A7199F"/>
    <w:rsid w:val="00A71A9F"/>
    <w:rsid w:val="00A71C01"/>
    <w:rsid w:val="00A71CFA"/>
    <w:rsid w:val="00A71E95"/>
    <w:rsid w:val="00A71EE5"/>
    <w:rsid w:val="00A72017"/>
    <w:rsid w:val="00A7208B"/>
    <w:rsid w:val="00A720AE"/>
    <w:rsid w:val="00A7229F"/>
    <w:rsid w:val="00A7236D"/>
    <w:rsid w:val="00A72645"/>
    <w:rsid w:val="00A726AB"/>
    <w:rsid w:val="00A72719"/>
    <w:rsid w:val="00A727D1"/>
    <w:rsid w:val="00A72803"/>
    <w:rsid w:val="00A728EF"/>
    <w:rsid w:val="00A72C83"/>
    <w:rsid w:val="00A72CEC"/>
    <w:rsid w:val="00A72D73"/>
    <w:rsid w:val="00A72D82"/>
    <w:rsid w:val="00A72FA1"/>
    <w:rsid w:val="00A72FC9"/>
    <w:rsid w:val="00A7311D"/>
    <w:rsid w:val="00A73158"/>
    <w:rsid w:val="00A731DF"/>
    <w:rsid w:val="00A73270"/>
    <w:rsid w:val="00A732A0"/>
    <w:rsid w:val="00A7351C"/>
    <w:rsid w:val="00A73548"/>
    <w:rsid w:val="00A7357E"/>
    <w:rsid w:val="00A73707"/>
    <w:rsid w:val="00A73D17"/>
    <w:rsid w:val="00A73D96"/>
    <w:rsid w:val="00A74033"/>
    <w:rsid w:val="00A7409D"/>
    <w:rsid w:val="00A74204"/>
    <w:rsid w:val="00A742FF"/>
    <w:rsid w:val="00A7438E"/>
    <w:rsid w:val="00A74472"/>
    <w:rsid w:val="00A744FE"/>
    <w:rsid w:val="00A7450F"/>
    <w:rsid w:val="00A74705"/>
    <w:rsid w:val="00A74724"/>
    <w:rsid w:val="00A7497B"/>
    <w:rsid w:val="00A749A8"/>
    <w:rsid w:val="00A74B19"/>
    <w:rsid w:val="00A74BD0"/>
    <w:rsid w:val="00A74C13"/>
    <w:rsid w:val="00A74CCA"/>
    <w:rsid w:val="00A74CDF"/>
    <w:rsid w:val="00A74EE0"/>
    <w:rsid w:val="00A750AF"/>
    <w:rsid w:val="00A75114"/>
    <w:rsid w:val="00A75212"/>
    <w:rsid w:val="00A7528B"/>
    <w:rsid w:val="00A75375"/>
    <w:rsid w:val="00A753D3"/>
    <w:rsid w:val="00A75759"/>
    <w:rsid w:val="00A757F3"/>
    <w:rsid w:val="00A75803"/>
    <w:rsid w:val="00A7583E"/>
    <w:rsid w:val="00A75888"/>
    <w:rsid w:val="00A75893"/>
    <w:rsid w:val="00A75A3E"/>
    <w:rsid w:val="00A75B43"/>
    <w:rsid w:val="00A75C31"/>
    <w:rsid w:val="00A75CC6"/>
    <w:rsid w:val="00A75CCB"/>
    <w:rsid w:val="00A75E8B"/>
    <w:rsid w:val="00A75F5C"/>
    <w:rsid w:val="00A75FE5"/>
    <w:rsid w:val="00A760D6"/>
    <w:rsid w:val="00A7612F"/>
    <w:rsid w:val="00A76250"/>
    <w:rsid w:val="00A7629F"/>
    <w:rsid w:val="00A76464"/>
    <w:rsid w:val="00A765A0"/>
    <w:rsid w:val="00A765D2"/>
    <w:rsid w:val="00A766FB"/>
    <w:rsid w:val="00A76752"/>
    <w:rsid w:val="00A767AB"/>
    <w:rsid w:val="00A76842"/>
    <w:rsid w:val="00A7687B"/>
    <w:rsid w:val="00A76881"/>
    <w:rsid w:val="00A76B8A"/>
    <w:rsid w:val="00A76C0D"/>
    <w:rsid w:val="00A76E91"/>
    <w:rsid w:val="00A76F79"/>
    <w:rsid w:val="00A770B4"/>
    <w:rsid w:val="00A771ED"/>
    <w:rsid w:val="00A772EF"/>
    <w:rsid w:val="00A7736C"/>
    <w:rsid w:val="00A7742A"/>
    <w:rsid w:val="00A7751B"/>
    <w:rsid w:val="00A77579"/>
    <w:rsid w:val="00A7764E"/>
    <w:rsid w:val="00A777D4"/>
    <w:rsid w:val="00A778DB"/>
    <w:rsid w:val="00A779AD"/>
    <w:rsid w:val="00A77AB1"/>
    <w:rsid w:val="00A77B17"/>
    <w:rsid w:val="00A77C2F"/>
    <w:rsid w:val="00A77C72"/>
    <w:rsid w:val="00A77D57"/>
    <w:rsid w:val="00A77F9F"/>
    <w:rsid w:val="00A80036"/>
    <w:rsid w:val="00A800BD"/>
    <w:rsid w:val="00A80360"/>
    <w:rsid w:val="00A803FC"/>
    <w:rsid w:val="00A8064C"/>
    <w:rsid w:val="00A807CB"/>
    <w:rsid w:val="00A807F4"/>
    <w:rsid w:val="00A80965"/>
    <w:rsid w:val="00A80C78"/>
    <w:rsid w:val="00A80F32"/>
    <w:rsid w:val="00A81218"/>
    <w:rsid w:val="00A81383"/>
    <w:rsid w:val="00A8138B"/>
    <w:rsid w:val="00A8142B"/>
    <w:rsid w:val="00A814FD"/>
    <w:rsid w:val="00A81577"/>
    <w:rsid w:val="00A81598"/>
    <w:rsid w:val="00A8170C"/>
    <w:rsid w:val="00A81844"/>
    <w:rsid w:val="00A8193E"/>
    <w:rsid w:val="00A81A4D"/>
    <w:rsid w:val="00A81AB4"/>
    <w:rsid w:val="00A81D4D"/>
    <w:rsid w:val="00A81E5D"/>
    <w:rsid w:val="00A81E87"/>
    <w:rsid w:val="00A81EAB"/>
    <w:rsid w:val="00A8203D"/>
    <w:rsid w:val="00A82085"/>
    <w:rsid w:val="00A82348"/>
    <w:rsid w:val="00A823CF"/>
    <w:rsid w:val="00A8245E"/>
    <w:rsid w:val="00A824C7"/>
    <w:rsid w:val="00A82650"/>
    <w:rsid w:val="00A82687"/>
    <w:rsid w:val="00A827BE"/>
    <w:rsid w:val="00A828AF"/>
    <w:rsid w:val="00A829DE"/>
    <w:rsid w:val="00A829E7"/>
    <w:rsid w:val="00A829F5"/>
    <w:rsid w:val="00A82A96"/>
    <w:rsid w:val="00A82AA3"/>
    <w:rsid w:val="00A82B09"/>
    <w:rsid w:val="00A82C65"/>
    <w:rsid w:val="00A82CB1"/>
    <w:rsid w:val="00A82DF1"/>
    <w:rsid w:val="00A8322C"/>
    <w:rsid w:val="00A83280"/>
    <w:rsid w:val="00A83284"/>
    <w:rsid w:val="00A833C1"/>
    <w:rsid w:val="00A8346B"/>
    <w:rsid w:val="00A8351B"/>
    <w:rsid w:val="00A8355F"/>
    <w:rsid w:val="00A8368D"/>
    <w:rsid w:val="00A836D3"/>
    <w:rsid w:val="00A836EB"/>
    <w:rsid w:val="00A83815"/>
    <w:rsid w:val="00A83953"/>
    <w:rsid w:val="00A83A37"/>
    <w:rsid w:val="00A83CCB"/>
    <w:rsid w:val="00A83E20"/>
    <w:rsid w:val="00A83E5F"/>
    <w:rsid w:val="00A83FE5"/>
    <w:rsid w:val="00A8407B"/>
    <w:rsid w:val="00A84407"/>
    <w:rsid w:val="00A8440F"/>
    <w:rsid w:val="00A844C6"/>
    <w:rsid w:val="00A84521"/>
    <w:rsid w:val="00A84570"/>
    <w:rsid w:val="00A846F6"/>
    <w:rsid w:val="00A84C39"/>
    <w:rsid w:val="00A84C95"/>
    <w:rsid w:val="00A84D4E"/>
    <w:rsid w:val="00A84E3E"/>
    <w:rsid w:val="00A84ED2"/>
    <w:rsid w:val="00A84F17"/>
    <w:rsid w:val="00A84F3C"/>
    <w:rsid w:val="00A8508A"/>
    <w:rsid w:val="00A85106"/>
    <w:rsid w:val="00A8513C"/>
    <w:rsid w:val="00A851FA"/>
    <w:rsid w:val="00A85211"/>
    <w:rsid w:val="00A852DD"/>
    <w:rsid w:val="00A85339"/>
    <w:rsid w:val="00A853D5"/>
    <w:rsid w:val="00A8565C"/>
    <w:rsid w:val="00A8567D"/>
    <w:rsid w:val="00A8575A"/>
    <w:rsid w:val="00A85964"/>
    <w:rsid w:val="00A85AC4"/>
    <w:rsid w:val="00A85B8D"/>
    <w:rsid w:val="00A85BB7"/>
    <w:rsid w:val="00A85D87"/>
    <w:rsid w:val="00A85E16"/>
    <w:rsid w:val="00A8605F"/>
    <w:rsid w:val="00A860B1"/>
    <w:rsid w:val="00A860C4"/>
    <w:rsid w:val="00A86140"/>
    <w:rsid w:val="00A86182"/>
    <w:rsid w:val="00A86270"/>
    <w:rsid w:val="00A862D0"/>
    <w:rsid w:val="00A8643C"/>
    <w:rsid w:val="00A86502"/>
    <w:rsid w:val="00A86846"/>
    <w:rsid w:val="00A86C3A"/>
    <w:rsid w:val="00A86C43"/>
    <w:rsid w:val="00A86CD3"/>
    <w:rsid w:val="00A86CE9"/>
    <w:rsid w:val="00A86EBD"/>
    <w:rsid w:val="00A86F11"/>
    <w:rsid w:val="00A870F1"/>
    <w:rsid w:val="00A87136"/>
    <w:rsid w:val="00A872F7"/>
    <w:rsid w:val="00A873FB"/>
    <w:rsid w:val="00A87517"/>
    <w:rsid w:val="00A87533"/>
    <w:rsid w:val="00A87603"/>
    <w:rsid w:val="00A87851"/>
    <w:rsid w:val="00A87870"/>
    <w:rsid w:val="00A8787C"/>
    <w:rsid w:val="00A87916"/>
    <w:rsid w:val="00A8794A"/>
    <w:rsid w:val="00A879BE"/>
    <w:rsid w:val="00A879D3"/>
    <w:rsid w:val="00A87C05"/>
    <w:rsid w:val="00A87C72"/>
    <w:rsid w:val="00A87E56"/>
    <w:rsid w:val="00A87EAE"/>
    <w:rsid w:val="00A87ED2"/>
    <w:rsid w:val="00A87FF8"/>
    <w:rsid w:val="00A90031"/>
    <w:rsid w:val="00A900E3"/>
    <w:rsid w:val="00A9019E"/>
    <w:rsid w:val="00A901FF"/>
    <w:rsid w:val="00A9056C"/>
    <w:rsid w:val="00A905DF"/>
    <w:rsid w:val="00A90684"/>
    <w:rsid w:val="00A906A8"/>
    <w:rsid w:val="00A90720"/>
    <w:rsid w:val="00A907A5"/>
    <w:rsid w:val="00A907EF"/>
    <w:rsid w:val="00A908D2"/>
    <w:rsid w:val="00A909F6"/>
    <w:rsid w:val="00A90A30"/>
    <w:rsid w:val="00A90B1E"/>
    <w:rsid w:val="00A90BD3"/>
    <w:rsid w:val="00A90BFC"/>
    <w:rsid w:val="00A90C04"/>
    <w:rsid w:val="00A90CE3"/>
    <w:rsid w:val="00A90D26"/>
    <w:rsid w:val="00A90F0C"/>
    <w:rsid w:val="00A90F1C"/>
    <w:rsid w:val="00A90FC6"/>
    <w:rsid w:val="00A910FE"/>
    <w:rsid w:val="00A9110F"/>
    <w:rsid w:val="00A911F6"/>
    <w:rsid w:val="00A912A9"/>
    <w:rsid w:val="00A912B0"/>
    <w:rsid w:val="00A915C9"/>
    <w:rsid w:val="00A91629"/>
    <w:rsid w:val="00A916AC"/>
    <w:rsid w:val="00A916FA"/>
    <w:rsid w:val="00A91786"/>
    <w:rsid w:val="00A91D64"/>
    <w:rsid w:val="00A91DB6"/>
    <w:rsid w:val="00A92019"/>
    <w:rsid w:val="00A92049"/>
    <w:rsid w:val="00A921BF"/>
    <w:rsid w:val="00A921ED"/>
    <w:rsid w:val="00A9225F"/>
    <w:rsid w:val="00A92285"/>
    <w:rsid w:val="00A92433"/>
    <w:rsid w:val="00A92467"/>
    <w:rsid w:val="00A9247A"/>
    <w:rsid w:val="00A926E0"/>
    <w:rsid w:val="00A92920"/>
    <w:rsid w:val="00A92C35"/>
    <w:rsid w:val="00A92DAD"/>
    <w:rsid w:val="00A92E3E"/>
    <w:rsid w:val="00A92E9D"/>
    <w:rsid w:val="00A92EB8"/>
    <w:rsid w:val="00A92F8E"/>
    <w:rsid w:val="00A92F9D"/>
    <w:rsid w:val="00A932C2"/>
    <w:rsid w:val="00A93374"/>
    <w:rsid w:val="00A93696"/>
    <w:rsid w:val="00A93714"/>
    <w:rsid w:val="00A9392F"/>
    <w:rsid w:val="00A93C27"/>
    <w:rsid w:val="00A93C85"/>
    <w:rsid w:val="00A93D56"/>
    <w:rsid w:val="00A93D58"/>
    <w:rsid w:val="00A93D86"/>
    <w:rsid w:val="00A93F1C"/>
    <w:rsid w:val="00A94007"/>
    <w:rsid w:val="00A94009"/>
    <w:rsid w:val="00A9400B"/>
    <w:rsid w:val="00A9403C"/>
    <w:rsid w:val="00A94187"/>
    <w:rsid w:val="00A941DD"/>
    <w:rsid w:val="00A942BD"/>
    <w:rsid w:val="00A942F8"/>
    <w:rsid w:val="00A94358"/>
    <w:rsid w:val="00A94380"/>
    <w:rsid w:val="00A945A3"/>
    <w:rsid w:val="00A94978"/>
    <w:rsid w:val="00A94F59"/>
    <w:rsid w:val="00A94FBA"/>
    <w:rsid w:val="00A94FF0"/>
    <w:rsid w:val="00A954E9"/>
    <w:rsid w:val="00A95600"/>
    <w:rsid w:val="00A959DA"/>
    <w:rsid w:val="00A95A97"/>
    <w:rsid w:val="00A95CD6"/>
    <w:rsid w:val="00A95D2C"/>
    <w:rsid w:val="00A95E98"/>
    <w:rsid w:val="00A95FA1"/>
    <w:rsid w:val="00A96159"/>
    <w:rsid w:val="00A963A2"/>
    <w:rsid w:val="00A965F1"/>
    <w:rsid w:val="00A96679"/>
    <w:rsid w:val="00A96798"/>
    <w:rsid w:val="00A96A92"/>
    <w:rsid w:val="00A96AE6"/>
    <w:rsid w:val="00A96B49"/>
    <w:rsid w:val="00A96BB0"/>
    <w:rsid w:val="00A96D6F"/>
    <w:rsid w:val="00A9730D"/>
    <w:rsid w:val="00A973C7"/>
    <w:rsid w:val="00A97516"/>
    <w:rsid w:val="00A9783C"/>
    <w:rsid w:val="00A97889"/>
    <w:rsid w:val="00A9792E"/>
    <w:rsid w:val="00A97C63"/>
    <w:rsid w:val="00A97CE2"/>
    <w:rsid w:val="00A97D2E"/>
    <w:rsid w:val="00A97D8A"/>
    <w:rsid w:val="00A97E3C"/>
    <w:rsid w:val="00A97E96"/>
    <w:rsid w:val="00A97EC6"/>
    <w:rsid w:val="00A97F02"/>
    <w:rsid w:val="00AA04A7"/>
    <w:rsid w:val="00AA04AF"/>
    <w:rsid w:val="00AA04FB"/>
    <w:rsid w:val="00AA0575"/>
    <w:rsid w:val="00AA0578"/>
    <w:rsid w:val="00AA0601"/>
    <w:rsid w:val="00AA0C25"/>
    <w:rsid w:val="00AA0C27"/>
    <w:rsid w:val="00AA0DA5"/>
    <w:rsid w:val="00AA0DD5"/>
    <w:rsid w:val="00AA0E3B"/>
    <w:rsid w:val="00AA0E89"/>
    <w:rsid w:val="00AA1067"/>
    <w:rsid w:val="00AA1242"/>
    <w:rsid w:val="00AA1342"/>
    <w:rsid w:val="00AA13D4"/>
    <w:rsid w:val="00AA158E"/>
    <w:rsid w:val="00AA185E"/>
    <w:rsid w:val="00AA1994"/>
    <w:rsid w:val="00AA1A58"/>
    <w:rsid w:val="00AA1A94"/>
    <w:rsid w:val="00AA1B31"/>
    <w:rsid w:val="00AA1B58"/>
    <w:rsid w:val="00AA1C59"/>
    <w:rsid w:val="00AA1E70"/>
    <w:rsid w:val="00AA206B"/>
    <w:rsid w:val="00AA21A2"/>
    <w:rsid w:val="00AA2319"/>
    <w:rsid w:val="00AA235F"/>
    <w:rsid w:val="00AA2592"/>
    <w:rsid w:val="00AA25A8"/>
    <w:rsid w:val="00AA25C6"/>
    <w:rsid w:val="00AA25EC"/>
    <w:rsid w:val="00AA2638"/>
    <w:rsid w:val="00AA2676"/>
    <w:rsid w:val="00AA26C5"/>
    <w:rsid w:val="00AA2813"/>
    <w:rsid w:val="00AA28DD"/>
    <w:rsid w:val="00AA2BA3"/>
    <w:rsid w:val="00AA2BF4"/>
    <w:rsid w:val="00AA2DE3"/>
    <w:rsid w:val="00AA2E1A"/>
    <w:rsid w:val="00AA2E8F"/>
    <w:rsid w:val="00AA2F8A"/>
    <w:rsid w:val="00AA30EB"/>
    <w:rsid w:val="00AA3160"/>
    <w:rsid w:val="00AA31BA"/>
    <w:rsid w:val="00AA3219"/>
    <w:rsid w:val="00AA35C1"/>
    <w:rsid w:val="00AA35D7"/>
    <w:rsid w:val="00AA365B"/>
    <w:rsid w:val="00AA36DD"/>
    <w:rsid w:val="00AA372E"/>
    <w:rsid w:val="00AA37D0"/>
    <w:rsid w:val="00AA389C"/>
    <w:rsid w:val="00AA3A67"/>
    <w:rsid w:val="00AA3A80"/>
    <w:rsid w:val="00AA3AE0"/>
    <w:rsid w:val="00AA3B37"/>
    <w:rsid w:val="00AA3B5F"/>
    <w:rsid w:val="00AA3BDC"/>
    <w:rsid w:val="00AA3C31"/>
    <w:rsid w:val="00AA3D63"/>
    <w:rsid w:val="00AA3D80"/>
    <w:rsid w:val="00AA3E13"/>
    <w:rsid w:val="00AA3E71"/>
    <w:rsid w:val="00AA3F72"/>
    <w:rsid w:val="00AA3FC1"/>
    <w:rsid w:val="00AA4040"/>
    <w:rsid w:val="00AA40BA"/>
    <w:rsid w:val="00AA40BF"/>
    <w:rsid w:val="00AA42DA"/>
    <w:rsid w:val="00AA4350"/>
    <w:rsid w:val="00AA44AE"/>
    <w:rsid w:val="00AA457B"/>
    <w:rsid w:val="00AA4731"/>
    <w:rsid w:val="00AA4874"/>
    <w:rsid w:val="00AA4C99"/>
    <w:rsid w:val="00AA4EC5"/>
    <w:rsid w:val="00AA51FD"/>
    <w:rsid w:val="00AA5759"/>
    <w:rsid w:val="00AA57CC"/>
    <w:rsid w:val="00AA5844"/>
    <w:rsid w:val="00AA589F"/>
    <w:rsid w:val="00AA59D7"/>
    <w:rsid w:val="00AA5CF2"/>
    <w:rsid w:val="00AA5F5D"/>
    <w:rsid w:val="00AA5F99"/>
    <w:rsid w:val="00AA619C"/>
    <w:rsid w:val="00AA62E8"/>
    <w:rsid w:val="00AA633B"/>
    <w:rsid w:val="00AA649C"/>
    <w:rsid w:val="00AA6544"/>
    <w:rsid w:val="00AA67E6"/>
    <w:rsid w:val="00AA686E"/>
    <w:rsid w:val="00AA687A"/>
    <w:rsid w:val="00AA68BE"/>
    <w:rsid w:val="00AA69D0"/>
    <w:rsid w:val="00AA6B3A"/>
    <w:rsid w:val="00AA6B67"/>
    <w:rsid w:val="00AA6B6B"/>
    <w:rsid w:val="00AA6B7A"/>
    <w:rsid w:val="00AA6BD3"/>
    <w:rsid w:val="00AA6C25"/>
    <w:rsid w:val="00AA6C50"/>
    <w:rsid w:val="00AA6C7D"/>
    <w:rsid w:val="00AA6D70"/>
    <w:rsid w:val="00AA6E6A"/>
    <w:rsid w:val="00AA6FE0"/>
    <w:rsid w:val="00AA6FEC"/>
    <w:rsid w:val="00AA7188"/>
    <w:rsid w:val="00AA71B9"/>
    <w:rsid w:val="00AA7242"/>
    <w:rsid w:val="00AA738A"/>
    <w:rsid w:val="00AA7398"/>
    <w:rsid w:val="00AA74A3"/>
    <w:rsid w:val="00AA76F6"/>
    <w:rsid w:val="00AA7895"/>
    <w:rsid w:val="00AA7A1A"/>
    <w:rsid w:val="00AA7A86"/>
    <w:rsid w:val="00AA7C2A"/>
    <w:rsid w:val="00AA7CB9"/>
    <w:rsid w:val="00AA7E8E"/>
    <w:rsid w:val="00AB0032"/>
    <w:rsid w:val="00AB004A"/>
    <w:rsid w:val="00AB01DE"/>
    <w:rsid w:val="00AB0334"/>
    <w:rsid w:val="00AB0373"/>
    <w:rsid w:val="00AB0400"/>
    <w:rsid w:val="00AB0624"/>
    <w:rsid w:val="00AB065E"/>
    <w:rsid w:val="00AB07D9"/>
    <w:rsid w:val="00AB0818"/>
    <w:rsid w:val="00AB082D"/>
    <w:rsid w:val="00AB08F9"/>
    <w:rsid w:val="00AB0A89"/>
    <w:rsid w:val="00AB0B88"/>
    <w:rsid w:val="00AB0BD3"/>
    <w:rsid w:val="00AB0BEA"/>
    <w:rsid w:val="00AB0E03"/>
    <w:rsid w:val="00AB0E68"/>
    <w:rsid w:val="00AB0EF5"/>
    <w:rsid w:val="00AB0FF6"/>
    <w:rsid w:val="00AB1156"/>
    <w:rsid w:val="00AB11BE"/>
    <w:rsid w:val="00AB1273"/>
    <w:rsid w:val="00AB1332"/>
    <w:rsid w:val="00AB140E"/>
    <w:rsid w:val="00AB15C6"/>
    <w:rsid w:val="00AB1764"/>
    <w:rsid w:val="00AB17BE"/>
    <w:rsid w:val="00AB1805"/>
    <w:rsid w:val="00AB1B4D"/>
    <w:rsid w:val="00AB1C6C"/>
    <w:rsid w:val="00AB1D38"/>
    <w:rsid w:val="00AB20E0"/>
    <w:rsid w:val="00AB21FF"/>
    <w:rsid w:val="00AB25B5"/>
    <w:rsid w:val="00AB2682"/>
    <w:rsid w:val="00AB291E"/>
    <w:rsid w:val="00AB2993"/>
    <w:rsid w:val="00AB2AE2"/>
    <w:rsid w:val="00AB2B09"/>
    <w:rsid w:val="00AB2C08"/>
    <w:rsid w:val="00AB2C77"/>
    <w:rsid w:val="00AB2DB4"/>
    <w:rsid w:val="00AB2E3F"/>
    <w:rsid w:val="00AB2E84"/>
    <w:rsid w:val="00AB2F45"/>
    <w:rsid w:val="00AB2FA0"/>
    <w:rsid w:val="00AB325D"/>
    <w:rsid w:val="00AB3354"/>
    <w:rsid w:val="00AB342C"/>
    <w:rsid w:val="00AB3543"/>
    <w:rsid w:val="00AB355E"/>
    <w:rsid w:val="00AB3664"/>
    <w:rsid w:val="00AB36AA"/>
    <w:rsid w:val="00AB3799"/>
    <w:rsid w:val="00AB3965"/>
    <w:rsid w:val="00AB3B51"/>
    <w:rsid w:val="00AB3BF5"/>
    <w:rsid w:val="00AB3C87"/>
    <w:rsid w:val="00AB3D35"/>
    <w:rsid w:val="00AB3EE9"/>
    <w:rsid w:val="00AB3F1F"/>
    <w:rsid w:val="00AB3F21"/>
    <w:rsid w:val="00AB3F76"/>
    <w:rsid w:val="00AB40CB"/>
    <w:rsid w:val="00AB4168"/>
    <w:rsid w:val="00AB4235"/>
    <w:rsid w:val="00AB43F5"/>
    <w:rsid w:val="00AB44C2"/>
    <w:rsid w:val="00AB46AE"/>
    <w:rsid w:val="00AB46BC"/>
    <w:rsid w:val="00AB4707"/>
    <w:rsid w:val="00AB48C6"/>
    <w:rsid w:val="00AB4BCB"/>
    <w:rsid w:val="00AB4D7B"/>
    <w:rsid w:val="00AB4E7A"/>
    <w:rsid w:val="00AB4EF9"/>
    <w:rsid w:val="00AB511D"/>
    <w:rsid w:val="00AB5351"/>
    <w:rsid w:val="00AB543A"/>
    <w:rsid w:val="00AB55C8"/>
    <w:rsid w:val="00AB55FF"/>
    <w:rsid w:val="00AB5616"/>
    <w:rsid w:val="00AB571E"/>
    <w:rsid w:val="00AB597D"/>
    <w:rsid w:val="00AB5A85"/>
    <w:rsid w:val="00AB5A8F"/>
    <w:rsid w:val="00AB5B1E"/>
    <w:rsid w:val="00AB5D7F"/>
    <w:rsid w:val="00AB5EA3"/>
    <w:rsid w:val="00AB5F05"/>
    <w:rsid w:val="00AB5F44"/>
    <w:rsid w:val="00AB65B8"/>
    <w:rsid w:val="00AB66B1"/>
    <w:rsid w:val="00AB69A6"/>
    <w:rsid w:val="00AB6A0E"/>
    <w:rsid w:val="00AB6C6A"/>
    <w:rsid w:val="00AB6EFF"/>
    <w:rsid w:val="00AB7017"/>
    <w:rsid w:val="00AB705F"/>
    <w:rsid w:val="00AB70AA"/>
    <w:rsid w:val="00AB7118"/>
    <w:rsid w:val="00AB7288"/>
    <w:rsid w:val="00AB748F"/>
    <w:rsid w:val="00AB77BB"/>
    <w:rsid w:val="00AB78B8"/>
    <w:rsid w:val="00AB794B"/>
    <w:rsid w:val="00AB79BF"/>
    <w:rsid w:val="00AB7AAA"/>
    <w:rsid w:val="00AB7AAC"/>
    <w:rsid w:val="00AB7AF3"/>
    <w:rsid w:val="00AB7CE6"/>
    <w:rsid w:val="00AB7CF2"/>
    <w:rsid w:val="00AB7D50"/>
    <w:rsid w:val="00AB7E9D"/>
    <w:rsid w:val="00AB7F46"/>
    <w:rsid w:val="00AC0132"/>
    <w:rsid w:val="00AC01BB"/>
    <w:rsid w:val="00AC01E7"/>
    <w:rsid w:val="00AC0251"/>
    <w:rsid w:val="00AC02A3"/>
    <w:rsid w:val="00AC04D2"/>
    <w:rsid w:val="00AC05A7"/>
    <w:rsid w:val="00AC05E2"/>
    <w:rsid w:val="00AC0798"/>
    <w:rsid w:val="00AC079A"/>
    <w:rsid w:val="00AC085D"/>
    <w:rsid w:val="00AC0973"/>
    <w:rsid w:val="00AC0977"/>
    <w:rsid w:val="00AC0A42"/>
    <w:rsid w:val="00AC0B1F"/>
    <w:rsid w:val="00AC0CC9"/>
    <w:rsid w:val="00AC1233"/>
    <w:rsid w:val="00AC1286"/>
    <w:rsid w:val="00AC1336"/>
    <w:rsid w:val="00AC14F4"/>
    <w:rsid w:val="00AC1523"/>
    <w:rsid w:val="00AC157D"/>
    <w:rsid w:val="00AC15B3"/>
    <w:rsid w:val="00AC16E2"/>
    <w:rsid w:val="00AC181E"/>
    <w:rsid w:val="00AC1892"/>
    <w:rsid w:val="00AC18A5"/>
    <w:rsid w:val="00AC18C7"/>
    <w:rsid w:val="00AC18EE"/>
    <w:rsid w:val="00AC1B74"/>
    <w:rsid w:val="00AC1B86"/>
    <w:rsid w:val="00AC1CA9"/>
    <w:rsid w:val="00AC1E13"/>
    <w:rsid w:val="00AC1E25"/>
    <w:rsid w:val="00AC1EBD"/>
    <w:rsid w:val="00AC1EED"/>
    <w:rsid w:val="00AC1EEF"/>
    <w:rsid w:val="00AC1EF0"/>
    <w:rsid w:val="00AC1F53"/>
    <w:rsid w:val="00AC1FC5"/>
    <w:rsid w:val="00AC1FCE"/>
    <w:rsid w:val="00AC1FD6"/>
    <w:rsid w:val="00AC210C"/>
    <w:rsid w:val="00AC2181"/>
    <w:rsid w:val="00AC218D"/>
    <w:rsid w:val="00AC21E3"/>
    <w:rsid w:val="00AC2250"/>
    <w:rsid w:val="00AC23A2"/>
    <w:rsid w:val="00AC23A7"/>
    <w:rsid w:val="00AC249F"/>
    <w:rsid w:val="00AC2545"/>
    <w:rsid w:val="00AC2574"/>
    <w:rsid w:val="00AC270B"/>
    <w:rsid w:val="00AC2907"/>
    <w:rsid w:val="00AC29F1"/>
    <w:rsid w:val="00AC2A62"/>
    <w:rsid w:val="00AC2AB5"/>
    <w:rsid w:val="00AC2B08"/>
    <w:rsid w:val="00AC2B0F"/>
    <w:rsid w:val="00AC2C27"/>
    <w:rsid w:val="00AC2C6B"/>
    <w:rsid w:val="00AC2CB8"/>
    <w:rsid w:val="00AC2FC5"/>
    <w:rsid w:val="00AC2FE2"/>
    <w:rsid w:val="00AC334C"/>
    <w:rsid w:val="00AC3487"/>
    <w:rsid w:val="00AC355A"/>
    <w:rsid w:val="00AC362E"/>
    <w:rsid w:val="00AC3649"/>
    <w:rsid w:val="00AC3666"/>
    <w:rsid w:val="00AC37FB"/>
    <w:rsid w:val="00AC3918"/>
    <w:rsid w:val="00AC39C6"/>
    <w:rsid w:val="00AC3A0B"/>
    <w:rsid w:val="00AC3A41"/>
    <w:rsid w:val="00AC3E15"/>
    <w:rsid w:val="00AC4513"/>
    <w:rsid w:val="00AC458A"/>
    <w:rsid w:val="00AC4606"/>
    <w:rsid w:val="00AC4765"/>
    <w:rsid w:val="00AC47D3"/>
    <w:rsid w:val="00AC4881"/>
    <w:rsid w:val="00AC4A2D"/>
    <w:rsid w:val="00AC4BDB"/>
    <w:rsid w:val="00AC4C3F"/>
    <w:rsid w:val="00AC4CB8"/>
    <w:rsid w:val="00AC4F4D"/>
    <w:rsid w:val="00AC4F8C"/>
    <w:rsid w:val="00AC4FB8"/>
    <w:rsid w:val="00AC4FB9"/>
    <w:rsid w:val="00AC4FC7"/>
    <w:rsid w:val="00AC5193"/>
    <w:rsid w:val="00AC51D5"/>
    <w:rsid w:val="00AC5200"/>
    <w:rsid w:val="00AC52A2"/>
    <w:rsid w:val="00AC569D"/>
    <w:rsid w:val="00AC56D9"/>
    <w:rsid w:val="00AC580E"/>
    <w:rsid w:val="00AC5906"/>
    <w:rsid w:val="00AC5AB8"/>
    <w:rsid w:val="00AC5C63"/>
    <w:rsid w:val="00AC5C8D"/>
    <w:rsid w:val="00AC5E8B"/>
    <w:rsid w:val="00AC5EEA"/>
    <w:rsid w:val="00AC605D"/>
    <w:rsid w:val="00AC6087"/>
    <w:rsid w:val="00AC60E8"/>
    <w:rsid w:val="00AC61BD"/>
    <w:rsid w:val="00AC627D"/>
    <w:rsid w:val="00AC631D"/>
    <w:rsid w:val="00AC633E"/>
    <w:rsid w:val="00AC63B2"/>
    <w:rsid w:val="00AC647A"/>
    <w:rsid w:val="00AC6521"/>
    <w:rsid w:val="00AC65B6"/>
    <w:rsid w:val="00AC6880"/>
    <w:rsid w:val="00AC69A8"/>
    <w:rsid w:val="00AC6CCC"/>
    <w:rsid w:val="00AC6E3A"/>
    <w:rsid w:val="00AC6E7A"/>
    <w:rsid w:val="00AC6ECD"/>
    <w:rsid w:val="00AC6F71"/>
    <w:rsid w:val="00AC6FF5"/>
    <w:rsid w:val="00AC70E2"/>
    <w:rsid w:val="00AC7322"/>
    <w:rsid w:val="00AC7406"/>
    <w:rsid w:val="00AC74D1"/>
    <w:rsid w:val="00AC75B4"/>
    <w:rsid w:val="00AC7637"/>
    <w:rsid w:val="00AC76D7"/>
    <w:rsid w:val="00AC775F"/>
    <w:rsid w:val="00AC77D1"/>
    <w:rsid w:val="00AC7817"/>
    <w:rsid w:val="00AC7A10"/>
    <w:rsid w:val="00AC7A96"/>
    <w:rsid w:val="00AC7D88"/>
    <w:rsid w:val="00AC7DA1"/>
    <w:rsid w:val="00AC7E43"/>
    <w:rsid w:val="00AC7FF8"/>
    <w:rsid w:val="00AD019A"/>
    <w:rsid w:val="00AD01DE"/>
    <w:rsid w:val="00AD02C0"/>
    <w:rsid w:val="00AD0401"/>
    <w:rsid w:val="00AD0416"/>
    <w:rsid w:val="00AD057E"/>
    <w:rsid w:val="00AD06DC"/>
    <w:rsid w:val="00AD092F"/>
    <w:rsid w:val="00AD095C"/>
    <w:rsid w:val="00AD097C"/>
    <w:rsid w:val="00AD0A69"/>
    <w:rsid w:val="00AD0AC2"/>
    <w:rsid w:val="00AD0C14"/>
    <w:rsid w:val="00AD0C34"/>
    <w:rsid w:val="00AD0E5B"/>
    <w:rsid w:val="00AD0F0B"/>
    <w:rsid w:val="00AD0F5B"/>
    <w:rsid w:val="00AD1191"/>
    <w:rsid w:val="00AD1299"/>
    <w:rsid w:val="00AD12DA"/>
    <w:rsid w:val="00AD13AB"/>
    <w:rsid w:val="00AD13BC"/>
    <w:rsid w:val="00AD14FE"/>
    <w:rsid w:val="00AD15DD"/>
    <w:rsid w:val="00AD17E8"/>
    <w:rsid w:val="00AD186C"/>
    <w:rsid w:val="00AD18BA"/>
    <w:rsid w:val="00AD191B"/>
    <w:rsid w:val="00AD19C8"/>
    <w:rsid w:val="00AD1C5E"/>
    <w:rsid w:val="00AD1D31"/>
    <w:rsid w:val="00AD1EB9"/>
    <w:rsid w:val="00AD207E"/>
    <w:rsid w:val="00AD207F"/>
    <w:rsid w:val="00AD2087"/>
    <w:rsid w:val="00AD239E"/>
    <w:rsid w:val="00AD24B9"/>
    <w:rsid w:val="00AD24D5"/>
    <w:rsid w:val="00AD2707"/>
    <w:rsid w:val="00AD2742"/>
    <w:rsid w:val="00AD27E7"/>
    <w:rsid w:val="00AD2895"/>
    <w:rsid w:val="00AD2904"/>
    <w:rsid w:val="00AD2999"/>
    <w:rsid w:val="00AD2B3B"/>
    <w:rsid w:val="00AD2CB5"/>
    <w:rsid w:val="00AD2DA0"/>
    <w:rsid w:val="00AD2E9B"/>
    <w:rsid w:val="00AD3025"/>
    <w:rsid w:val="00AD318C"/>
    <w:rsid w:val="00AD329B"/>
    <w:rsid w:val="00AD3578"/>
    <w:rsid w:val="00AD3659"/>
    <w:rsid w:val="00AD38BE"/>
    <w:rsid w:val="00AD38C8"/>
    <w:rsid w:val="00AD39B5"/>
    <w:rsid w:val="00AD3A05"/>
    <w:rsid w:val="00AD3A28"/>
    <w:rsid w:val="00AD3AFA"/>
    <w:rsid w:val="00AD3B2F"/>
    <w:rsid w:val="00AD3B6E"/>
    <w:rsid w:val="00AD3D7C"/>
    <w:rsid w:val="00AD3EA7"/>
    <w:rsid w:val="00AD3FC4"/>
    <w:rsid w:val="00AD407C"/>
    <w:rsid w:val="00AD40FF"/>
    <w:rsid w:val="00AD41E5"/>
    <w:rsid w:val="00AD423F"/>
    <w:rsid w:val="00AD429B"/>
    <w:rsid w:val="00AD4342"/>
    <w:rsid w:val="00AD45D4"/>
    <w:rsid w:val="00AD49EF"/>
    <w:rsid w:val="00AD4A0C"/>
    <w:rsid w:val="00AD509C"/>
    <w:rsid w:val="00AD5403"/>
    <w:rsid w:val="00AD5650"/>
    <w:rsid w:val="00AD56C1"/>
    <w:rsid w:val="00AD59F4"/>
    <w:rsid w:val="00AD5A53"/>
    <w:rsid w:val="00AD5AC8"/>
    <w:rsid w:val="00AD5AFE"/>
    <w:rsid w:val="00AD5B55"/>
    <w:rsid w:val="00AD5C31"/>
    <w:rsid w:val="00AD5C3C"/>
    <w:rsid w:val="00AD5CB4"/>
    <w:rsid w:val="00AD5FA7"/>
    <w:rsid w:val="00AD604C"/>
    <w:rsid w:val="00AD606B"/>
    <w:rsid w:val="00AD613F"/>
    <w:rsid w:val="00AD6163"/>
    <w:rsid w:val="00AD643C"/>
    <w:rsid w:val="00AD6488"/>
    <w:rsid w:val="00AD65C4"/>
    <w:rsid w:val="00AD6641"/>
    <w:rsid w:val="00AD6725"/>
    <w:rsid w:val="00AD692E"/>
    <w:rsid w:val="00AD6997"/>
    <w:rsid w:val="00AD6B4E"/>
    <w:rsid w:val="00AD6B76"/>
    <w:rsid w:val="00AD6D05"/>
    <w:rsid w:val="00AD6D64"/>
    <w:rsid w:val="00AD6ECF"/>
    <w:rsid w:val="00AD6FAD"/>
    <w:rsid w:val="00AD7014"/>
    <w:rsid w:val="00AD7074"/>
    <w:rsid w:val="00AD7081"/>
    <w:rsid w:val="00AD7373"/>
    <w:rsid w:val="00AD741A"/>
    <w:rsid w:val="00AD7509"/>
    <w:rsid w:val="00AD769C"/>
    <w:rsid w:val="00AD792E"/>
    <w:rsid w:val="00AD7964"/>
    <w:rsid w:val="00AD79C7"/>
    <w:rsid w:val="00AD7A60"/>
    <w:rsid w:val="00AD7AEC"/>
    <w:rsid w:val="00AD7BA0"/>
    <w:rsid w:val="00AD7CAF"/>
    <w:rsid w:val="00AD7CF0"/>
    <w:rsid w:val="00AE0099"/>
    <w:rsid w:val="00AE00C6"/>
    <w:rsid w:val="00AE0245"/>
    <w:rsid w:val="00AE08FE"/>
    <w:rsid w:val="00AE09AD"/>
    <w:rsid w:val="00AE0A76"/>
    <w:rsid w:val="00AE0ACC"/>
    <w:rsid w:val="00AE0C46"/>
    <w:rsid w:val="00AE0DA5"/>
    <w:rsid w:val="00AE0DC5"/>
    <w:rsid w:val="00AE0E41"/>
    <w:rsid w:val="00AE0F9E"/>
    <w:rsid w:val="00AE0FB5"/>
    <w:rsid w:val="00AE0FF9"/>
    <w:rsid w:val="00AE1170"/>
    <w:rsid w:val="00AE12AE"/>
    <w:rsid w:val="00AE1362"/>
    <w:rsid w:val="00AE1386"/>
    <w:rsid w:val="00AE16C5"/>
    <w:rsid w:val="00AE1756"/>
    <w:rsid w:val="00AE18BC"/>
    <w:rsid w:val="00AE18F4"/>
    <w:rsid w:val="00AE1913"/>
    <w:rsid w:val="00AE1932"/>
    <w:rsid w:val="00AE1B59"/>
    <w:rsid w:val="00AE1BB6"/>
    <w:rsid w:val="00AE1C84"/>
    <w:rsid w:val="00AE1D3D"/>
    <w:rsid w:val="00AE1DE9"/>
    <w:rsid w:val="00AE1E01"/>
    <w:rsid w:val="00AE1E63"/>
    <w:rsid w:val="00AE1F2B"/>
    <w:rsid w:val="00AE1F43"/>
    <w:rsid w:val="00AE208D"/>
    <w:rsid w:val="00AE20BB"/>
    <w:rsid w:val="00AE21B3"/>
    <w:rsid w:val="00AE224F"/>
    <w:rsid w:val="00AE2281"/>
    <w:rsid w:val="00AE23E2"/>
    <w:rsid w:val="00AE276E"/>
    <w:rsid w:val="00AE2861"/>
    <w:rsid w:val="00AE29D3"/>
    <w:rsid w:val="00AE29E5"/>
    <w:rsid w:val="00AE2A83"/>
    <w:rsid w:val="00AE2C44"/>
    <w:rsid w:val="00AE2CBB"/>
    <w:rsid w:val="00AE2D14"/>
    <w:rsid w:val="00AE2F5C"/>
    <w:rsid w:val="00AE3061"/>
    <w:rsid w:val="00AE314A"/>
    <w:rsid w:val="00AE34FE"/>
    <w:rsid w:val="00AE3587"/>
    <w:rsid w:val="00AE364F"/>
    <w:rsid w:val="00AE36B2"/>
    <w:rsid w:val="00AE39BB"/>
    <w:rsid w:val="00AE3B24"/>
    <w:rsid w:val="00AE3C10"/>
    <w:rsid w:val="00AE3CA1"/>
    <w:rsid w:val="00AE3E45"/>
    <w:rsid w:val="00AE412B"/>
    <w:rsid w:val="00AE4168"/>
    <w:rsid w:val="00AE43BB"/>
    <w:rsid w:val="00AE442B"/>
    <w:rsid w:val="00AE4621"/>
    <w:rsid w:val="00AE464A"/>
    <w:rsid w:val="00AE483B"/>
    <w:rsid w:val="00AE48AD"/>
    <w:rsid w:val="00AE48CA"/>
    <w:rsid w:val="00AE4986"/>
    <w:rsid w:val="00AE4A09"/>
    <w:rsid w:val="00AE4C98"/>
    <w:rsid w:val="00AE4CF1"/>
    <w:rsid w:val="00AE4E66"/>
    <w:rsid w:val="00AE4F14"/>
    <w:rsid w:val="00AE4F4A"/>
    <w:rsid w:val="00AE5244"/>
    <w:rsid w:val="00AE52D5"/>
    <w:rsid w:val="00AE52E5"/>
    <w:rsid w:val="00AE52E8"/>
    <w:rsid w:val="00AE541B"/>
    <w:rsid w:val="00AE54C5"/>
    <w:rsid w:val="00AE54E8"/>
    <w:rsid w:val="00AE54F0"/>
    <w:rsid w:val="00AE553E"/>
    <w:rsid w:val="00AE5679"/>
    <w:rsid w:val="00AE5801"/>
    <w:rsid w:val="00AE5C65"/>
    <w:rsid w:val="00AE5C8C"/>
    <w:rsid w:val="00AE5EBC"/>
    <w:rsid w:val="00AE5F98"/>
    <w:rsid w:val="00AE5FE5"/>
    <w:rsid w:val="00AE6045"/>
    <w:rsid w:val="00AE607D"/>
    <w:rsid w:val="00AE6116"/>
    <w:rsid w:val="00AE62CC"/>
    <w:rsid w:val="00AE62DF"/>
    <w:rsid w:val="00AE659D"/>
    <w:rsid w:val="00AE65BC"/>
    <w:rsid w:val="00AE6618"/>
    <w:rsid w:val="00AE6631"/>
    <w:rsid w:val="00AE66BD"/>
    <w:rsid w:val="00AE693D"/>
    <w:rsid w:val="00AE699A"/>
    <w:rsid w:val="00AE6B96"/>
    <w:rsid w:val="00AE6C75"/>
    <w:rsid w:val="00AE6CC2"/>
    <w:rsid w:val="00AE6E02"/>
    <w:rsid w:val="00AE7000"/>
    <w:rsid w:val="00AE7162"/>
    <w:rsid w:val="00AE71C9"/>
    <w:rsid w:val="00AE7375"/>
    <w:rsid w:val="00AE7560"/>
    <w:rsid w:val="00AE7576"/>
    <w:rsid w:val="00AE75CA"/>
    <w:rsid w:val="00AE774F"/>
    <w:rsid w:val="00AE7806"/>
    <w:rsid w:val="00AE78C8"/>
    <w:rsid w:val="00AE79BF"/>
    <w:rsid w:val="00AE7AEB"/>
    <w:rsid w:val="00AE7BA7"/>
    <w:rsid w:val="00AE7BB5"/>
    <w:rsid w:val="00AE7C41"/>
    <w:rsid w:val="00AE7D62"/>
    <w:rsid w:val="00AE7E20"/>
    <w:rsid w:val="00AF0095"/>
    <w:rsid w:val="00AF0209"/>
    <w:rsid w:val="00AF041E"/>
    <w:rsid w:val="00AF07E9"/>
    <w:rsid w:val="00AF081D"/>
    <w:rsid w:val="00AF0BB4"/>
    <w:rsid w:val="00AF0C9A"/>
    <w:rsid w:val="00AF0DEE"/>
    <w:rsid w:val="00AF0F4E"/>
    <w:rsid w:val="00AF0F67"/>
    <w:rsid w:val="00AF102E"/>
    <w:rsid w:val="00AF1346"/>
    <w:rsid w:val="00AF1354"/>
    <w:rsid w:val="00AF1397"/>
    <w:rsid w:val="00AF13DB"/>
    <w:rsid w:val="00AF1858"/>
    <w:rsid w:val="00AF1975"/>
    <w:rsid w:val="00AF1A94"/>
    <w:rsid w:val="00AF1B83"/>
    <w:rsid w:val="00AF1C39"/>
    <w:rsid w:val="00AF1C91"/>
    <w:rsid w:val="00AF1F28"/>
    <w:rsid w:val="00AF1F3A"/>
    <w:rsid w:val="00AF1F73"/>
    <w:rsid w:val="00AF2022"/>
    <w:rsid w:val="00AF2221"/>
    <w:rsid w:val="00AF2528"/>
    <w:rsid w:val="00AF2639"/>
    <w:rsid w:val="00AF268D"/>
    <w:rsid w:val="00AF2863"/>
    <w:rsid w:val="00AF2874"/>
    <w:rsid w:val="00AF2A7D"/>
    <w:rsid w:val="00AF2AFE"/>
    <w:rsid w:val="00AF2BE2"/>
    <w:rsid w:val="00AF2C1A"/>
    <w:rsid w:val="00AF2C62"/>
    <w:rsid w:val="00AF2D32"/>
    <w:rsid w:val="00AF2DAE"/>
    <w:rsid w:val="00AF2F4B"/>
    <w:rsid w:val="00AF2F8A"/>
    <w:rsid w:val="00AF310D"/>
    <w:rsid w:val="00AF3176"/>
    <w:rsid w:val="00AF3483"/>
    <w:rsid w:val="00AF36C9"/>
    <w:rsid w:val="00AF37A3"/>
    <w:rsid w:val="00AF38CC"/>
    <w:rsid w:val="00AF3953"/>
    <w:rsid w:val="00AF3A42"/>
    <w:rsid w:val="00AF3B84"/>
    <w:rsid w:val="00AF3BA2"/>
    <w:rsid w:val="00AF3D13"/>
    <w:rsid w:val="00AF3F4B"/>
    <w:rsid w:val="00AF3F53"/>
    <w:rsid w:val="00AF400B"/>
    <w:rsid w:val="00AF40EF"/>
    <w:rsid w:val="00AF40F1"/>
    <w:rsid w:val="00AF417E"/>
    <w:rsid w:val="00AF41AC"/>
    <w:rsid w:val="00AF4220"/>
    <w:rsid w:val="00AF4346"/>
    <w:rsid w:val="00AF465E"/>
    <w:rsid w:val="00AF4718"/>
    <w:rsid w:val="00AF47F5"/>
    <w:rsid w:val="00AF4B4D"/>
    <w:rsid w:val="00AF4C5E"/>
    <w:rsid w:val="00AF4E86"/>
    <w:rsid w:val="00AF5250"/>
    <w:rsid w:val="00AF52F9"/>
    <w:rsid w:val="00AF5362"/>
    <w:rsid w:val="00AF542E"/>
    <w:rsid w:val="00AF5499"/>
    <w:rsid w:val="00AF54FD"/>
    <w:rsid w:val="00AF55E2"/>
    <w:rsid w:val="00AF57DC"/>
    <w:rsid w:val="00AF5942"/>
    <w:rsid w:val="00AF596A"/>
    <w:rsid w:val="00AF59D6"/>
    <w:rsid w:val="00AF5ACB"/>
    <w:rsid w:val="00AF5BAA"/>
    <w:rsid w:val="00AF60D1"/>
    <w:rsid w:val="00AF61D7"/>
    <w:rsid w:val="00AF6284"/>
    <w:rsid w:val="00AF62ED"/>
    <w:rsid w:val="00AF6672"/>
    <w:rsid w:val="00AF6678"/>
    <w:rsid w:val="00AF6936"/>
    <w:rsid w:val="00AF6B10"/>
    <w:rsid w:val="00AF6B91"/>
    <w:rsid w:val="00AF6BC9"/>
    <w:rsid w:val="00AF6C34"/>
    <w:rsid w:val="00AF6DC8"/>
    <w:rsid w:val="00AF6F94"/>
    <w:rsid w:val="00AF70FD"/>
    <w:rsid w:val="00AF719B"/>
    <w:rsid w:val="00AF7383"/>
    <w:rsid w:val="00AF745D"/>
    <w:rsid w:val="00AF74B5"/>
    <w:rsid w:val="00AF7607"/>
    <w:rsid w:val="00AF77DE"/>
    <w:rsid w:val="00AF79C0"/>
    <w:rsid w:val="00AF7C35"/>
    <w:rsid w:val="00AF7DEC"/>
    <w:rsid w:val="00AF7F10"/>
    <w:rsid w:val="00AF7F64"/>
    <w:rsid w:val="00B00332"/>
    <w:rsid w:val="00B00469"/>
    <w:rsid w:val="00B00669"/>
    <w:rsid w:val="00B00A00"/>
    <w:rsid w:val="00B00A23"/>
    <w:rsid w:val="00B00A53"/>
    <w:rsid w:val="00B00B8E"/>
    <w:rsid w:val="00B00DB1"/>
    <w:rsid w:val="00B00E4C"/>
    <w:rsid w:val="00B00E99"/>
    <w:rsid w:val="00B01193"/>
    <w:rsid w:val="00B0123B"/>
    <w:rsid w:val="00B01386"/>
    <w:rsid w:val="00B01492"/>
    <w:rsid w:val="00B01495"/>
    <w:rsid w:val="00B01505"/>
    <w:rsid w:val="00B0152F"/>
    <w:rsid w:val="00B0153B"/>
    <w:rsid w:val="00B01651"/>
    <w:rsid w:val="00B01746"/>
    <w:rsid w:val="00B01794"/>
    <w:rsid w:val="00B018F2"/>
    <w:rsid w:val="00B0195E"/>
    <w:rsid w:val="00B01A47"/>
    <w:rsid w:val="00B01B94"/>
    <w:rsid w:val="00B01BA2"/>
    <w:rsid w:val="00B01BDC"/>
    <w:rsid w:val="00B01BF8"/>
    <w:rsid w:val="00B01F8C"/>
    <w:rsid w:val="00B01FDE"/>
    <w:rsid w:val="00B02043"/>
    <w:rsid w:val="00B02098"/>
    <w:rsid w:val="00B02297"/>
    <w:rsid w:val="00B0249A"/>
    <w:rsid w:val="00B0274D"/>
    <w:rsid w:val="00B02869"/>
    <w:rsid w:val="00B02913"/>
    <w:rsid w:val="00B02940"/>
    <w:rsid w:val="00B02950"/>
    <w:rsid w:val="00B02C5A"/>
    <w:rsid w:val="00B02C69"/>
    <w:rsid w:val="00B02C8A"/>
    <w:rsid w:val="00B02C8D"/>
    <w:rsid w:val="00B02CF3"/>
    <w:rsid w:val="00B02D82"/>
    <w:rsid w:val="00B02DEF"/>
    <w:rsid w:val="00B02F8D"/>
    <w:rsid w:val="00B02FF7"/>
    <w:rsid w:val="00B0318C"/>
    <w:rsid w:val="00B03273"/>
    <w:rsid w:val="00B03297"/>
    <w:rsid w:val="00B032E1"/>
    <w:rsid w:val="00B03387"/>
    <w:rsid w:val="00B03553"/>
    <w:rsid w:val="00B0360E"/>
    <w:rsid w:val="00B037CE"/>
    <w:rsid w:val="00B03823"/>
    <w:rsid w:val="00B03922"/>
    <w:rsid w:val="00B039E4"/>
    <w:rsid w:val="00B03C11"/>
    <w:rsid w:val="00B040C2"/>
    <w:rsid w:val="00B04117"/>
    <w:rsid w:val="00B0417C"/>
    <w:rsid w:val="00B0419B"/>
    <w:rsid w:val="00B04281"/>
    <w:rsid w:val="00B04392"/>
    <w:rsid w:val="00B043B3"/>
    <w:rsid w:val="00B04427"/>
    <w:rsid w:val="00B0473D"/>
    <w:rsid w:val="00B04816"/>
    <w:rsid w:val="00B048A6"/>
    <w:rsid w:val="00B04A96"/>
    <w:rsid w:val="00B04BF0"/>
    <w:rsid w:val="00B04C75"/>
    <w:rsid w:val="00B04D57"/>
    <w:rsid w:val="00B04E52"/>
    <w:rsid w:val="00B04ED7"/>
    <w:rsid w:val="00B05015"/>
    <w:rsid w:val="00B05036"/>
    <w:rsid w:val="00B051BD"/>
    <w:rsid w:val="00B0582A"/>
    <w:rsid w:val="00B0590C"/>
    <w:rsid w:val="00B0593A"/>
    <w:rsid w:val="00B05A3B"/>
    <w:rsid w:val="00B05A72"/>
    <w:rsid w:val="00B05A92"/>
    <w:rsid w:val="00B05AB4"/>
    <w:rsid w:val="00B05AF9"/>
    <w:rsid w:val="00B05B36"/>
    <w:rsid w:val="00B05CBB"/>
    <w:rsid w:val="00B05E63"/>
    <w:rsid w:val="00B05E72"/>
    <w:rsid w:val="00B06042"/>
    <w:rsid w:val="00B06066"/>
    <w:rsid w:val="00B06178"/>
    <w:rsid w:val="00B06449"/>
    <w:rsid w:val="00B06729"/>
    <w:rsid w:val="00B06742"/>
    <w:rsid w:val="00B068C7"/>
    <w:rsid w:val="00B068EF"/>
    <w:rsid w:val="00B06A21"/>
    <w:rsid w:val="00B06A90"/>
    <w:rsid w:val="00B06B14"/>
    <w:rsid w:val="00B06B1B"/>
    <w:rsid w:val="00B06C5C"/>
    <w:rsid w:val="00B06D11"/>
    <w:rsid w:val="00B06E48"/>
    <w:rsid w:val="00B06FA5"/>
    <w:rsid w:val="00B07081"/>
    <w:rsid w:val="00B07459"/>
    <w:rsid w:val="00B07725"/>
    <w:rsid w:val="00B078EC"/>
    <w:rsid w:val="00B07AAA"/>
    <w:rsid w:val="00B07AF3"/>
    <w:rsid w:val="00B07BBE"/>
    <w:rsid w:val="00B07CF1"/>
    <w:rsid w:val="00B07DAF"/>
    <w:rsid w:val="00B07DDB"/>
    <w:rsid w:val="00B10201"/>
    <w:rsid w:val="00B10334"/>
    <w:rsid w:val="00B103C0"/>
    <w:rsid w:val="00B103CB"/>
    <w:rsid w:val="00B103EB"/>
    <w:rsid w:val="00B10566"/>
    <w:rsid w:val="00B10581"/>
    <w:rsid w:val="00B1066C"/>
    <w:rsid w:val="00B1067F"/>
    <w:rsid w:val="00B10A38"/>
    <w:rsid w:val="00B10A72"/>
    <w:rsid w:val="00B10D02"/>
    <w:rsid w:val="00B10DFD"/>
    <w:rsid w:val="00B10E49"/>
    <w:rsid w:val="00B10E75"/>
    <w:rsid w:val="00B10F11"/>
    <w:rsid w:val="00B10F1A"/>
    <w:rsid w:val="00B10F47"/>
    <w:rsid w:val="00B10F8E"/>
    <w:rsid w:val="00B10F96"/>
    <w:rsid w:val="00B112EB"/>
    <w:rsid w:val="00B11360"/>
    <w:rsid w:val="00B113CF"/>
    <w:rsid w:val="00B11504"/>
    <w:rsid w:val="00B11597"/>
    <w:rsid w:val="00B11617"/>
    <w:rsid w:val="00B118F7"/>
    <w:rsid w:val="00B1190B"/>
    <w:rsid w:val="00B11B1E"/>
    <w:rsid w:val="00B11B84"/>
    <w:rsid w:val="00B11C35"/>
    <w:rsid w:val="00B11C62"/>
    <w:rsid w:val="00B11C96"/>
    <w:rsid w:val="00B11D2E"/>
    <w:rsid w:val="00B11EE8"/>
    <w:rsid w:val="00B11FC0"/>
    <w:rsid w:val="00B12145"/>
    <w:rsid w:val="00B1231B"/>
    <w:rsid w:val="00B123B9"/>
    <w:rsid w:val="00B123DF"/>
    <w:rsid w:val="00B12743"/>
    <w:rsid w:val="00B128F6"/>
    <w:rsid w:val="00B12949"/>
    <w:rsid w:val="00B12950"/>
    <w:rsid w:val="00B12A3A"/>
    <w:rsid w:val="00B12D57"/>
    <w:rsid w:val="00B12E23"/>
    <w:rsid w:val="00B1310B"/>
    <w:rsid w:val="00B13467"/>
    <w:rsid w:val="00B13578"/>
    <w:rsid w:val="00B13989"/>
    <w:rsid w:val="00B139CD"/>
    <w:rsid w:val="00B13CBA"/>
    <w:rsid w:val="00B13DA8"/>
    <w:rsid w:val="00B13ECE"/>
    <w:rsid w:val="00B13EFD"/>
    <w:rsid w:val="00B140F4"/>
    <w:rsid w:val="00B14111"/>
    <w:rsid w:val="00B14148"/>
    <w:rsid w:val="00B1414B"/>
    <w:rsid w:val="00B147D0"/>
    <w:rsid w:val="00B14AF1"/>
    <w:rsid w:val="00B14CED"/>
    <w:rsid w:val="00B14E3F"/>
    <w:rsid w:val="00B14EE0"/>
    <w:rsid w:val="00B1500B"/>
    <w:rsid w:val="00B150C1"/>
    <w:rsid w:val="00B15302"/>
    <w:rsid w:val="00B15432"/>
    <w:rsid w:val="00B15591"/>
    <w:rsid w:val="00B157B2"/>
    <w:rsid w:val="00B1585F"/>
    <w:rsid w:val="00B15966"/>
    <w:rsid w:val="00B15A12"/>
    <w:rsid w:val="00B15B1C"/>
    <w:rsid w:val="00B15BF4"/>
    <w:rsid w:val="00B15D34"/>
    <w:rsid w:val="00B15D72"/>
    <w:rsid w:val="00B15FED"/>
    <w:rsid w:val="00B160BF"/>
    <w:rsid w:val="00B16114"/>
    <w:rsid w:val="00B161B9"/>
    <w:rsid w:val="00B162B1"/>
    <w:rsid w:val="00B163D1"/>
    <w:rsid w:val="00B16586"/>
    <w:rsid w:val="00B165FF"/>
    <w:rsid w:val="00B16854"/>
    <w:rsid w:val="00B16AE4"/>
    <w:rsid w:val="00B16B03"/>
    <w:rsid w:val="00B16B87"/>
    <w:rsid w:val="00B16D32"/>
    <w:rsid w:val="00B16E1B"/>
    <w:rsid w:val="00B16ED2"/>
    <w:rsid w:val="00B16F8F"/>
    <w:rsid w:val="00B16FCF"/>
    <w:rsid w:val="00B16FE1"/>
    <w:rsid w:val="00B17080"/>
    <w:rsid w:val="00B17081"/>
    <w:rsid w:val="00B170C1"/>
    <w:rsid w:val="00B17336"/>
    <w:rsid w:val="00B17575"/>
    <w:rsid w:val="00B1777C"/>
    <w:rsid w:val="00B17799"/>
    <w:rsid w:val="00B17A6E"/>
    <w:rsid w:val="00B17AA4"/>
    <w:rsid w:val="00B17B69"/>
    <w:rsid w:val="00B17DF6"/>
    <w:rsid w:val="00B17E3C"/>
    <w:rsid w:val="00B17EE1"/>
    <w:rsid w:val="00B17F76"/>
    <w:rsid w:val="00B200C7"/>
    <w:rsid w:val="00B201C7"/>
    <w:rsid w:val="00B201CE"/>
    <w:rsid w:val="00B2027C"/>
    <w:rsid w:val="00B203BC"/>
    <w:rsid w:val="00B20404"/>
    <w:rsid w:val="00B20415"/>
    <w:rsid w:val="00B205E7"/>
    <w:rsid w:val="00B20629"/>
    <w:rsid w:val="00B207FC"/>
    <w:rsid w:val="00B20827"/>
    <w:rsid w:val="00B2083B"/>
    <w:rsid w:val="00B20928"/>
    <w:rsid w:val="00B209D3"/>
    <w:rsid w:val="00B209E2"/>
    <w:rsid w:val="00B20CD6"/>
    <w:rsid w:val="00B20DED"/>
    <w:rsid w:val="00B20F5B"/>
    <w:rsid w:val="00B20F86"/>
    <w:rsid w:val="00B21171"/>
    <w:rsid w:val="00B21284"/>
    <w:rsid w:val="00B213B5"/>
    <w:rsid w:val="00B213E3"/>
    <w:rsid w:val="00B21476"/>
    <w:rsid w:val="00B21566"/>
    <w:rsid w:val="00B21901"/>
    <w:rsid w:val="00B21A74"/>
    <w:rsid w:val="00B21B26"/>
    <w:rsid w:val="00B21C74"/>
    <w:rsid w:val="00B21DF7"/>
    <w:rsid w:val="00B21FF0"/>
    <w:rsid w:val="00B220AE"/>
    <w:rsid w:val="00B22216"/>
    <w:rsid w:val="00B2222B"/>
    <w:rsid w:val="00B2229B"/>
    <w:rsid w:val="00B22340"/>
    <w:rsid w:val="00B2255A"/>
    <w:rsid w:val="00B225A3"/>
    <w:rsid w:val="00B225EF"/>
    <w:rsid w:val="00B226EA"/>
    <w:rsid w:val="00B228B5"/>
    <w:rsid w:val="00B228C2"/>
    <w:rsid w:val="00B22A58"/>
    <w:rsid w:val="00B22B10"/>
    <w:rsid w:val="00B22D74"/>
    <w:rsid w:val="00B22F2E"/>
    <w:rsid w:val="00B2303D"/>
    <w:rsid w:val="00B2317A"/>
    <w:rsid w:val="00B2320F"/>
    <w:rsid w:val="00B2339C"/>
    <w:rsid w:val="00B23404"/>
    <w:rsid w:val="00B2340A"/>
    <w:rsid w:val="00B23448"/>
    <w:rsid w:val="00B23527"/>
    <w:rsid w:val="00B235F4"/>
    <w:rsid w:val="00B235FB"/>
    <w:rsid w:val="00B236AF"/>
    <w:rsid w:val="00B23872"/>
    <w:rsid w:val="00B23874"/>
    <w:rsid w:val="00B238E8"/>
    <w:rsid w:val="00B2392D"/>
    <w:rsid w:val="00B23A5F"/>
    <w:rsid w:val="00B23CFB"/>
    <w:rsid w:val="00B23D6B"/>
    <w:rsid w:val="00B23ED7"/>
    <w:rsid w:val="00B24497"/>
    <w:rsid w:val="00B24536"/>
    <w:rsid w:val="00B245F7"/>
    <w:rsid w:val="00B24616"/>
    <w:rsid w:val="00B246AF"/>
    <w:rsid w:val="00B246D1"/>
    <w:rsid w:val="00B24814"/>
    <w:rsid w:val="00B2486D"/>
    <w:rsid w:val="00B248ED"/>
    <w:rsid w:val="00B24B45"/>
    <w:rsid w:val="00B24B90"/>
    <w:rsid w:val="00B24CA0"/>
    <w:rsid w:val="00B24D81"/>
    <w:rsid w:val="00B24F8B"/>
    <w:rsid w:val="00B24FFB"/>
    <w:rsid w:val="00B2504F"/>
    <w:rsid w:val="00B25159"/>
    <w:rsid w:val="00B25261"/>
    <w:rsid w:val="00B25331"/>
    <w:rsid w:val="00B25370"/>
    <w:rsid w:val="00B2538B"/>
    <w:rsid w:val="00B25467"/>
    <w:rsid w:val="00B254D7"/>
    <w:rsid w:val="00B254E4"/>
    <w:rsid w:val="00B25643"/>
    <w:rsid w:val="00B25683"/>
    <w:rsid w:val="00B257A7"/>
    <w:rsid w:val="00B257DC"/>
    <w:rsid w:val="00B25807"/>
    <w:rsid w:val="00B2586F"/>
    <w:rsid w:val="00B258D6"/>
    <w:rsid w:val="00B258D9"/>
    <w:rsid w:val="00B25A02"/>
    <w:rsid w:val="00B25C42"/>
    <w:rsid w:val="00B25E5F"/>
    <w:rsid w:val="00B26132"/>
    <w:rsid w:val="00B26233"/>
    <w:rsid w:val="00B263A4"/>
    <w:rsid w:val="00B264A0"/>
    <w:rsid w:val="00B265DD"/>
    <w:rsid w:val="00B26688"/>
    <w:rsid w:val="00B2671A"/>
    <w:rsid w:val="00B26728"/>
    <w:rsid w:val="00B26788"/>
    <w:rsid w:val="00B2686F"/>
    <w:rsid w:val="00B26978"/>
    <w:rsid w:val="00B26A66"/>
    <w:rsid w:val="00B26B17"/>
    <w:rsid w:val="00B26B24"/>
    <w:rsid w:val="00B26BDF"/>
    <w:rsid w:val="00B26C37"/>
    <w:rsid w:val="00B26C4A"/>
    <w:rsid w:val="00B26C80"/>
    <w:rsid w:val="00B26CC2"/>
    <w:rsid w:val="00B26CDA"/>
    <w:rsid w:val="00B26CF0"/>
    <w:rsid w:val="00B26FA3"/>
    <w:rsid w:val="00B26FB9"/>
    <w:rsid w:val="00B27182"/>
    <w:rsid w:val="00B271B9"/>
    <w:rsid w:val="00B271C3"/>
    <w:rsid w:val="00B2737E"/>
    <w:rsid w:val="00B27493"/>
    <w:rsid w:val="00B274A9"/>
    <w:rsid w:val="00B274B9"/>
    <w:rsid w:val="00B2754F"/>
    <w:rsid w:val="00B275F7"/>
    <w:rsid w:val="00B27810"/>
    <w:rsid w:val="00B278E5"/>
    <w:rsid w:val="00B27968"/>
    <w:rsid w:val="00B27A5C"/>
    <w:rsid w:val="00B27BED"/>
    <w:rsid w:val="00B27C15"/>
    <w:rsid w:val="00B27C41"/>
    <w:rsid w:val="00B27E0C"/>
    <w:rsid w:val="00B27EE8"/>
    <w:rsid w:val="00B27FF4"/>
    <w:rsid w:val="00B3005A"/>
    <w:rsid w:val="00B3038D"/>
    <w:rsid w:val="00B30401"/>
    <w:rsid w:val="00B304A1"/>
    <w:rsid w:val="00B304EA"/>
    <w:rsid w:val="00B304F2"/>
    <w:rsid w:val="00B30715"/>
    <w:rsid w:val="00B30724"/>
    <w:rsid w:val="00B30762"/>
    <w:rsid w:val="00B30988"/>
    <w:rsid w:val="00B309AD"/>
    <w:rsid w:val="00B309D4"/>
    <w:rsid w:val="00B30B36"/>
    <w:rsid w:val="00B30C97"/>
    <w:rsid w:val="00B30D80"/>
    <w:rsid w:val="00B30D9B"/>
    <w:rsid w:val="00B30F79"/>
    <w:rsid w:val="00B31222"/>
    <w:rsid w:val="00B31355"/>
    <w:rsid w:val="00B3141B"/>
    <w:rsid w:val="00B314E8"/>
    <w:rsid w:val="00B316DB"/>
    <w:rsid w:val="00B31816"/>
    <w:rsid w:val="00B318BF"/>
    <w:rsid w:val="00B31A3F"/>
    <w:rsid w:val="00B31BB0"/>
    <w:rsid w:val="00B31C2A"/>
    <w:rsid w:val="00B31C33"/>
    <w:rsid w:val="00B31CF9"/>
    <w:rsid w:val="00B31D8E"/>
    <w:rsid w:val="00B31DD3"/>
    <w:rsid w:val="00B31DE6"/>
    <w:rsid w:val="00B31EB0"/>
    <w:rsid w:val="00B32125"/>
    <w:rsid w:val="00B324A6"/>
    <w:rsid w:val="00B324EB"/>
    <w:rsid w:val="00B325FB"/>
    <w:rsid w:val="00B32626"/>
    <w:rsid w:val="00B326AA"/>
    <w:rsid w:val="00B326B4"/>
    <w:rsid w:val="00B327A9"/>
    <w:rsid w:val="00B328B7"/>
    <w:rsid w:val="00B32C3D"/>
    <w:rsid w:val="00B32D48"/>
    <w:rsid w:val="00B32E09"/>
    <w:rsid w:val="00B32F42"/>
    <w:rsid w:val="00B32F9A"/>
    <w:rsid w:val="00B3307C"/>
    <w:rsid w:val="00B3318F"/>
    <w:rsid w:val="00B3322A"/>
    <w:rsid w:val="00B33281"/>
    <w:rsid w:val="00B33696"/>
    <w:rsid w:val="00B338FC"/>
    <w:rsid w:val="00B33A3C"/>
    <w:rsid w:val="00B33A94"/>
    <w:rsid w:val="00B33BD0"/>
    <w:rsid w:val="00B33C49"/>
    <w:rsid w:val="00B33C4D"/>
    <w:rsid w:val="00B33D44"/>
    <w:rsid w:val="00B33E41"/>
    <w:rsid w:val="00B33F1C"/>
    <w:rsid w:val="00B33F2C"/>
    <w:rsid w:val="00B34046"/>
    <w:rsid w:val="00B34188"/>
    <w:rsid w:val="00B34249"/>
    <w:rsid w:val="00B342E0"/>
    <w:rsid w:val="00B34985"/>
    <w:rsid w:val="00B349E6"/>
    <w:rsid w:val="00B34A19"/>
    <w:rsid w:val="00B34AB5"/>
    <w:rsid w:val="00B34B1A"/>
    <w:rsid w:val="00B34CD6"/>
    <w:rsid w:val="00B34DEB"/>
    <w:rsid w:val="00B34E9C"/>
    <w:rsid w:val="00B34F40"/>
    <w:rsid w:val="00B34FA8"/>
    <w:rsid w:val="00B350FA"/>
    <w:rsid w:val="00B35140"/>
    <w:rsid w:val="00B3529D"/>
    <w:rsid w:val="00B35366"/>
    <w:rsid w:val="00B3537E"/>
    <w:rsid w:val="00B355E9"/>
    <w:rsid w:val="00B35645"/>
    <w:rsid w:val="00B35866"/>
    <w:rsid w:val="00B359B8"/>
    <w:rsid w:val="00B35A6E"/>
    <w:rsid w:val="00B35B29"/>
    <w:rsid w:val="00B35BAD"/>
    <w:rsid w:val="00B35D4E"/>
    <w:rsid w:val="00B35F0A"/>
    <w:rsid w:val="00B35F57"/>
    <w:rsid w:val="00B36272"/>
    <w:rsid w:val="00B36360"/>
    <w:rsid w:val="00B36378"/>
    <w:rsid w:val="00B36982"/>
    <w:rsid w:val="00B36A18"/>
    <w:rsid w:val="00B36C4F"/>
    <w:rsid w:val="00B36D33"/>
    <w:rsid w:val="00B36DC0"/>
    <w:rsid w:val="00B36F0A"/>
    <w:rsid w:val="00B37073"/>
    <w:rsid w:val="00B372A4"/>
    <w:rsid w:val="00B376D5"/>
    <w:rsid w:val="00B377B8"/>
    <w:rsid w:val="00B377D1"/>
    <w:rsid w:val="00B379ED"/>
    <w:rsid w:val="00B37B04"/>
    <w:rsid w:val="00B37B0A"/>
    <w:rsid w:val="00B37C19"/>
    <w:rsid w:val="00B37C52"/>
    <w:rsid w:val="00B37E61"/>
    <w:rsid w:val="00B37F3D"/>
    <w:rsid w:val="00B400A8"/>
    <w:rsid w:val="00B4025A"/>
    <w:rsid w:val="00B40308"/>
    <w:rsid w:val="00B40318"/>
    <w:rsid w:val="00B4044A"/>
    <w:rsid w:val="00B40477"/>
    <w:rsid w:val="00B404C6"/>
    <w:rsid w:val="00B405D0"/>
    <w:rsid w:val="00B406AB"/>
    <w:rsid w:val="00B40AFF"/>
    <w:rsid w:val="00B40B0F"/>
    <w:rsid w:val="00B40BF7"/>
    <w:rsid w:val="00B40C98"/>
    <w:rsid w:val="00B40CE4"/>
    <w:rsid w:val="00B40F6C"/>
    <w:rsid w:val="00B4102F"/>
    <w:rsid w:val="00B411FB"/>
    <w:rsid w:val="00B4122D"/>
    <w:rsid w:val="00B4123C"/>
    <w:rsid w:val="00B4125A"/>
    <w:rsid w:val="00B41329"/>
    <w:rsid w:val="00B413C3"/>
    <w:rsid w:val="00B41411"/>
    <w:rsid w:val="00B4182E"/>
    <w:rsid w:val="00B4193F"/>
    <w:rsid w:val="00B41B53"/>
    <w:rsid w:val="00B41BBC"/>
    <w:rsid w:val="00B41BF3"/>
    <w:rsid w:val="00B41CBF"/>
    <w:rsid w:val="00B41FD7"/>
    <w:rsid w:val="00B42087"/>
    <w:rsid w:val="00B42149"/>
    <w:rsid w:val="00B4222B"/>
    <w:rsid w:val="00B42258"/>
    <w:rsid w:val="00B422A3"/>
    <w:rsid w:val="00B422BE"/>
    <w:rsid w:val="00B424CC"/>
    <w:rsid w:val="00B424E3"/>
    <w:rsid w:val="00B42534"/>
    <w:rsid w:val="00B426D7"/>
    <w:rsid w:val="00B4295F"/>
    <w:rsid w:val="00B42BB4"/>
    <w:rsid w:val="00B42C2E"/>
    <w:rsid w:val="00B42CBA"/>
    <w:rsid w:val="00B42E29"/>
    <w:rsid w:val="00B42FCF"/>
    <w:rsid w:val="00B43093"/>
    <w:rsid w:val="00B43115"/>
    <w:rsid w:val="00B436FF"/>
    <w:rsid w:val="00B437DE"/>
    <w:rsid w:val="00B438AE"/>
    <w:rsid w:val="00B43971"/>
    <w:rsid w:val="00B43A00"/>
    <w:rsid w:val="00B43C8A"/>
    <w:rsid w:val="00B43DAC"/>
    <w:rsid w:val="00B43E80"/>
    <w:rsid w:val="00B43F17"/>
    <w:rsid w:val="00B44304"/>
    <w:rsid w:val="00B443BF"/>
    <w:rsid w:val="00B44408"/>
    <w:rsid w:val="00B44512"/>
    <w:rsid w:val="00B44563"/>
    <w:rsid w:val="00B4466C"/>
    <w:rsid w:val="00B446AD"/>
    <w:rsid w:val="00B44913"/>
    <w:rsid w:val="00B44925"/>
    <w:rsid w:val="00B449A5"/>
    <w:rsid w:val="00B44B36"/>
    <w:rsid w:val="00B44BD3"/>
    <w:rsid w:val="00B44D36"/>
    <w:rsid w:val="00B44E24"/>
    <w:rsid w:val="00B44EA2"/>
    <w:rsid w:val="00B45098"/>
    <w:rsid w:val="00B4525B"/>
    <w:rsid w:val="00B452CC"/>
    <w:rsid w:val="00B453B2"/>
    <w:rsid w:val="00B4562D"/>
    <w:rsid w:val="00B4569F"/>
    <w:rsid w:val="00B45770"/>
    <w:rsid w:val="00B457D1"/>
    <w:rsid w:val="00B457E1"/>
    <w:rsid w:val="00B459F1"/>
    <w:rsid w:val="00B45ACA"/>
    <w:rsid w:val="00B45B26"/>
    <w:rsid w:val="00B45B4A"/>
    <w:rsid w:val="00B45C25"/>
    <w:rsid w:val="00B45C9A"/>
    <w:rsid w:val="00B45D1A"/>
    <w:rsid w:val="00B45D5D"/>
    <w:rsid w:val="00B45D63"/>
    <w:rsid w:val="00B45E34"/>
    <w:rsid w:val="00B45EFA"/>
    <w:rsid w:val="00B45F23"/>
    <w:rsid w:val="00B46052"/>
    <w:rsid w:val="00B46063"/>
    <w:rsid w:val="00B4637C"/>
    <w:rsid w:val="00B463FA"/>
    <w:rsid w:val="00B468AA"/>
    <w:rsid w:val="00B46B15"/>
    <w:rsid w:val="00B46B35"/>
    <w:rsid w:val="00B46B58"/>
    <w:rsid w:val="00B46B84"/>
    <w:rsid w:val="00B46BB4"/>
    <w:rsid w:val="00B46D3D"/>
    <w:rsid w:val="00B47149"/>
    <w:rsid w:val="00B47150"/>
    <w:rsid w:val="00B474D5"/>
    <w:rsid w:val="00B4755F"/>
    <w:rsid w:val="00B47646"/>
    <w:rsid w:val="00B479A9"/>
    <w:rsid w:val="00B479F5"/>
    <w:rsid w:val="00B47A45"/>
    <w:rsid w:val="00B47B24"/>
    <w:rsid w:val="00B47CF9"/>
    <w:rsid w:val="00B47E85"/>
    <w:rsid w:val="00B47EE7"/>
    <w:rsid w:val="00B47F04"/>
    <w:rsid w:val="00B47F43"/>
    <w:rsid w:val="00B47FCC"/>
    <w:rsid w:val="00B500D1"/>
    <w:rsid w:val="00B5014C"/>
    <w:rsid w:val="00B501D7"/>
    <w:rsid w:val="00B502D0"/>
    <w:rsid w:val="00B502D1"/>
    <w:rsid w:val="00B502D2"/>
    <w:rsid w:val="00B5045B"/>
    <w:rsid w:val="00B504D5"/>
    <w:rsid w:val="00B504FE"/>
    <w:rsid w:val="00B505C0"/>
    <w:rsid w:val="00B506A6"/>
    <w:rsid w:val="00B507C3"/>
    <w:rsid w:val="00B5087C"/>
    <w:rsid w:val="00B5088C"/>
    <w:rsid w:val="00B50A92"/>
    <w:rsid w:val="00B50B48"/>
    <w:rsid w:val="00B50B89"/>
    <w:rsid w:val="00B50CA0"/>
    <w:rsid w:val="00B50CED"/>
    <w:rsid w:val="00B50D79"/>
    <w:rsid w:val="00B50EBF"/>
    <w:rsid w:val="00B50FD3"/>
    <w:rsid w:val="00B5105D"/>
    <w:rsid w:val="00B510E5"/>
    <w:rsid w:val="00B512DC"/>
    <w:rsid w:val="00B514DD"/>
    <w:rsid w:val="00B5165B"/>
    <w:rsid w:val="00B517C7"/>
    <w:rsid w:val="00B51A5A"/>
    <w:rsid w:val="00B51C00"/>
    <w:rsid w:val="00B51C5D"/>
    <w:rsid w:val="00B51CC4"/>
    <w:rsid w:val="00B51CF3"/>
    <w:rsid w:val="00B51DB2"/>
    <w:rsid w:val="00B51E10"/>
    <w:rsid w:val="00B51EEC"/>
    <w:rsid w:val="00B51FBF"/>
    <w:rsid w:val="00B52179"/>
    <w:rsid w:val="00B521F6"/>
    <w:rsid w:val="00B5244D"/>
    <w:rsid w:val="00B525F0"/>
    <w:rsid w:val="00B526C8"/>
    <w:rsid w:val="00B52DD5"/>
    <w:rsid w:val="00B52E25"/>
    <w:rsid w:val="00B52E26"/>
    <w:rsid w:val="00B5306A"/>
    <w:rsid w:val="00B5316B"/>
    <w:rsid w:val="00B533F8"/>
    <w:rsid w:val="00B534A6"/>
    <w:rsid w:val="00B534C8"/>
    <w:rsid w:val="00B53637"/>
    <w:rsid w:val="00B53981"/>
    <w:rsid w:val="00B53C2A"/>
    <w:rsid w:val="00B53C6E"/>
    <w:rsid w:val="00B53DAB"/>
    <w:rsid w:val="00B53DAC"/>
    <w:rsid w:val="00B53E2C"/>
    <w:rsid w:val="00B53F18"/>
    <w:rsid w:val="00B53F5B"/>
    <w:rsid w:val="00B53FE2"/>
    <w:rsid w:val="00B54164"/>
    <w:rsid w:val="00B54247"/>
    <w:rsid w:val="00B543DC"/>
    <w:rsid w:val="00B54421"/>
    <w:rsid w:val="00B54456"/>
    <w:rsid w:val="00B547FE"/>
    <w:rsid w:val="00B54864"/>
    <w:rsid w:val="00B549FA"/>
    <w:rsid w:val="00B54AAB"/>
    <w:rsid w:val="00B54BB9"/>
    <w:rsid w:val="00B54C45"/>
    <w:rsid w:val="00B54D55"/>
    <w:rsid w:val="00B54D62"/>
    <w:rsid w:val="00B54E75"/>
    <w:rsid w:val="00B54F4C"/>
    <w:rsid w:val="00B55167"/>
    <w:rsid w:val="00B5519A"/>
    <w:rsid w:val="00B5524C"/>
    <w:rsid w:val="00B554A0"/>
    <w:rsid w:val="00B5573C"/>
    <w:rsid w:val="00B55978"/>
    <w:rsid w:val="00B55E14"/>
    <w:rsid w:val="00B55E39"/>
    <w:rsid w:val="00B55EA4"/>
    <w:rsid w:val="00B55EB1"/>
    <w:rsid w:val="00B55FC6"/>
    <w:rsid w:val="00B56008"/>
    <w:rsid w:val="00B5615E"/>
    <w:rsid w:val="00B5648B"/>
    <w:rsid w:val="00B564DE"/>
    <w:rsid w:val="00B564E1"/>
    <w:rsid w:val="00B5658B"/>
    <w:rsid w:val="00B569AC"/>
    <w:rsid w:val="00B569B0"/>
    <w:rsid w:val="00B569D3"/>
    <w:rsid w:val="00B56B17"/>
    <w:rsid w:val="00B56B20"/>
    <w:rsid w:val="00B56B3E"/>
    <w:rsid w:val="00B56E23"/>
    <w:rsid w:val="00B56F5A"/>
    <w:rsid w:val="00B57118"/>
    <w:rsid w:val="00B57182"/>
    <w:rsid w:val="00B571F2"/>
    <w:rsid w:val="00B5731A"/>
    <w:rsid w:val="00B5744A"/>
    <w:rsid w:val="00B5746C"/>
    <w:rsid w:val="00B576A3"/>
    <w:rsid w:val="00B5774E"/>
    <w:rsid w:val="00B5791A"/>
    <w:rsid w:val="00B57BBB"/>
    <w:rsid w:val="00B57BD8"/>
    <w:rsid w:val="00B57C8E"/>
    <w:rsid w:val="00B57D59"/>
    <w:rsid w:val="00B57E7F"/>
    <w:rsid w:val="00B57F05"/>
    <w:rsid w:val="00B6005A"/>
    <w:rsid w:val="00B6006A"/>
    <w:rsid w:val="00B601E8"/>
    <w:rsid w:val="00B60229"/>
    <w:rsid w:val="00B60364"/>
    <w:rsid w:val="00B60476"/>
    <w:rsid w:val="00B605BC"/>
    <w:rsid w:val="00B605D5"/>
    <w:rsid w:val="00B607C2"/>
    <w:rsid w:val="00B60866"/>
    <w:rsid w:val="00B6094D"/>
    <w:rsid w:val="00B6098F"/>
    <w:rsid w:val="00B609AA"/>
    <w:rsid w:val="00B60B3E"/>
    <w:rsid w:val="00B60CE5"/>
    <w:rsid w:val="00B60F48"/>
    <w:rsid w:val="00B6106E"/>
    <w:rsid w:val="00B61145"/>
    <w:rsid w:val="00B6125B"/>
    <w:rsid w:val="00B613C7"/>
    <w:rsid w:val="00B6146C"/>
    <w:rsid w:val="00B614CA"/>
    <w:rsid w:val="00B6151F"/>
    <w:rsid w:val="00B6156F"/>
    <w:rsid w:val="00B617EE"/>
    <w:rsid w:val="00B61884"/>
    <w:rsid w:val="00B618DF"/>
    <w:rsid w:val="00B61D45"/>
    <w:rsid w:val="00B61F05"/>
    <w:rsid w:val="00B6238A"/>
    <w:rsid w:val="00B62543"/>
    <w:rsid w:val="00B625F6"/>
    <w:rsid w:val="00B62796"/>
    <w:rsid w:val="00B6289A"/>
    <w:rsid w:val="00B629B5"/>
    <w:rsid w:val="00B62B96"/>
    <w:rsid w:val="00B62CFF"/>
    <w:rsid w:val="00B62EA0"/>
    <w:rsid w:val="00B62EA1"/>
    <w:rsid w:val="00B6312D"/>
    <w:rsid w:val="00B631D5"/>
    <w:rsid w:val="00B6322E"/>
    <w:rsid w:val="00B63847"/>
    <w:rsid w:val="00B63913"/>
    <w:rsid w:val="00B63BE1"/>
    <w:rsid w:val="00B63D63"/>
    <w:rsid w:val="00B63DDD"/>
    <w:rsid w:val="00B63E7D"/>
    <w:rsid w:val="00B63EBC"/>
    <w:rsid w:val="00B64012"/>
    <w:rsid w:val="00B640F0"/>
    <w:rsid w:val="00B64151"/>
    <w:rsid w:val="00B64181"/>
    <w:rsid w:val="00B642C6"/>
    <w:rsid w:val="00B64359"/>
    <w:rsid w:val="00B6441E"/>
    <w:rsid w:val="00B645B1"/>
    <w:rsid w:val="00B645DB"/>
    <w:rsid w:val="00B64C42"/>
    <w:rsid w:val="00B64C8E"/>
    <w:rsid w:val="00B64D12"/>
    <w:rsid w:val="00B64D4E"/>
    <w:rsid w:val="00B65049"/>
    <w:rsid w:val="00B65073"/>
    <w:rsid w:val="00B650A9"/>
    <w:rsid w:val="00B65107"/>
    <w:rsid w:val="00B652FD"/>
    <w:rsid w:val="00B65506"/>
    <w:rsid w:val="00B65537"/>
    <w:rsid w:val="00B655B6"/>
    <w:rsid w:val="00B656B2"/>
    <w:rsid w:val="00B65910"/>
    <w:rsid w:val="00B65927"/>
    <w:rsid w:val="00B659EF"/>
    <w:rsid w:val="00B65CF3"/>
    <w:rsid w:val="00B65D05"/>
    <w:rsid w:val="00B65F45"/>
    <w:rsid w:val="00B664A9"/>
    <w:rsid w:val="00B6651F"/>
    <w:rsid w:val="00B665DB"/>
    <w:rsid w:val="00B66649"/>
    <w:rsid w:val="00B66783"/>
    <w:rsid w:val="00B6678E"/>
    <w:rsid w:val="00B668F7"/>
    <w:rsid w:val="00B6694F"/>
    <w:rsid w:val="00B66CDE"/>
    <w:rsid w:val="00B66FD2"/>
    <w:rsid w:val="00B670D3"/>
    <w:rsid w:val="00B6714B"/>
    <w:rsid w:val="00B67164"/>
    <w:rsid w:val="00B67166"/>
    <w:rsid w:val="00B67372"/>
    <w:rsid w:val="00B67387"/>
    <w:rsid w:val="00B674CF"/>
    <w:rsid w:val="00B67538"/>
    <w:rsid w:val="00B675A2"/>
    <w:rsid w:val="00B6771A"/>
    <w:rsid w:val="00B67805"/>
    <w:rsid w:val="00B678CB"/>
    <w:rsid w:val="00B67ACF"/>
    <w:rsid w:val="00B67D62"/>
    <w:rsid w:val="00B67DCF"/>
    <w:rsid w:val="00B67DD8"/>
    <w:rsid w:val="00B67E99"/>
    <w:rsid w:val="00B67EE2"/>
    <w:rsid w:val="00B67F9E"/>
    <w:rsid w:val="00B70072"/>
    <w:rsid w:val="00B7042C"/>
    <w:rsid w:val="00B70431"/>
    <w:rsid w:val="00B7044F"/>
    <w:rsid w:val="00B70696"/>
    <w:rsid w:val="00B706FD"/>
    <w:rsid w:val="00B70709"/>
    <w:rsid w:val="00B70734"/>
    <w:rsid w:val="00B708B4"/>
    <w:rsid w:val="00B70977"/>
    <w:rsid w:val="00B709B1"/>
    <w:rsid w:val="00B709BF"/>
    <w:rsid w:val="00B70A15"/>
    <w:rsid w:val="00B70A92"/>
    <w:rsid w:val="00B70D01"/>
    <w:rsid w:val="00B70DF2"/>
    <w:rsid w:val="00B70EB3"/>
    <w:rsid w:val="00B71275"/>
    <w:rsid w:val="00B7132F"/>
    <w:rsid w:val="00B71384"/>
    <w:rsid w:val="00B714B5"/>
    <w:rsid w:val="00B71695"/>
    <w:rsid w:val="00B716DC"/>
    <w:rsid w:val="00B71765"/>
    <w:rsid w:val="00B7184D"/>
    <w:rsid w:val="00B718DB"/>
    <w:rsid w:val="00B719F5"/>
    <w:rsid w:val="00B71B33"/>
    <w:rsid w:val="00B71D0B"/>
    <w:rsid w:val="00B71D69"/>
    <w:rsid w:val="00B71E19"/>
    <w:rsid w:val="00B71F1C"/>
    <w:rsid w:val="00B720A0"/>
    <w:rsid w:val="00B72353"/>
    <w:rsid w:val="00B7235C"/>
    <w:rsid w:val="00B72427"/>
    <w:rsid w:val="00B724A5"/>
    <w:rsid w:val="00B726DF"/>
    <w:rsid w:val="00B7280A"/>
    <w:rsid w:val="00B72858"/>
    <w:rsid w:val="00B72B41"/>
    <w:rsid w:val="00B72BAB"/>
    <w:rsid w:val="00B72C9C"/>
    <w:rsid w:val="00B72CF9"/>
    <w:rsid w:val="00B72D03"/>
    <w:rsid w:val="00B72D33"/>
    <w:rsid w:val="00B72E1D"/>
    <w:rsid w:val="00B72FA8"/>
    <w:rsid w:val="00B730FA"/>
    <w:rsid w:val="00B73110"/>
    <w:rsid w:val="00B7318C"/>
    <w:rsid w:val="00B73262"/>
    <w:rsid w:val="00B733D4"/>
    <w:rsid w:val="00B7345A"/>
    <w:rsid w:val="00B7367F"/>
    <w:rsid w:val="00B7397C"/>
    <w:rsid w:val="00B73B57"/>
    <w:rsid w:val="00B73D2B"/>
    <w:rsid w:val="00B73D41"/>
    <w:rsid w:val="00B73E1B"/>
    <w:rsid w:val="00B73E33"/>
    <w:rsid w:val="00B73F63"/>
    <w:rsid w:val="00B740FA"/>
    <w:rsid w:val="00B74178"/>
    <w:rsid w:val="00B742B4"/>
    <w:rsid w:val="00B74324"/>
    <w:rsid w:val="00B74436"/>
    <w:rsid w:val="00B7443D"/>
    <w:rsid w:val="00B7478B"/>
    <w:rsid w:val="00B74848"/>
    <w:rsid w:val="00B7485D"/>
    <w:rsid w:val="00B74A25"/>
    <w:rsid w:val="00B74A3F"/>
    <w:rsid w:val="00B74AF6"/>
    <w:rsid w:val="00B74B2C"/>
    <w:rsid w:val="00B74B6B"/>
    <w:rsid w:val="00B74BCA"/>
    <w:rsid w:val="00B74D04"/>
    <w:rsid w:val="00B74E3A"/>
    <w:rsid w:val="00B74F2E"/>
    <w:rsid w:val="00B75284"/>
    <w:rsid w:val="00B75347"/>
    <w:rsid w:val="00B7558C"/>
    <w:rsid w:val="00B756DC"/>
    <w:rsid w:val="00B75731"/>
    <w:rsid w:val="00B75B6A"/>
    <w:rsid w:val="00B75C26"/>
    <w:rsid w:val="00B75DFB"/>
    <w:rsid w:val="00B75F5A"/>
    <w:rsid w:val="00B75F71"/>
    <w:rsid w:val="00B7611D"/>
    <w:rsid w:val="00B76358"/>
    <w:rsid w:val="00B76555"/>
    <w:rsid w:val="00B7664E"/>
    <w:rsid w:val="00B76680"/>
    <w:rsid w:val="00B767BC"/>
    <w:rsid w:val="00B767D8"/>
    <w:rsid w:val="00B76865"/>
    <w:rsid w:val="00B769EA"/>
    <w:rsid w:val="00B76A69"/>
    <w:rsid w:val="00B76AD2"/>
    <w:rsid w:val="00B76B1A"/>
    <w:rsid w:val="00B76C25"/>
    <w:rsid w:val="00B76F14"/>
    <w:rsid w:val="00B7726F"/>
    <w:rsid w:val="00B775AC"/>
    <w:rsid w:val="00B77623"/>
    <w:rsid w:val="00B7763B"/>
    <w:rsid w:val="00B777D6"/>
    <w:rsid w:val="00B777E1"/>
    <w:rsid w:val="00B77B2F"/>
    <w:rsid w:val="00B77B48"/>
    <w:rsid w:val="00B77D30"/>
    <w:rsid w:val="00B800D0"/>
    <w:rsid w:val="00B800FB"/>
    <w:rsid w:val="00B80107"/>
    <w:rsid w:val="00B80183"/>
    <w:rsid w:val="00B8037D"/>
    <w:rsid w:val="00B803FD"/>
    <w:rsid w:val="00B80421"/>
    <w:rsid w:val="00B804C8"/>
    <w:rsid w:val="00B8071C"/>
    <w:rsid w:val="00B80720"/>
    <w:rsid w:val="00B80765"/>
    <w:rsid w:val="00B80896"/>
    <w:rsid w:val="00B80923"/>
    <w:rsid w:val="00B809D3"/>
    <w:rsid w:val="00B80C27"/>
    <w:rsid w:val="00B80D2B"/>
    <w:rsid w:val="00B80DF3"/>
    <w:rsid w:val="00B80ED4"/>
    <w:rsid w:val="00B80FCD"/>
    <w:rsid w:val="00B810DA"/>
    <w:rsid w:val="00B813FF"/>
    <w:rsid w:val="00B81425"/>
    <w:rsid w:val="00B81726"/>
    <w:rsid w:val="00B81801"/>
    <w:rsid w:val="00B818AE"/>
    <w:rsid w:val="00B81962"/>
    <w:rsid w:val="00B81A2D"/>
    <w:rsid w:val="00B81B0E"/>
    <w:rsid w:val="00B81E6E"/>
    <w:rsid w:val="00B81F21"/>
    <w:rsid w:val="00B82122"/>
    <w:rsid w:val="00B821FA"/>
    <w:rsid w:val="00B822BD"/>
    <w:rsid w:val="00B82447"/>
    <w:rsid w:val="00B82630"/>
    <w:rsid w:val="00B82754"/>
    <w:rsid w:val="00B82788"/>
    <w:rsid w:val="00B827E2"/>
    <w:rsid w:val="00B82879"/>
    <w:rsid w:val="00B8287F"/>
    <w:rsid w:val="00B829F0"/>
    <w:rsid w:val="00B82B45"/>
    <w:rsid w:val="00B82BCE"/>
    <w:rsid w:val="00B82C16"/>
    <w:rsid w:val="00B82D70"/>
    <w:rsid w:val="00B82DB9"/>
    <w:rsid w:val="00B82E69"/>
    <w:rsid w:val="00B8304B"/>
    <w:rsid w:val="00B831DC"/>
    <w:rsid w:val="00B8320C"/>
    <w:rsid w:val="00B83486"/>
    <w:rsid w:val="00B836DF"/>
    <w:rsid w:val="00B837EE"/>
    <w:rsid w:val="00B8380C"/>
    <w:rsid w:val="00B83840"/>
    <w:rsid w:val="00B838E6"/>
    <w:rsid w:val="00B83BA1"/>
    <w:rsid w:val="00B83C24"/>
    <w:rsid w:val="00B83D8A"/>
    <w:rsid w:val="00B83E33"/>
    <w:rsid w:val="00B83E7E"/>
    <w:rsid w:val="00B83FD2"/>
    <w:rsid w:val="00B8402C"/>
    <w:rsid w:val="00B8405D"/>
    <w:rsid w:val="00B8443C"/>
    <w:rsid w:val="00B844B0"/>
    <w:rsid w:val="00B84671"/>
    <w:rsid w:val="00B847AE"/>
    <w:rsid w:val="00B84822"/>
    <w:rsid w:val="00B848A9"/>
    <w:rsid w:val="00B848AD"/>
    <w:rsid w:val="00B84ADA"/>
    <w:rsid w:val="00B84BFA"/>
    <w:rsid w:val="00B84C37"/>
    <w:rsid w:val="00B84CE0"/>
    <w:rsid w:val="00B84DD4"/>
    <w:rsid w:val="00B84E80"/>
    <w:rsid w:val="00B84F7C"/>
    <w:rsid w:val="00B851EC"/>
    <w:rsid w:val="00B8520B"/>
    <w:rsid w:val="00B85355"/>
    <w:rsid w:val="00B854DD"/>
    <w:rsid w:val="00B85B4B"/>
    <w:rsid w:val="00B85B8D"/>
    <w:rsid w:val="00B85DDC"/>
    <w:rsid w:val="00B85DE9"/>
    <w:rsid w:val="00B85E33"/>
    <w:rsid w:val="00B85E4F"/>
    <w:rsid w:val="00B86040"/>
    <w:rsid w:val="00B860DB"/>
    <w:rsid w:val="00B86100"/>
    <w:rsid w:val="00B862B4"/>
    <w:rsid w:val="00B8641F"/>
    <w:rsid w:val="00B8663C"/>
    <w:rsid w:val="00B86651"/>
    <w:rsid w:val="00B867B9"/>
    <w:rsid w:val="00B867CD"/>
    <w:rsid w:val="00B86A20"/>
    <w:rsid w:val="00B86A6A"/>
    <w:rsid w:val="00B86ABC"/>
    <w:rsid w:val="00B86B56"/>
    <w:rsid w:val="00B86B78"/>
    <w:rsid w:val="00B86C44"/>
    <w:rsid w:val="00B86C75"/>
    <w:rsid w:val="00B86F85"/>
    <w:rsid w:val="00B870DC"/>
    <w:rsid w:val="00B8723C"/>
    <w:rsid w:val="00B87267"/>
    <w:rsid w:val="00B872B4"/>
    <w:rsid w:val="00B87340"/>
    <w:rsid w:val="00B87494"/>
    <w:rsid w:val="00B874E0"/>
    <w:rsid w:val="00B875D0"/>
    <w:rsid w:val="00B87AFC"/>
    <w:rsid w:val="00B87B1F"/>
    <w:rsid w:val="00B87B75"/>
    <w:rsid w:val="00B87B97"/>
    <w:rsid w:val="00B87BE1"/>
    <w:rsid w:val="00B87C14"/>
    <w:rsid w:val="00B87E66"/>
    <w:rsid w:val="00B87EEE"/>
    <w:rsid w:val="00B87FE4"/>
    <w:rsid w:val="00B90089"/>
    <w:rsid w:val="00B900CF"/>
    <w:rsid w:val="00B903C0"/>
    <w:rsid w:val="00B9042A"/>
    <w:rsid w:val="00B904E5"/>
    <w:rsid w:val="00B905B3"/>
    <w:rsid w:val="00B90612"/>
    <w:rsid w:val="00B906AE"/>
    <w:rsid w:val="00B906E3"/>
    <w:rsid w:val="00B906E4"/>
    <w:rsid w:val="00B90755"/>
    <w:rsid w:val="00B90834"/>
    <w:rsid w:val="00B90950"/>
    <w:rsid w:val="00B90A16"/>
    <w:rsid w:val="00B90A51"/>
    <w:rsid w:val="00B90A60"/>
    <w:rsid w:val="00B90E49"/>
    <w:rsid w:val="00B90EF6"/>
    <w:rsid w:val="00B90FFF"/>
    <w:rsid w:val="00B91265"/>
    <w:rsid w:val="00B915E4"/>
    <w:rsid w:val="00B91623"/>
    <w:rsid w:val="00B91632"/>
    <w:rsid w:val="00B9169A"/>
    <w:rsid w:val="00B9176B"/>
    <w:rsid w:val="00B917B8"/>
    <w:rsid w:val="00B91A4D"/>
    <w:rsid w:val="00B924C0"/>
    <w:rsid w:val="00B9269F"/>
    <w:rsid w:val="00B929D7"/>
    <w:rsid w:val="00B92AE2"/>
    <w:rsid w:val="00B92B9A"/>
    <w:rsid w:val="00B92F9E"/>
    <w:rsid w:val="00B930E1"/>
    <w:rsid w:val="00B93602"/>
    <w:rsid w:val="00B93702"/>
    <w:rsid w:val="00B93704"/>
    <w:rsid w:val="00B939DE"/>
    <w:rsid w:val="00B93B58"/>
    <w:rsid w:val="00B93D99"/>
    <w:rsid w:val="00B93DE3"/>
    <w:rsid w:val="00B93EB4"/>
    <w:rsid w:val="00B94181"/>
    <w:rsid w:val="00B941BA"/>
    <w:rsid w:val="00B943AB"/>
    <w:rsid w:val="00B94425"/>
    <w:rsid w:val="00B944A3"/>
    <w:rsid w:val="00B94577"/>
    <w:rsid w:val="00B9471E"/>
    <w:rsid w:val="00B9498E"/>
    <w:rsid w:val="00B94C0D"/>
    <w:rsid w:val="00B94C4A"/>
    <w:rsid w:val="00B94F99"/>
    <w:rsid w:val="00B95287"/>
    <w:rsid w:val="00B9528C"/>
    <w:rsid w:val="00B95389"/>
    <w:rsid w:val="00B9539B"/>
    <w:rsid w:val="00B9574D"/>
    <w:rsid w:val="00B95800"/>
    <w:rsid w:val="00B9590E"/>
    <w:rsid w:val="00B95952"/>
    <w:rsid w:val="00B95995"/>
    <w:rsid w:val="00B959B9"/>
    <w:rsid w:val="00B95A76"/>
    <w:rsid w:val="00B95B08"/>
    <w:rsid w:val="00B95C33"/>
    <w:rsid w:val="00B95C8E"/>
    <w:rsid w:val="00B95D85"/>
    <w:rsid w:val="00B95DC3"/>
    <w:rsid w:val="00B95E84"/>
    <w:rsid w:val="00B95EBD"/>
    <w:rsid w:val="00B95EC1"/>
    <w:rsid w:val="00B96006"/>
    <w:rsid w:val="00B96087"/>
    <w:rsid w:val="00B9619F"/>
    <w:rsid w:val="00B9620F"/>
    <w:rsid w:val="00B964DA"/>
    <w:rsid w:val="00B965FE"/>
    <w:rsid w:val="00B966E8"/>
    <w:rsid w:val="00B9694C"/>
    <w:rsid w:val="00B96CE0"/>
    <w:rsid w:val="00B96F8E"/>
    <w:rsid w:val="00B970B4"/>
    <w:rsid w:val="00B97299"/>
    <w:rsid w:val="00B972E6"/>
    <w:rsid w:val="00B97372"/>
    <w:rsid w:val="00B973A6"/>
    <w:rsid w:val="00B973B8"/>
    <w:rsid w:val="00B97673"/>
    <w:rsid w:val="00B9779F"/>
    <w:rsid w:val="00B977C5"/>
    <w:rsid w:val="00B97806"/>
    <w:rsid w:val="00B9787F"/>
    <w:rsid w:val="00B97AAE"/>
    <w:rsid w:val="00B97CC9"/>
    <w:rsid w:val="00B97DC5"/>
    <w:rsid w:val="00B97F9D"/>
    <w:rsid w:val="00BA0397"/>
    <w:rsid w:val="00BA059C"/>
    <w:rsid w:val="00BA06FF"/>
    <w:rsid w:val="00BA0762"/>
    <w:rsid w:val="00BA0927"/>
    <w:rsid w:val="00BA0930"/>
    <w:rsid w:val="00BA0F6F"/>
    <w:rsid w:val="00BA13DA"/>
    <w:rsid w:val="00BA13E0"/>
    <w:rsid w:val="00BA172B"/>
    <w:rsid w:val="00BA17C0"/>
    <w:rsid w:val="00BA18F8"/>
    <w:rsid w:val="00BA1932"/>
    <w:rsid w:val="00BA19E9"/>
    <w:rsid w:val="00BA1A0D"/>
    <w:rsid w:val="00BA1BA2"/>
    <w:rsid w:val="00BA1C14"/>
    <w:rsid w:val="00BA1E09"/>
    <w:rsid w:val="00BA1E5C"/>
    <w:rsid w:val="00BA1E8D"/>
    <w:rsid w:val="00BA1F0D"/>
    <w:rsid w:val="00BA1F99"/>
    <w:rsid w:val="00BA2051"/>
    <w:rsid w:val="00BA2128"/>
    <w:rsid w:val="00BA21F1"/>
    <w:rsid w:val="00BA2228"/>
    <w:rsid w:val="00BA2294"/>
    <w:rsid w:val="00BA22CF"/>
    <w:rsid w:val="00BA23D4"/>
    <w:rsid w:val="00BA2644"/>
    <w:rsid w:val="00BA2718"/>
    <w:rsid w:val="00BA2C31"/>
    <w:rsid w:val="00BA2ED9"/>
    <w:rsid w:val="00BA2FA9"/>
    <w:rsid w:val="00BA2FFA"/>
    <w:rsid w:val="00BA3132"/>
    <w:rsid w:val="00BA3175"/>
    <w:rsid w:val="00BA326A"/>
    <w:rsid w:val="00BA327B"/>
    <w:rsid w:val="00BA3319"/>
    <w:rsid w:val="00BA350B"/>
    <w:rsid w:val="00BA3674"/>
    <w:rsid w:val="00BA36F2"/>
    <w:rsid w:val="00BA3766"/>
    <w:rsid w:val="00BA37F2"/>
    <w:rsid w:val="00BA3926"/>
    <w:rsid w:val="00BA39DD"/>
    <w:rsid w:val="00BA3B0B"/>
    <w:rsid w:val="00BA3B38"/>
    <w:rsid w:val="00BA3C53"/>
    <w:rsid w:val="00BA3C87"/>
    <w:rsid w:val="00BA3D84"/>
    <w:rsid w:val="00BA3D86"/>
    <w:rsid w:val="00BA3E4C"/>
    <w:rsid w:val="00BA3EC1"/>
    <w:rsid w:val="00BA3F77"/>
    <w:rsid w:val="00BA401A"/>
    <w:rsid w:val="00BA403B"/>
    <w:rsid w:val="00BA410A"/>
    <w:rsid w:val="00BA4180"/>
    <w:rsid w:val="00BA426D"/>
    <w:rsid w:val="00BA42E0"/>
    <w:rsid w:val="00BA42F7"/>
    <w:rsid w:val="00BA43C5"/>
    <w:rsid w:val="00BA469A"/>
    <w:rsid w:val="00BA492C"/>
    <w:rsid w:val="00BA496F"/>
    <w:rsid w:val="00BA49C5"/>
    <w:rsid w:val="00BA49E2"/>
    <w:rsid w:val="00BA4C9F"/>
    <w:rsid w:val="00BA4DB9"/>
    <w:rsid w:val="00BA4DF5"/>
    <w:rsid w:val="00BA5029"/>
    <w:rsid w:val="00BA516E"/>
    <w:rsid w:val="00BA54AC"/>
    <w:rsid w:val="00BA54B6"/>
    <w:rsid w:val="00BA56A9"/>
    <w:rsid w:val="00BA56E2"/>
    <w:rsid w:val="00BA5AF7"/>
    <w:rsid w:val="00BA5CAC"/>
    <w:rsid w:val="00BA5E8B"/>
    <w:rsid w:val="00BA637C"/>
    <w:rsid w:val="00BA6416"/>
    <w:rsid w:val="00BA6462"/>
    <w:rsid w:val="00BA64D1"/>
    <w:rsid w:val="00BA65FE"/>
    <w:rsid w:val="00BA67F2"/>
    <w:rsid w:val="00BA684B"/>
    <w:rsid w:val="00BA686A"/>
    <w:rsid w:val="00BA68D4"/>
    <w:rsid w:val="00BA69BD"/>
    <w:rsid w:val="00BA69F6"/>
    <w:rsid w:val="00BA6AAC"/>
    <w:rsid w:val="00BA6AEA"/>
    <w:rsid w:val="00BA6AFF"/>
    <w:rsid w:val="00BA6C5B"/>
    <w:rsid w:val="00BA6D17"/>
    <w:rsid w:val="00BA6DAA"/>
    <w:rsid w:val="00BA6E82"/>
    <w:rsid w:val="00BA7072"/>
    <w:rsid w:val="00BA709D"/>
    <w:rsid w:val="00BA724D"/>
    <w:rsid w:val="00BA73A5"/>
    <w:rsid w:val="00BA743F"/>
    <w:rsid w:val="00BA746F"/>
    <w:rsid w:val="00BA75E1"/>
    <w:rsid w:val="00BA774B"/>
    <w:rsid w:val="00BA7788"/>
    <w:rsid w:val="00BA77C0"/>
    <w:rsid w:val="00BA7B76"/>
    <w:rsid w:val="00BA7D76"/>
    <w:rsid w:val="00BA7DB2"/>
    <w:rsid w:val="00BA7E60"/>
    <w:rsid w:val="00BA7F83"/>
    <w:rsid w:val="00BA7FB9"/>
    <w:rsid w:val="00BB0009"/>
    <w:rsid w:val="00BB014D"/>
    <w:rsid w:val="00BB018A"/>
    <w:rsid w:val="00BB0232"/>
    <w:rsid w:val="00BB0296"/>
    <w:rsid w:val="00BB03E0"/>
    <w:rsid w:val="00BB03EF"/>
    <w:rsid w:val="00BB05C9"/>
    <w:rsid w:val="00BB06E9"/>
    <w:rsid w:val="00BB07A4"/>
    <w:rsid w:val="00BB0838"/>
    <w:rsid w:val="00BB091B"/>
    <w:rsid w:val="00BB098C"/>
    <w:rsid w:val="00BB09B9"/>
    <w:rsid w:val="00BB0E27"/>
    <w:rsid w:val="00BB0E46"/>
    <w:rsid w:val="00BB0F7E"/>
    <w:rsid w:val="00BB0FB9"/>
    <w:rsid w:val="00BB12BF"/>
    <w:rsid w:val="00BB137E"/>
    <w:rsid w:val="00BB14AF"/>
    <w:rsid w:val="00BB153B"/>
    <w:rsid w:val="00BB15C8"/>
    <w:rsid w:val="00BB16AA"/>
    <w:rsid w:val="00BB1832"/>
    <w:rsid w:val="00BB1839"/>
    <w:rsid w:val="00BB1A20"/>
    <w:rsid w:val="00BB1B94"/>
    <w:rsid w:val="00BB1BA4"/>
    <w:rsid w:val="00BB1BB9"/>
    <w:rsid w:val="00BB1CB3"/>
    <w:rsid w:val="00BB1E60"/>
    <w:rsid w:val="00BB1FE5"/>
    <w:rsid w:val="00BB2080"/>
    <w:rsid w:val="00BB220E"/>
    <w:rsid w:val="00BB22D9"/>
    <w:rsid w:val="00BB22EF"/>
    <w:rsid w:val="00BB23DD"/>
    <w:rsid w:val="00BB252A"/>
    <w:rsid w:val="00BB267F"/>
    <w:rsid w:val="00BB275C"/>
    <w:rsid w:val="00BB287E"/>
    <w:rsid w:val="00BB2A21"/>
    <w:rsid w:val="00BB2AFB"/>
    <w:rsid w:val="00BB2CD9"/>
    <w:rsid w:val="00BB2EC1"/>
    <w:rsid w:val="00BB2FEB"/>
    <w:rsid w:val="00BB3018"/>
    <w:rsid w:val="00BB3041"/>
    <w:rsid w:val="00BB3187"/>
    <w:rsid w:val="00BB35D9"/>
    <w:rsid w:val="00BB3730"/>
    <w:rsid w:val="00BB3C00"/>
    <w:rsid w:val="00BB3CEF"/>
    <w:rsid w:val="00BB3DAC"/>
    <w:rsid w:val="00BB3E17"/>
    <w:rsid w:val="00BB3ECF"/>
    <w:rsid w:val="00BB4012"/>
    <w:rsid w:val="00BB4310"/>
    <w:rsid w:val="00BB4569"/>
    <w:rsid w:val="00BB4681"/>
    <w:rsid w:val="00BB4747"/>
    <w:rsid w:val="00BB47B6"/>
    <w:rsid w:val="00BB48CE"/>
    <w:rsid w:val="00BB48FD"/>
    <w:rsid w:val="00BB49AA"/>
    <w:rsid w:val="00BB4AFF"/>
    <w:rsid w:val="00BB4CA6"/>
    <w:rsid w:val="00BB50DE"/>
    <w:rsid w:val="00BB511B"/>
    <w:rsid w:val="00BB5270"/>
    <w:rsid w:val="00BB52AB"/>
    <w:rsid w:val="00BB55EB"/>
    <w:rsid w:val="00BB560F"/>
    <w:rsid w:val="00BB5A46"/>
    <w:rsid w:val="00BB5A75"/>
    <w:rsid w:val="00BB5A93"/>
    <w:rsid w:val="00BB5B76"/>
    <w:rsid w:val="00BB5D9A"/>
    <w:rsid w:val="00BB5DC8"/>
    <w:rsid w:val="00BB5F06"/>
    <w:rsid w:val="00BB5F34"/>
    <w:rsid w:val="00BB61D2"/>
    <w:rsid w:val="00BB65C9"/>
    <w:rsid w:val="00BB65D1"/>
    <w:rsid w:val="00BB65F4"/>
    <w:rsid w:val="00BB6642"/>
    <w:rsid w:val="00BB676F"/>
    <w:rsid w:val="00BB679E"/>
    <w:rsid w:val="00BB68E6"/>
    <w:rsid w:val="00BB69C1"/>
    <w:rsid w:val="00BB6B32"/>
    <w:rsid w:val="00BB6D14"/>
    <w:rsid w:val="00BB6D9E"/>
    <w:rsid w:val="00BB6E76"/>
    <w:rsid w:val="00BB6F07"/>
    <w:rsid w:val="00BB6F5E"/>
    <w:rsid w:val="00BB7155"/>
    <w:rsid w:val="00BB7203"/>
    <w:rsid w:val="00BB724D"/>
    <w:rsid w:val="00BB754B"/>
    <w:rsid w:val="00BB76C0"/>
    <w:rsid w:val="00BB77FD"/>
    <w:rsid w:val="00BB78AC"/>
    <w:rsid w:val="00BB7A52"/>
    <w:rsid w:val="00BB7B4C"/>
    <w:rsid w:val="00BB7C0E"/>
    <w:rsid w:val="00BB7C73"/>
    <w:rsid w:val="00BB7D79"/>
    <w:rsid w:val="00BB7DE6"/>
    <w:rsid w:val="00BB7E9A"/>
    <w:rsid w:val="00BC028E"/>
    <w:rsid w:val="00BC0308"/>
    <w:rsid w:val="00BC03D3"/>
    <w:rsid w:val="00BC070B"/>
    <w:rsid w:val="00BC0727"/>
    <w:rsid w:val="00BC07DA"/>
    <w:rsid w:val="00BC0ADD"/>
    <w:rsid w:val="00BC0CC1"/>
    <w:rsid w:val="00BC0CE6"/>
    <w:rsid w:val="00BC0E2F"/>
    <w:rsid w:val="00BC1032"/>
    <w:rsid w:val="00BC1159"/>
    <w:rsid w:val="00BC12BC"/>
    <w:rsid w:val="00BC139F"/>
    <w:rsid w:val="00BC13F1"/>
    <w:rsid w:val="00BC1425"/>
    <w:rsid w:val="00BC14EB"/>
    <w:rsid w:val="00BC1AB2"/>
    <w:rsid w:val="00BC1BE8"/>
    <w:rsid w:val="00BC1C15"/>
    <w:rsid w:val="00BC1F5B"/>
    <w:rsid w:val="00BC1FA5"/>
    <w:rsid w:val="00BC1FE9"/>
    <w:rsid w:val="00BC2192"/>
    <w:rsid w:val="00BC237E"/>
    <w:rsid w:val="00BC23D8"/>
    <w:rsid w:val="00BC24B6"/>
    <w:rsid w:val="00BC259A"/>
    <w:rsid w:val="00BC25AC"/>
    <w:rsid w:val="00BC2665"/>
    <w:rsid w:val="00BC280B"/>
    <w:rsid w:val="00BC2839"/>
    <w:rsid w:val="00BC290D"/>
    <w:rsid w:val="00BC29E4"/>
    <w:rsid w:val="00BC2E4A"/>
    <w:rsid w:val="00BC2EE3"/>
    <w:rsid w:val="00BC2F07"/>
    <w:rsid w:val="00BC2FB9"/>
    <w:rsid w:val="00BC326A"/>
    <w:rsid w:val="00BC331A"/>
    <w:rsid w:val="00BC3346"/>
    <w:rsid w:val="00BC3543"/>
    <w:rsid w:val="00BC3568"/>
    <w:rsid w:val="00BC359F"/>
    <w:rsid w:val="00BC3A4F"/>
    <w:rsid w:val="00BC3BAA"/>
    <w:rsid w:val="00BC3C61"/>
    <w:rsid w:val="00BC3D53"/>
    <w:rsid w:val="00BC3D9F"/>
    <w:rsid w:val="00BC3F98"/>
    <w:rsid w:val="00BC40A2"/>
    <w:rsid w:val="00BC4407"/>
    <w:rsid w:val="00BC4495"/>
    <w:rsid w:val="00BC451D"/>
    <w:rsid w:val="00BC463F"/>
    <w:rsid w:val="00BC48DE"/>
    <w:rsid w:val="00BC496F"/>
    <w:rsid w:val="00BC4AB2"/>
    <w:rsid w:val="00BC4CF3"/>
    <w:rsid w:val="00BC513D"/>
    <w:rsid w:val="00BC5205"/>
    <w:rsid w:val="00BC5491"/>
    <w:rsid w:val="00BC56A9"/>
    <w:rsid w:val="00BC573A"/>
    <w:rsid w:val="00BC5945"/>
    <w:rsid w:val="00BC5953"/>
    <w:rsid w:val="00BC5A3B"/>
    <w:rsid w:val="00BC5A5B"/>
    <w:rsid w:val="00BC5AEE"/>
    <w:rsid w:val="00BC5B45"/>
    <w:rsid w:val="00BC5BAB"/>
    <w:rsid w:val="00BC5CC9"/>
    <w:rsid w:val="00BC5DC2"/>
    <w:rsid w:val="00BC613A"/>
    <w:rsid w:val="00BC62BB"/>
    <w:rsid w:val="00BC62D5"/>
    <w:rsid w:val="00BC6402"/>
    <w:rsid w:val="00BC642F"/>
    <w:rsid w:val="00BC6625"/>
    <w:rsid w:val="00BC6636"/>
    <w:rsid w:val="00BC6651"/>
    <w:rsid w:val="00BC6782"/>
    <w:rsid w:val="00BC682C"/>
    <w:rsid w:val="00BC69EE"/>
    <w:rsid w:val="00BC6A60"/>
    <w:rsid w:val="00BC6A91"/>
    <w:rsid w:val="00BC6AD1"/>
    <w:rsid w:val="00BC6BAA"/>
    <w:rsid w:val="00BC6E84"/>
    <w:rsid w:val="00BC6F23"/>
    <w:rsid w:val="00BC6F26"/>
    <w:rsid w:val="00BC6F65"/>
    <w:rsid w:val="00BC7120"/>
    <w:rsid w:val="00BC728E"/>
    <w:rsid w:val="00BC735A"/>
    <w:rsid w:val="00BC7716"/>
    <w:rsid w:val="00BC78EC"/>
    <w:rsid w:val="00BC792B"/>
    <w:rsid w:val="00BC795A"/>
    <w:rsid w:val="00BC7A7B"/>
    <w:rsid w:val="00BC7A86"/>
    <w:rsid w:val="00BC7ACD"/>
    <w:rsid w:val="00BC7B8A"/>
    <w:rsid w:val="00BD001C"/>
    <w:rsid w:val="00BD016F"/>
    <w:rsid w:val="00BD0579"/>
    <w:rsid w:val="00BD068C"/>
    <w:rsid w:val="00BD073F"/>
    <w:rsid w:val="00BD0743"/>
    <w:rsid w:val="00BD0804"/>
    <w:rsid w:val="00BD083C"/>
    <w:rsid w:val="00BD0A4F"/>
    <w:rsid w:val="00BD0CFC"/>
    <w:rsid w:val="00BD0F3E"/>
    <w:rsid w:val="00BD0FE3"/>
    <w:rsid w:val="00BD117A"/>
    <w:rsid w:val="00BD12EB"/>
    <w:rsid w:val="00BD1408"/>
    <w:rsid w:val="00BD155F"/>
    <w:rsid w:val="00BD161A"/>
    <w:rsid w:val="00BD1668"/>
    <w:rsid w:val="00BD2152"/>
    <w:rsid w:val="00BD21B3"/>
    <w:rsid w:val="00BD22F9"/>
    <w:rsid w:val="00BD23B1"/>
    <w:rsid w:val="00BD2425"/>
    <w:rsid w:val="00BD2A24"/>
    <w:rsid w:val="00BD2B9D"/>
    <w:rsid w:val="00BD2C43"/>
    <w:rsid w:val="00BD2DA3"/>
    <w:rsid w:val="00BD2F11"/>
    <w:rsid w:val="00BD2F5C"/>
    <w:rsid w:val="00BD305A"/>
    <w:rsid w:val="00BD3081"/>
    <w:rsid w:val="00BD3100"/>
    <w:rsid w:val="00BD3253"/>
    <w:rsid w:val="00BD3289"/>
    <w:rsid w:val="00BD3429"/>
    <w:rsid w:val="00BD3552"/>
    <w:rsid w:val="00BD35F4"/>
    <w:rsid w:val="00BD376C"/>
    <w:rsid w:val="00BD37D4"/>
    <w:rsid w:val="00BD37DC"/>
    <w:rsid w:val="00BD3801"/>
    <w:rsid w:val="00BD3953"/>
    <w:rsid w:val="00BD3A08"/>
    <w:rsid w:val="00BD3B26"/>
    <w:rsid w:val="00BD3BAD"/>
    <w:rsid w:val="00BD3C21"/>
    <w:rsid w:val="00BD3D10"/>
    <w:rsid w:val="00BD3F3C"/>
    <w:rsid w:val="00BD3F72"/>
    <w:rsid w:val="00BD40AB"/>
    <w:rsid w:val="00BD42C1"/>
    <w:rsid w:val="00BD430A"/>
    <w:rsid w:val="00BD43F3"/>
    <w:rsid w:val="00BD4405"/>
    <w:rsid w:val="00BD446C"/>
    <w:rsid w:val="00BD44A9"/>
    <w:rsid w:val="00BD450A"/>
    <w:rsid w:val="00BD4B09"/>
    <w:rsid w:val="00BD4C0A"/>
    <w:rsid w:val="00BD4EC6"/>
    <w:rsid w:val="00BD50D0"/>
    <w:rsid w:val="00BD51AC"/>
    <w:rsid w:val="00BD52E2"/>
    <w:rsid w:val="00BD53F5"/>
    <w:rsid w:val="00BD5422"/>
    <w:rsid w:val="00BD5491"/>
    <w:rsid w:val="00BD5494"/>
    <w:rsid w:val="00BD56A6"/>
    <w:rsid w:val="00BD574D"/>
    <w:rsid w:val="00BD57EC"/>
    <w:rsid w:val="00BD5B98"/>
    <w:rsid w:val="00BD5D59"/>
    <w:rsid w:val="00BD5D88"/>
    <w:rsid w:val="00BD619C"/>
    <w:rsid w:val="00BD6469"/>
    <w:rsid w:val="00BD663D"/>
    <w:rsid w:val="00BD664E"/>
    <w:rsid w:val="00BD6650"/>
    <w:rsid w:val="00BD677B"/>
    <w:rsid w:val="00BD6B5E"/>
    <w:rsid w:val="00BD6B6F"/>
    <w:rsid w:val="00BD6B88"/>
    <w:rsid w:val="00BD6CC1"/>
    <w:rsid w:val="00BD6D9F"/>
    <w:rsid w:val="00BD6DDD"/>
    <w:rsid w:val="00BD6E7D"/>
    <w:rsid w:val="00BD702F"/>
    <w:rsid w:val="00BD71B8"/>
    <w:rsid w:val="00BD7223"/>
    <w:rsid w:val="00BD723D"/>
    <w:rsid w:val="00BD72E0"/>
    <w:rsid w:val="00BD7408"/>
    <w:rsid w:val="00BD74D4"/>
    <w:rsid w:val="00BD7757"/>
    <w:rsid w:val="00BD7D6E"/>
    <w:rsid w:val="00BD7E88"/>
    <w:rsid w:val="00BE019A"/>
    <w:rsid w:val="00BE01A0"/>
    <w:rsid w:val="00BE01F1"/>
    <w:rsid w:val="00BE02EE"/>
    <w:rsid w:val="00BE02F4"/>
    <w:rsid w:val="00BE04CB"/>
    <w:rsid w:val="00BE0830"/>
    <w:rsid w:val="00BE109B"/>
    <w:rsid w:val="00BE1685"/>
    <w:rsid w:val="00BE16DE"/>
    <w:rsid w:val="00BE18B7"/>
    <w:rsid w:val="00BE18D2"/>
    <w:rsid w:val="00BE1955"/>
    <w:rsid w:val="00BE1B22"/>
    <w:rsid w:val="00BE2077"/>
    <w:rsid w:val="00BE2270"/>
    <w:rsid w:val="00BE22CD"/>
    <w:rsid w:val="00BE23F2"/>
    <w:rsid w:val="00BE243A"/>
    <w:rsid w:val="00BE2519"/>
    <w:rsid w:val="00BE25FB"/>
    <w:rsid w:val="00BE28EE"/>
    <w:rsid w:val="00BE2927"/>
    <w:rsid w:val="00BE2949"/>
    <w:rsid w:val="00BE2B35"/>
    <w:rsid w:val="00BE2C40"/>
    <w:rsid w:val="00BE2C7F"/>
    <w:rsid w:val="00BE2E59"/>
    <w:rsid w:val="00BE32D8"/>
    <w:rsid w:val="00BE33F5"/>
    <w:rsid w:val="00BE348E"/>
    <w:rsid w:val="00BE379E"/>
    <w:rsid w:val="00BE3A5B"/>
    <w:rsid w:val="00BE3ABA"/>
    <w:rsid w:val="00BE3EDB"/>
    <w:rsid w:val="00BE3FD6"/>
    <w:rsid w:val="00BE41FC"/>
    <w:rsid w:val="00BE4204"/>
    <w:rsid w:val="00BE4324"/>
    <w:rsid w:val="00BE4408"/>
    <w:rsid w:val="00BE454E"/>
    <w:rsid w:val="00BE4615"/>
    <w:rsid w:val="00BE4752"/>
    <w:rsid w:val="00BE4858"/>
    <w:rsid w:val="00BE4973"/>
    <w:rsid w:val="00BE4A06"/>
    <w:rsid w:val="00BE4A70"/>
    <w:rsid w:val="00BE4C18"/>
    <w:rsid w:val="00BE4DDB"/>
    <w:rsid w:val="00BE4E67"/>
    <w:rsid w:val="00BE501D"/>
    <w:rsid w:val="00BE515E"/>
    <w:rsid w:val="00BE5197"/>
    <w:rsid w:val="00BE519B"/>
    <w:rsid w:val="00BE5239"/>
    <w:rsid w:val="00BE5323"/>
    <w:rsid w:val="00BE5568"/>
    <w:rsid w:val="00BE569C"/>
    <w:rsid w:val="00BE570A"/>
    <w:rsid w:val="00BE570D"/>
    <w:rsid w:val="00BE575D"/>
    <w:rsid w:val="00BE5769"/>
    <w:rsid w:val="00BE5855"/>
    <w:rsid w:val="00BE59E3"/>
    <w:rsid w:val="00BE5B26"/>
    <w:rsid w:val="00BE5B27"/>
    <w:rsid w:val="00BE5CBE"/>
    <w:rsid w:val="00BE5D73"/>
    <w:rsid w:val="00BE5DB1"/>
    <w:rsid w:val="00BE5E50"/>
    <w:rsid w:val="00BE601D"/>
    <w:rsid w:val="00BE61A7"/>
    <w:rsid w:val="00BE624C"/>
    <w:rsid w:val="00BE6360"/>
    <w:rsid w:val="00BE64A6"/>
    <w:rsid w:val="00BE665F"/>
    <w:rsid w:val="00BE67BA"/>
    <w:rsid w:val="00BE692B"/>
    <w:rsid w:val="00BE6A0D"/>
    <w:rsid w:val="00BE6A28"/>
    <w:rsid w:val="00BE6A4B"/>
    <w:rsid w:val="00BE6B4C"/>
    <w:rsid w:val="00BE6BAE"/>
    <w:rsid w:val="00BE6C21"/>
    <w:rsid w:val="00BE6C39"/>
    <w:rsid w:val="00BE6D91"/>
    <w:rsid w:val="00BE7088"/>
    <w:rsid w:val="00BE7188"/>
    <w:rsid w:val="00BE718B"/>
    <w:rsid w:val="00BE757C"/>
    <w:rsid w:val="00BE75B8"/>
    <w:rsid w:val="00BE765B"/>
    <w:rsid w:val="00BE767B"/>
    <w:rsid w:val="00BE76C7"/>
    <w:rsid w:val="00BE7776"/>
    <w:rsid w:val="00BE77D0"/>
    <w:rsid w:val="00BE7991"/>
    <w:rsid w:val="00BE79A2"/>
    <w:rsid w:val="00BE7A33"/>
    <w:rsid w:val="00BE7A4A"/>
    <w:rsid w:val="00BE7B93"/>
    <w:rsid w:val="00BE7DF1"/>
    <w:rsid w:val="00BE7E10"/>
    <w:rsid w:val="00BE7E62"/>
    <w:rsid w:val="00BE7ECF"/>
    <w:rsid w:val="00BF0068"/>
    <w:rsid w:val="00BF06EB"/>
    <w:rsid w:val="00BF0729"/>
    <w:rsid w:val="00BF0771"/>
    <w:rsid w:val="00BF0848"/>
    <w:rsid w:val="00BF0951"/>
    <w:rsid w:val="00BF0D35"/>
    <w:rsid w:val="00BF0D78"/>
    <w:rsid w:val="00BF0F29"/>
    <w:rsid w:val="00BF12B2"/>
    <w:rsid w:val="00BF15DE"/>
    <w:rsid w:val="00BF161D"/>
    <w:rsid w:val="00BF193B"/>
    <w:rsid w:val="00BF1993"/>
    <w:rsid w:val="00BF2399"/>
    <w:rsid w:val="00BF239F"/>
    <w:rsid w:val="00BF23CA"/>
    <w:rsid w:val="00BF24E6"/>
    <w:rsid w:val="00BF25EA"/>
    <w:rsid w:val="00BF25F6"/>
    <w:rsid w:val="00BF26C7"/>
    <w:rsid w:val="00BF26DA"/>
    <w:rsid w:val="00BF2744"/>
    <w:rsid w:val="00BF280E"/>
    <w:rsid w:val="00BF2845"/>
    <w:rsid w:val="00BF2B2C"/>
    <w:rsid w:val="00BF2B42"/>
    <w:rsid w:val="00BF2C61"/>
    <w:rsid w:val="00BF2C6D"/>
    <w:rsid w:val="00BF2C7B"/>
    <w:rsid w:val="00BF2E13"/>
    <w:rsid w:val="00BF2E7F"/>
    <w:rsid w:val="00BF2F8C"/>
    <w:rsid w:val="00BF2FAA"/>
    <w:rsid w:val="00BF3007"/>
    <w:rsid w:val="00BF3049"/>
    <w:rsid w:val="00BF3164"/>
    <w:rsid w:val="00BF3314"/>
    <w:rsid w:val="00BF33FA"/>
    <w:rsid w:val="00BF356E"/>
    <w:rsid w:val="00BF36BA"/>
    <w:rsid w:val="00BF36BB"/>
    <w:rsid w:val="00BF3823"/>
    <w:rsid w:val="00BF393C"/>
    <w:rsid w:val="00BF3970"/>
    <w:rsid w:val="00BF3B09"/>
    <w:rsid w:val="00BF3D8F"/>
    <w:rsid w:val="00BF3F7A"/>
    <w:rsid w:val="00BF4358"/>
    <w:rsid w:val="00BF44B5"/>
    <w:rsid w:val="00BF452F"/>
    <w:rsid w:val="00BF454D"/>
    <w:rsid w:val="00BF45D1"/>
    <w:rsid w:val="00BF4905"/>
    <w:rsid w:val="00BF4A90"/>
    <w:rsid w:val="00BF4C44"/>
    <w:rsid w:val="00BF4CB8"/>
    <w:rsid w:val="00BF4D99"/>
    <w:rsid w:val="00BF4E79"/>
    <w:rsid w:val="00BF50C0"/>
    <w:rsid w:val="00BF52B5"/>
    <w:rsid w:val="00BF5454"/>
    <w:rsid w:val="00BF552A"/>
    <w:rsid w:val="00BF582A"/>
    <w:rsid w:val="00BF5883"/>
    <w:rsid w:val="00BF59C1"/>
    <w:rsid w:val="00BF5B01"/>
    <w:rsid w:val="00BF5B2E"/>
    <w:rsid w:val="00BF5B35"/>
    <w:rsid w:val="00BF5BD0"/>
    <w:rsid w:val="00BF5BD9"/>
    <w:rsid w:val="00BF6095"/>
    <w:rsid w:val="00BF62E6"/>
    <w:rsid w:val="00BF63F5"/>
    <w:rsid w:val="00BF6451"/>
    <w:rsid w:val="00BF64CF"/>
    <w:rsid w:val="00BF6513"/>
    <w:rsid w:val="00BF6516"/>
    <w:rsid w:val="00BF652C"/>
    <w:rsid w:val="00BF6631"/>
    <w:rsid w:val="00BF672A"/>
    <w:rsid w:val="00BF67CF"/>
    <w:rsid w:val="00BF697B"/>
    <w:rsid w:val="00BF6EFA"/>
    <w:rsid w:val="00BF6F30"/>
    <w:rsid w:val="00BF6FA0"/>
    <w:rsid w:val="00BF7140"/>
    <w:rsid w:val="00BF71B7"/>
    <w:rsid w:val="00BF7206"/>
    <w:rsid w:val="00BF742D"/>
    <w:rsid w:val="00BF77B2"/>
    <w:rsid w:val="00BF7884"/>
    <w:rsid w:val="00BF793E"/>
    <w:rsid w:val="00BF79A4"/>
    <w:rsid w:val="00BF7B73"/>
    <w:rsid w:val="00BF7B9E"/>
    <w:rsid w:val="00BF7D2F"/>
    <w:rsid w:val="00BF7DC8"/>
    <w:rsid w:val="00BF7DE5"/>
    <w:rsid w:val="00BF7E82"/>
    <w:rsid w:val="00C00097"/>
    <w:rsid w:val="00C000AF"/>
    <w:rsid w:val="00C000D1"/>
    <w:rsid w:val="00C000EE"/>
    <w:rsid w:val="00C001DD"/>
    <w:rsid w:val="00C00308"/>
    <w:rsid w:val="00C00430"/>
    <w:rsid w:val="00C00729"/>
    <w:rsid w:val="00C00855"/>
    <w:rsid w:val="00C0089E"/>
    <w:rsid w:val="00C00ACF"/>
    <w:rsid w:val="00C00B13"/>
    <w:rsid w:val="00C010DC"/>
    <w:rsid w:val="00C01121"/>
    <w:rsid w:val="00C011A4"/>
    <w:rsid w:val="00C0135C"/>
    <w:rsid w:val="00C015AA"/>
    <w:rsid w:val="00C01611"/>
    <w:rsid w:val="00C0167A"/>
    <w:rsid w:val="00C017AE"/>
    <w:rsid w:val="00C017C1"/>
    <w:rsid w:val="00C01883"/>
    <w:rsid w:val="00C01B9B"/>
    <w:rsid w:val="00C01C51"/>
    <w:rsid w:val="00C01CB9"/>
    <w:rsid w:val="00C01DE0"/>
    <w:rsid w:val="00C01E10"/>
    <w:rsid w:val="00C01E81"/>
    <w:rsid w:val="00C02156"/>
    <w:rsid w:val="00C022D9"/>
    <w:rsid w:val="00C0236F"/>
    <w:rsid w:val="00C0255D"/>
    <w:rsid w:val="00C0268D"/>
    <w:rsid w:val="00C026E8"/>
    <w:rsid w:val="00C02716"/>
    <w:rsid w:val="00C02750"/>
    <w:rsid w:val="00C028E6"/>
    <w:rsid w:val="00C02A69"/>
    <w:rsid w:val="00C02A7F"/>
    <w:rsid w:val="00C02B85"/>
    <w:rsid w:val="00C02C77"/>
    <w:rsid w:val="00C02D09"/>
    <w:rsid w:val="00C02DC7"/>
    <w:rsid w:val="00C02E74"/>
    <w:rsid w:val="00C02FD9"/>
    <w:rsid w:val="00C02FDD"/>
    <w:rsid w:val="00C03065"/>
    <w:rsid w:val="00C031A6"/>
    <w:rsid w:val="00C033AE"/>
    <w:rsid w:val="00C033D0"/>
    <w:rsid w:val="00C033DE"/>
    <w:rsid w:val="00C033FA"/>
    <w:rsid w:val="00C033FE"/>
    <w:rsid w:val="00C0349F"/>
    <w:rsid w:val="00C03552"/>
    <w:rsid w:val="00C03657"/>
    <w:rsid w:val="00C03895"/>
    <w:rsid w:val="00C03939"/>
    <w:rsid w:val="00C039A4"/>
    <w:rsid w:val="00C03B09"/>
    <w:rsid w:val="00C03BB6"/>
    <w:rsid w:val="00C03BE6"/>
    <w:rsid w:val="00C03EAE"/>
    <w:rsid w:val="00C04034"/>
    <w:rsid w:val="00C0404D"/>
    <w:rsid w:val="00C04057"/>
    <w:rsid w:val="00C041F6"/>
    <w:rsid w:val="00C0423D"/>
    <w:rsid w:val="00C043BD"/>
    <w:rsid w:val="00C0447E"/>
    <w:rsid w:val="00C044E0"/>
    <w:rsid w:val="00C04555"/>
    <w:rsid w:val="00C04659"/>
    <w:rsid w:val="00C0477B"/>
    <w:rsid w:val="00C04792"/>
    <w:rsid w:val="00C04AA9"/>
    <w:rsid w:val="00C04B8A"/>
    <w:rsid w:val="00C04E4F"/>
    <w:rsid w:val="00C04E75"/>
    <w:rsid w:val="00C04F54"/>
    <w:rsid w:val="00C0518E"/>
    <w:rsid w:val="00C0532B"/>
    <w:rsid w:val="00C05387"/>
    <w:rsid w:val="00C053AC"/>
    <w:rsid w:val="00C053ED"/>
    <w:rsid w:val="00C05403"/>
    <w:rsid w:val="00C055A9"/>
    <w:rsid w:val="00C0572E"/>
    <w:rsid w:val="00C0577D"/>
    <w:rsid w:val="00C05823"/>
    <w:rsid w:val="00C05C0D"/>
    <w:rsid w:val="00C05C8E"/>
    <w:rsid w:val="00C05D35"/>
    <w:rsid w:val="00C05E40"/>
    <w:rsid w:val="00C05F47"/>
    <w:rsid w:val="00C05FA0"/>
    <w:rsid w:val="00C0607A"/>
    <w:rsid w:val="00C060DA"/>
    <w:rsid w:val="00C0629B"/>
    <w:rsid w:val="00C06378"/>
    <w:rsid w:val="00C06527"/>
    <w:rsid w:val="00C06794"/>
    <w:rsid w:val="00C06A6E"/>
    <w:rsid w:val="00C06B91"/>
    <w:rsid w:val="00C06C22"/>
    <w:rsid w:val="00C06DCE"/>
    <w:rsid w:val="00C06E7F"/>
    <w:rsid w:val="00C06EC8"/>
    <w:rsid w:val="00C06F29"/>
    <w:rsid w:val="00C06F69"/>
    <w:rsid w:val="00C0707B"/>
    <w:rsid w:val="00C071E7"/>
    <w:rsid w:val="00C07220"/>
    <w:rsid w:val="00C072AD"/>
    <w:rsid w:val="00C073BC"/>
    <w:rsid w:val="00C0745D"/>
    <w:rsid w:val="00C07622"/>
    <w:rsid w:val="00C0765C"/>
    <w:rsid w:val="00C076B2"/>
    <w:rsid w:val="00C07725"/>
    <w:rsid w:val="00C07AD0"/>
    <w:rsid w:val="00C07AD3"/>
    <w:rsid w:val="00C07AF9"/>
    <w:rsid w:val="00C07B4C"/>
    <w:rsid w:val="00C07D82"/>
    <w:rsid w:val="00C07D87"/>
    <w:rsid w:val="00C07E72"/>
    <w:rsid w:val="00C07E88"/>
    <w:rsid w:val="00C1007B"/>
    <w:rsid w:val="00C10369"/>
    <w:rsid w:val="00C105E4"/>
    <w:rsid w:val="00C10658"/>
    <w:rsid w:val="00C1086A"/>
    <w:rsid w:val="00C108A3"/>
    <w:rsid w:val="00C10A76"/>
    <w:rsid w:val="00C10BF5"/>
    <w:rsid w:val="00C10CB8"/>
    <w:rsid w:val="00C10CFA"/>
    <w:rsid w:val="00C10EF9"/>
    <w:rsid w:val="00C110FF"/>
    <w:rsid w:val="00C11168"/>
    <w:rsid w:val="00C113D3"/>
    <w:rsid w:val="00C11452"/>
    <w:rsid w:val="00C1172C"/>
    <w:rsid w:val="00C11819"/>
    <w:rsid w:val="00C118BA"/>
    <w:rsid w:val="00C1193F"/>
    <w:rsid w:val="00C11AC9"/>
    <w:rsid w:val="00C11B8E"/>
    <w:rsid w:val="00C11B94"/>
    <w:rsid w:val="00C11C04"/>
    <w:rsid w:val="00C11ED6"/>
    <w:rsid w:val="00C12349"/>
    <w:rsid w:val="00C123AD"/>
    <w:rsid w:val="00C12820"/>
    <w:rsid w:val="00C12853"/>
    <w:rsid w:val="00C12925"/>
    <w:rsid w:val="00C12998"/>
    <w:rsid w:val="00C129E7"/>
    <w:rsid w:val="00C12B8B"/>
    <w:rsid w:val="00C12BEE"/>
    <w:rsid w:val="00C12C15"/>
    <w:rsid w:val="00C12D1A"/>
    <w:rsid w:val="00C13190"/>
    <w:rsid w:val="00C13207"/>
    <w:rsid w:val="00C13256"/>
    <w:rsid w:val="00C133EE"/>
    <w:rsid w:val="00C1340A"/>
    <w:rsid w:val="00C13590"/>
    <w:rsid w:val="00C13633"/>
    <w:rsid w:val="00C139D3"/>
    <w:rsid w:val="00C13C68"/>
    <w:rsid w:val="00C13EE9"/>
    <w:rsid w:val="00C13F67"/>
    <w:rsid w:val="00C1417B"/>
    <w:rsid w:val="00C14199"/>
    <w:rsid w:val="00C142EF"/>
    <w:rsid w:val="00C14305"/>
    <w:rsid w:val="00C145A2"/>
    <w:rsid w:val="00C147D7"/>
    <w:rsid w:val="00C14800"/>
    <w:rsid w:val="00C148B4"/>
    <w:rsid w:val="00C14B79"/>
    <w:rsid w:val="00C14BB7"/>
    <w:rsid w:val="00C14C31"/>
    <w:rsid w:val="00C14E56"/>
    <w:rsid w:val="00C14F72"/>
    <w:rsid w:val="00C15041"/>
    <w:rsid w:val="00C150D8"/>
    <w:rsid w:val="00C152F7"/>
    <w:rsid w:val="00C153A3"/>
    <w:rsid w:val="00C1546B"/>
    <w:rsid w:val="00C154C6"/>
    <w:rsid w:val="00C155D5"/>
    <w:rsid w:val="00C15627"/>
    <w:rsid w:val="00C15682"/>
    <w:rsid w:val="00C156C4"/>
    <w:rsid w:val="00C157B5"/>
    <w:rsid w:val="00C15909"/>
    <w:rsid w:val="00C1596F"/>
    <w:rsid w:val="00C15AC1"/>
    <w:rsid w:val="00C15AE4"/>
    <w:rsid w:val="00C15B24"/>
    <w:rsid w:val="00C15B3F"/>
    <w:rsid w:val="00C15C45"/>
    <w:rsid w:val="00C15C99"/>
    <w:rsid w:val="00C15D04"/>
    <w:rsid w:val="00C15D63"/>
    <w:rsid w:val="00C15DBA"/>
    <w:rsid w:val="00C1604E"/>
    <w:rsid w:val="00C16094"/>
    <w:rsid w:val="00C161B5"/>
    <w:rsid w:val="00C164A2"/>
    <w:rsid w:val="00C1656F"/>
    <w:rsid w:val="00C166C2"/>
    <w:rsid w:val="00C1687A"/>
    <w:rsid w:val="00C1690F"/>
    <w:rsid w:val="00C16C68"/>
    <w:rsid w:val="00C16C9A"/>
    <w:rsid w:val="00C16CA6"/>
    <w:rsid w:val="00C16CB0"/>
    <w:rsid w:val="00C16CB5"/>
    <w:rsid w:val="00C16CE0"/>
    <w:rsid w:val="00C170D5"/>
    <w:rsid w:val="00C17174"/>
    <w:rsid w:val="00C171F3"/>
    <w:rsid w:val="00C1727A"/>
    <w:rsid w:val="00C172DF"/>
    <w:rsid w:val="00C1738E"/>
    <w:rsid w:val="00C17552"/>
    <w:rsid w:val="00C175DD"/>
    <w:rsid w:val="00C175EC"/>
    <w:rsid w:val="00C175EF"/>
    <w:rsid w:val="00C1762F"/>
    <w:rsid w:val="00C17773"/>
    <w:rsid w:val="00C17789"/>
    <w:rsid w:val="00C1793A"/>
    <w:rsid w:val="00C17C29"/>
    <w:rsid w:val="00C17CC4"/>
    <w:rsid w:val="00C17E24"/>
    <w:rsid w:val="00C17F55"/>
    <w:rsid w:val="00C20071"/>
    <w:rsid w:val="00C200F2"/>
    <w:rsid w:val="00C2010D"/>
    <w:rsid w:val="00C20458"/>
    <w:rsid w:val="00C2047E"/>
    <w:rsid w:val="00C20532"/>
    <w:rsid w:val="00C20643"/>
    <w:rsid w:val="00C2073D"/>
    <w:rsid w:val="00C207A5"/>
    <w:rsid w:val="00C208BB"/>
    <w:rsid w:val="00C20A11"/>
    <w:rsid w:val="00C20A6A"/>
    <w:rsid w:val="00C20A81"/>
    <w:rsid w:val="00C20C02"/>
    <w:rsid w:val="00C2119F"/>
    <w:rsid w:val="00C2131F"/>
    <w:rsid w:val="00C21333"/>
    <w:rsid w:val="00C2170D"/>
    <w:rsid w:val="00C218BC"/>
    <w:rsid w:val="00C218D9"/>
    <w:rsid w:val="00C21932"/>
    <w:rsid w:val="00C21971"/>
    <w:rsid w:val="00C219ED"/>
    <w:rsid w:val="00C21A2E"/>
    <w:rsid w:val="00C21B1C"/>
    <w:rsid w:val="00C21D3E"/>
    <w:rsid w:val="00C21D77"/>
    <w:rsid w:val="00C21E0F"/>
    <w:rsid w:val="00C21E14"/>
    <w:rsid w:val="00C21E2B"/>
    <w:rsid w:val="00C21F08"/>
    <w:rsid w:val="00C22000"/>
    <w:rsid w:val="00C223EA"/>
    <w:rsid w:val="00C22634"/>
    <w:rsid w:val="00C226A3"/>
    <w:rsid w:val="00C227A6"/>
    <w:rsid w:val="00C2288F"/>
    <w:rsid w:val="00C22968"/>
    <w:rsid w:val="00C229FE"/>
    <w:rsid w:val="00C22C5A"/>
    <w:rsid w:val="00C22DE5"/>
    <w:rsid w:val="00C22EE5"/>
    <w:rsid w:val="00C22F12"/>
    <w:rsid w:val="00C22F43"/>
    <w:rsid w:val="00C23338"/>
    <w:rsid w:val="00C2337B"/>
    <w:rsid w:val="00C23446"/>
    <w:rsid w:val="00C235B8"/>
    <w:rsid w:val="00C235D5"/>
    <w:rsid w:val="00C23619"/>
    <w:rsid w:val="00C237B8"/>
    <w:rsid w:val="00C237CD"/>
    <w:rsid w:val="00C2389C"/>
    <w:rsid w:val="00C238C3"/>
    <w:rsid w:val="00C23B98"/>
    <w:rsid w:val="00C23BD2"/>
    <w:rsid w:val="00C23D2B"/>
    <w:rsid w:val="00C23D76"/>
    <w:rsid w:val="00C23E74"/>
    <w:rsid w:val="00C23E7A"/>
    <w:rsid w:val="00C242C2"/>
    <w:rsid w:val="00C245C4"/>
    <w:rsid w:val="00C247C0"/>
    <w:rsid w:val="00C249E1"/>
    <w:rsid w:val="00C24CB4"/>
    <w:rsid w:val="00C24CB6"/>
    <w:rsid w:val="00C24D1C"/>
    <w:rsid w:val="00C24D29"/>
    <w:rsid w:val="00C24D37"/>
    <w:rsid w:val="00C24EC3"/>
    <w:rsid w:val="00C24F2B"/>
    <w:rsid w:val="00C24F9C"/>
    <w:rsid w:val="00C25169"/>
    <w:rsid w:val="00C251B4"/>
    <w:rsid w:val="00C251F4"/>
    <w:rsid w:val="00C25221"/>
    <w:rsid w:val="00C25223"/>
    <w:rsid w:val="00C253C0"/>
    <w:rsid w:val="00C254C7"/>
    <w:rsid w:val="00C2579F"/>
    <w:rsid w:val="00C25888"/>
    <w:rsid w:val="00C258D8"/>
    <w:rsid w:val="00C259DB"/>
    <w:rsid w:val="00C25A7C"/>
    <w:rsid w:val="00C25B63"/>
    <w:rsid w:val="00C25EC3"/>
    <w:rsid w:val="00C25F6A"/>
    <w:rsid w:val="00C25F98"/>
    <w:rsid w:val="00C2613D"/>
    <w:rsid w:val="00C26432"/>
    <w:rsid w:val="00C264FF"/>
    <w:rsid w:val="00C265BD"/>
    <w:rsid w:val="00C26964"/>
    <w:rsid w:val="00C26B1E"/>
    <w:rsid w:val="00C26DB1"/>
    <w:rsid w:val="00C26DB8"/>
    <w:rsid w:val="00C2701D"/>
    <w:rsid w:val="00C27027"/>
    <w:rsid w:val="00C27039"/>
    <w:rsid w:val="00C27385"/>
    <w:rsid w:val="00C27483"/>
    <w:rsid w:val="00C27516"/>
    <w:rsid w:val="00C275E5"/>
    <w:rsid w:val="00C2769C"/>
    <w:rsid w:val="00C27AD1"/>
    <w:rsid w:val="00C27FCD"/>
    <w:rsid w:val="00C30490"/>
    <w:rsid w:val="00C304AF"/>
    <w:rsid w:val="00C3053E"/>
    <w:rsid w:val="00C3098A"/>
    <w:rsid w:val="00C30A1A"/>
    <w:rsid w:val="00C30BB2"/>
    <w:rsid w:val="00C30BE7"/>
    <w:rsid w:val="00C30CA4"/>
    <w:rsid w:val="00C30F2F"/>
    <w:rsid w:val="00C30FAE"/>
    <w:rsid w:val="00C3107F"/>
    <w:rsid w:val="00C31177"/>
    <w:rsid w:val="00C3137E"/>
    <w:rsid w:val="00C3152C"/>
    <w:rsid w:val="00C315C0"/>
    <w:rsid w:val="00C31714"/>
    <w:rsid w:val="00C31798"/>
    <w:rsid w:val="00C319FC"/>
    <w:rsid w:val="00C31AEF"/>
    <w:rsid w:val="00C31AF3"/>
    <w:rsid w:val="00C31B0C"/>
    <w:rsid w:val="00C31F75"/>
    <w:rsid w:val="00C31FAB"/>
    <w:rsid w:val="00C3205E"/>
    <w:rsid w:val="00C3209C"/>
    <w:rsid w:val="00C321B0"/>
    <w:rsid w:val="00C32202"/>
    <w:rsid w:val="00C323DF"/>
    <w:rsid w:val="00C3251C"/>
    <w:rsid w:val="00C3279F"/>
    <w:rsid w:val="00C327F0"/>
    <w:rsid w:val="00C3282F"/>
    <w:rsid w:val="00C329BF"/>
    <w:rsid w:val="00C32AFF"/>
    <w:rsid w:val="00C32B07"/>
    <w:rsid w:val="00C32B29"/>
    <w:rsid w:val="00C32C2A"/>
    <w:rsid w:val="00C32C98"/>
    <w:rsid w:val="00C33049"/>
    <w:rsid w:val="00C3309E"/>
    <w:rsid w:val="00C3316C"/>
    <w:rsid w:val="00C333FF"/>
    <w:rsid w:val="00C33401"/>
    <w:rsid w:val="00C334DE"/>
    <w:rsid w:val="00C337E7"/>
    <w:rsid w:val="00C33808"/>
    <w:rsid w:val="00C33A36"/>
    <w:rsid w:val="00C33B4D"/>
    <w:rsid w:val="00C33CE8"/>
    <w:rsid w:val="00C33D14"/>
    <w:rsid w:val="00C33D97"/>
    <w:rsid w:val="00C33DA4"/>
    <w:rsid w:val="00C33E82"/>
    <w:rsid w:val="00C33F4B"/>
    <w:rsid w:val="00C34538"/>
    <w:rsid w:val="00C34697"/>
    <w:rsid w:val="00C34824"/>
    <w:rsid w:val="00C34B02"/>
    <w:rsid w:val="00C34B2F"/>
    <w:rsid w:val="00C34B68"/>
    <w:rsid w:val="00C34B82"/>
    <w:rsid w:val="00C34F2D"/>
    <w:rsid w:val="00C34F7F"/>
    <w:rsid w:val="00C35015"/>
    <w:rsid w:val="00C35032"/>
    <w:rsid w:val="00C35091"/>
    <w:rsid w:val="00C3509A"/>
    <w:rsid w:val="00C3510E"/>
    <w:rsid w:val="00C3530F"/>
    <w:rsid w:val="00C35330"/>
    <w:rsid w:val="00C35387"/>
    <w:rsid w:val="00C3542B"/>
    <w:rsid w:val="00C356AE"/>
    <w:rsid w:val="00C35702"/>
    <w:rsid w:val="00C3577D"/>
    <w:rsid w:val="00C3583C"/>
    <w:rsid w:val="00C3588E"/>
    <w:rsid w:val="00C35A99"/>
    <w:rsid w:val="00C35AE3"/>
    <w:rsid w:val="00C35D9F"/>
    <w:rsid w:val="00C35DCF"/>
    <w:rsid w:val="00C35F33"/>
    <w:rsid w:val="00C36138"/>
    <w:rsid w:val="00C361DA"/>
    <w:rsid w:val="00C362BD"/>
    <w:rsid w:val="00C36455"/>
    <w:rsid w:val="00C3685F"/>
    <w:rsid w:val="00C368BD"/>
    <w:rsid w:val="00C368E8"/>
    <w:rsid w:val="00C36973"/>
    <w:rsid w:val="00C36A01"/>
    <w:rsid w:val="00C36AB9"/>
    <w:rsid w:val="00C36B04"/>
    <w:rsid w:val="00C36B6F"/>
    <w:rsid w:val="00C36C85"/>
    <w:rsid w:val="00C36C95"/>
    <w:rsid w:val="00C36D90"/>
    <w:rsid w:val="00C36DE1"/>
    <w:rsid w:val="00C36DE8"/>
    <w:rsid w:val="00C36E4D"/>
    <w:rsid w:val="00C36F67"/>
    <w:rsid w:val="00C36FDB"/>
    <w:rsid w:val="00C37043"/>
    <w:rsid w:val="00C370BF"/>
    <w:rsid w:val="00C370E2"/>
    <w:rsid w:val="00C372CC"/>
    <w:rsid w:val="00C374B4"/>
    <w:rsid w:val="00C3765A"/>
    <w:rsid w:val="00C37695"/>
    <w:rsid w:val="00C37731"/>
    <w:rsid w:val="00C377A5"/>
    <w:rsid w:val="00C377AE"/>
    <w:rsid w:val="00C37894"/>
    <w:rsid w:val="00C37A5C"/>
    <w:rsid w:val="00C37AE1"/>
    <w:rsid w:val="00C37BE2"/>
    <w:rsid w:val="00C37ED7"/>
    <w:rsid w:val="00C37F35"/>
    <w:rsid w:val="00C40076"/>
    <w:rsid w:val="00C403A5"/>
    <w:rsid w:val="00C403DF"/>
    <w:rsid w:val="00C40423"/>
    <w:rsid w:val="00C4051F"/>
    <w:rsid w:val="00C4055A"/>
    <w:rsid w:val="00C406BB"/>
    <w:rsid w:val="00C406BE"/>
    <w:rsid w:val="00C40A3C"/>
    <w:rsid w:val="00C40AA0"/>
    <w:rsid w:val="00C40B4D"/>
    <w:rsid w:val="00C40DEE"/>
    <w:rsid w:val="00C40E60"/>
    <w:rsid w:val="00C41067"/>
    <w:rsid w:val="00C4131B"/>
    <w:rsid w:val="00C41349"/>
    <w:rsid w:val="00C41407"/>
    <w:rsid w:val="00C41584"/>
    <w:rsid w:val="00C4188A"/>
    <w:rsid w:val="00C419D5"/>
    <w:rsid w:val="00C41ABB"/>
    <w:rsid w:val="00C41C4A"/>
    <w:rsid w:val="00C41C99"/>
    <w:rsid w:val="00C41E3E"/>
    <w:rsid w:val="00C41EA0"/>
    <w:rsid w:val="00C41EC0"/>
    <w:rsid w:val="00C420A0"/>
    <w:rsid w:val="00C420BC"/>
    <w:rsid w:val="00C42729"/>
    <w:rsid w:val="00C42B70"/>
    <w:rsid w:val="00C42BAB"/>
    <w:rsid w:val="00C42C63"/>
    <w:rsid w:val="00C42D37"/>
    <w:rsid w:val="00C42E4F"/>
    <w:rsid w:val="00C42EE7"/>
    <w:rsid w:val="00C42F34"/>
    <w:rsid w:val="00C42F7F"/>
    <w:rsid w:val="00C43038"/>
    <w:rsid w:val="00C43113"/>
    <w:rsid w:val="00C431FE"/>
    <w:rsid w:val="00C4325B"/>
    <w:rsid w:val="00C433A1"/>
    <w:rsid w:val="00C43418"/>
    <w:rsid w:val="00C434A7"/>
    <w:rsid w:val="00C43603"/>
    <w:rsid w:val="00C436EA"/>
    <w:rsid w:val="00C437D6"/>
    <w:rsid w:val="00C438A7"/>
    <w:rsid w:val="00C43AAF"/>
    <w:rsid w:val="00C43AF6"/>
    <w:rsid w:val="00C43B05"/>
    <w:rsid w:val="00C43D7B"/>
    <w:rsid w:val="00C43EEE"/>
    <w:rsid w:val="00C43FA5"/>
    <w:rsid w:val="00C4400F"/>
    <w:rsid w:val="00C440A5"/>
    <w:rsid w:val="00C441AE"/>
    <w:rsid w:val="00C44200"/>
    <w:rsid w:val="00C44344"/>
    <w:rsid w:val="00C443BC"/>
    <w:rsid w:val="00C44411"/>
    <w:rsid w:val="00C44443"/>
    <w:rsid w:val="00C44518"/>
    <w:rsid w:val="00C445D3"/>
    <w:rsid w:val="00C445F0"/>
    <w:rsid w:val="00C44627"/>
    <w:rsid w:val="00C44649"/>
    <w:rsid w:val="00C446B4"/>
    <w:rsid w:val="00C44CA5"/>
    <w:rsid w:val="00C44D64"/>
    <w:rsid w:val="00C44EA0"/>
    <w:rsid w:val="00C44EDB"/>
    <w:rsid w:val="00C45104"/>
    <w:rsid w:val="00C4520D"/>
    <w:rsid w:val="00C45236"/>
    <w:rsid w:val="00C45247"/>
    <w:rsid w:val="00C45367"/>
    <w:rsid w:val="00C453ED"/>
    <w:rsid w:val="00C45479"/>
    <w:rsid w:val="00C454FE"/>
    <w:rsid w:val="00C45554"/>
    <w:rsid w:val="00C45A32"/>
    <w:rsid w:val="00C45A6F"/>
    <w:rsid w:val="00C45A92"/>
    <w:rsid w:val="00C45BB4"/>
    <w:rsid w:val="00C45D31"/>
    <w:rsid w:val="00C45F15"/>
    <w:rsid w:val="00C460E2"/>
    <w:rsid w:val="00C4613B"/>
    <w:rsid w:val="00C46313"/>
    <w:rsid w:val="00C464A5"/>
    <w:rsid w:val="00C4659A"/>
    <w:rsid w:val="00C4667B"/>
    <w:rsid w:val="00C46A5E"/>
    <w:rsid w:val="00C46BE4"/>
    <w:rsid w:val="00C46F94"/>
    <w:rsid w:val="00C4711A"/>
    <w:rsid w:val="00C47170"/>
    <w:rsid w:val="00C47208"/>
    <w:rsid w:val="00C47330"/>
    <w:rsid w:val="00C476D3"/>
    <w:rsid w:val="00C476E4"/>
    <w:rsid w:val="00C477CD"/>
    <w:rsid w:val="00C47870"/>
    <w:rsid w:val="00C479B7"/>
    <w:rsid w:val="00C47E72"/>
    <w:rsid w:val="00C47F33"/>
    <w:rsid w:val="00C47FA0"/>
    <w:rsid w:val="00C500D2"/>
    <w:rsid w:val="00C5010B"/>
    <w:rsid w:val="00C5014A"/>
    <w:rsid w:val="00C5019B"/>
    <w:rsid w:val="00C50209"/>
    <w:rsid w:val="00C502AF"/>
    <w:rsid w:val="00C503A5"/>
    <w:rsid w:val="00C50442"/>
    <w:rsid w:val="00C5068B"/>
    <w:rsid w:val="00C50735"/>
    <w:rsid w:val="00C507DD"/>
    <w:rsid w:val="00C50939"/>
    <w:rsid w:val="00C50A66"/>
    <w:rsid w:val="00C50BBF"/>
    <w:rsid w:val="00C50CF2"/>
    <w:rsid w:val="00C50DD2"/>
    <w:rsid w:val="00C50DD4"/>
    <w:rsid w:val="00C50F67"/>
    <w:rsid w:val="00C5100E"/>
    <w:rsid w:val="00C510C9"/>
    <w:rsid w:val="00C51199"/>
    <w:rsid w:val="00C512EE"/>
    <w:rsid w:val="00C513E8"/>
    <w:rsid w:val="00C51671"/>
    <w:rsid w:val="00C51735"/>
    <w:rsid w:val="00C517D5"/>
    <w:rsid w:val="00C51D45"/>
    <w:rsid w:val="00C51D69"/>
    <w:rsid w:val="00C51DE1"/>
    <w:rsid w:val="00C5214F"/>
    <w:rsid w:val="00C521D4"/>
    <w:rsid w:val="00C521E0"/>
    <w:rsid w:val="00C5223C"/>
    <w:rsid w:val="00C5229C"/>
    <w:rsid w:val="00C524D6"/>
    <w:rsid w:val="00C524E4"/>
    <w:rsid w:val="00C5257F"/>
    <w:rsid w:val="00C52674"/>
    <w:rsid w:val="00C52775"/>
    <w:rsid w:val="00C52787"/>
    <w:rsid w:val="00C527B0"/>
    <w:rsid w:val="00C528D3"/>
    <w:rsid w:val="00C52A39"/>
    <w:rsid w:val="00C52A4B"/>
    <w:rsid w:val="00C52BF8"/>
    <w:rsid w:val="00C52C09"/>
    <w:rsid w:val="00C52CAD"/>
    <w:rsid w:val="00C52D56"/>
    <w:rsid w:val="00C52D7C"/>
    <w:rsid w:val="00C52DD2"/>
    <w:rsid w:val="00C52DE9"/>
    <w:rsid w:val="00C52F7E"/>
    <w:rsid w:val="00C52F88"/>
    <w:rsid w:val="00C53047"/>
    <w:rsid w:val="00C53133"/>
    <w:rsid w:val="00C53148"/>
    <w:rsid w:val="00C53672"/>
    <w:rsid w:val="00C536B2"/>
    <w:rsid w:val="00C53702"/>
    <w:rsid w:val="00C537F2"/>
    <w:rsid w:val="00C53859"/>
    <w:rsid w:val="00C539A5"/>
    <w:rsid w:val="00C53A92"/>
    <w:rsid w:val="00C53B23"/>
    <w:rsid w:val="00C53F49"/>
    <w:rsid w:val="00C541E7"/>
    <w:rsid w:val="00C54297"/>
    <w:rsid w:val="00C5453F"/>
    <w:rsid w:val="00C54597"/>
    <w:rsid w:val="00C54631"/>
    <w:rsid w:val="00C54672"/>
    <w:rsid w:val="00C54739"/>
    <w:rsid w:val="00C5485A"/>
    <w:rsid w:val="00C54A8D"/>
    <w:rsid w:val="00C54AD5"/>
    <w:rsid w:val="00C54C03"/>
    <w:rsid w:val="00C54EC0"/>
    <w:rsid w:val="00C551A0"/>
    <w:rsid w:val="00C551E9"/>
    <w:rsid w:val="00C55356"/>
    <w:rsid w:val="00C55387"/>
    <w:rsid w:val="00C554B4"/>
    <w:rsid w:val="00C5557F"/>
    <w:rsid w:val="00C55AC4"/>
    <w:rsid w:val="00C55E35"/>
    <w:rsid w:val="00C56009"/>
    <w:rsid w:val="00C560F7"/>
    <w:rsid w:val="00C562A1"/>
    <w:rsid w:val="00C562F7"/>
    <w:rsid w:val="00C564B7"/>
    <w:rsid w:val="00C5670D"/>
    <w:rsid w:val="00C56718"/>
    <w:rsid w:val="00C5688F"/>
    <w:rsid w:val="00C568AA"/>
    <w:rsid w:val="00C5697C"/>
    <w:rsid w:val="00C56990"/>
    <w:rsid w:val="00C56AD0"/>
    <w:rsid w:val="00C56B8B"/>
    <w:rsid w:val="00C56BE2"/>
    <w:rsid w:val="00C56C62"/>
    <w:rsid w:val="00C56E17"/>
    <w:rsid w:val="00C56F94"/>
    <w:rsid w:val="00C571D3"/>
    <w:rsid w:val="00C57226"/>
    <w:rsid w:val="00C5722D"/>
    <w:rsid w:val="00C573EB"/>
    <w:rsid w:val="00C57461"/>
    <w:rsid w:val="00C5746D"/>
    <w:rsid w:val="00C5748B"/>
    <w:rsid w:val="00C57782"/>
    <w:rsid w:val="00C5780D"/>
    <w:rsid w:val="00C578E2"/>
    <w:rsid w:val="00C57913"/>
    <w:rsid w:val="00C5795A"/>
    <w:rsid w:val="00C579BA"/>
    <w:rsid w:val="00C57B5C"/>
    <w:rsid w:val="00C57B9D"/>
    <w:rsid w:val="00C57BE5"/>
    <w:rsid w:val="00C57C71"/>
    <w:rsid w:val="00C57E7C"/>
    <w:rsid w:val="00C6003D"/>
    <w:rsid w:val="00C601E1"/>
    <w:rsid w:val="00C603FF"/>
    <w:rsid w:val="00C60466"/>
    <w:rsid w:val="00C6050D"/>
    <w:rsid w:val="00C60715"/>
    <w:rsid w:val="00C60876"/>
    <w:rsid w:val="00C6094C"/>
    <w:rsid w:val="00C60A95"/>
    <w:rsid w:val="00C60ADB"/>
    <w:rsid w:val="00C60CBA"/>
    <w:rsid w:val="00C60D1A"/>
    <w:rsid w:val="00C60D36"/>
    <w:rsid w:val="00C60E8C"/>
    <w:rsid w:val="00C60F16"/>
    <w:rsid w:val="00C60F31"/>
    <w:rsid w:val="00C6104C"/>
    <w:rsid w:val="00C610CF"/>
    <w:rsid w:val="00C6133B"/>
    <w:rsid w:val="00C61476"/>
    <w:rsid w:val="00C614A6"/>
    <w:rsid w:val="00C6172B"/>
    <w:rsid w:val="00C61847"/>
    <w:rsid w:val="00C61864"/>
    <w:rsid w:val="00C6188B"/>
    <w:rsid w:val="00C61915"/>
    <w:rsid w:val="00C619D2"/>
    <w:rsid w:val="00C61F77"/>
    <w:rsid w:val="00C61FEC"/>
    <w:rsid w:val="00C6201C"/>
    <w:rsid w:val="00C62094"/>
    <w:rsid w:val="00C620D7"/>
    <w:rsid w:val="00C6219B"/>
    <w:rsid w:val="00C621F9"/>
    <w:rsid w:val="00C6220E"/>
    <w:rsid w:val="00C6221A"/>
    <w:rsid w:val="00C62251"/>
    <w:rsid w:val="00C62391"/>
    <w:rsid w:val="00C623A1"/>
    <w:rsid w:val="00C62662"/>
    <w:rsid w:val="00C6266A"/>
    <w:rsid w:val="00C62940"/>
    <w:rsid w:val="00C62F9B"/>
    <w:rsid w:val="00C63106"/>
    <w:rsid w:val="00C631F0"/>
    <w:rsid w:val="00C63203"/>
    <w:rsid w:val="00C63415"/>
    <w:rsid w:val="00C63491"/>
    <w:rsid w:val="00C637DE"/>
    <w:rsid w:val="00C63850"/>
    <w:rsid w:val="00C63AF8"/>
    <w:rsid w:val="00C63DB5"/>
    <w:rsid w:val="00C63F3A"/>
    <w:rsid w:val="00C63F54"/>
    <w:rsid w:val="00C640B8"/>
    <w:rsid w:val="00C6416B"/>
    <w:rsid w:val="00C6421D"/>
    <w:rsid w:val="00C64451"/>
    <w:rsid w:val="00C64781"/>
    <w:rsid w:val="00C64788"/>
    <w:rsid w:val="00C64792"/>
    <w:rsid w:val="00C647D9"/>
    <w:rsid w:val="00C647F5"/>
    <w:rsid w:val="00C6488D"/>
    <w:rsid w:val="00C64A7D"/>
    <w:rsid w:val="00C64A85"/>
    <w:rsid w:val="00C64CE0"/>
    <w:rsid w:val="00C64D7F"/>
    <w:rsid w:val="00C64E67"/>
    <w:rsid w:val="00C650B9"/>
    <w:rsid w:val="00C651C1"/>
    <w:rsid w:val="00C6525C"/>
    <w:rsid w:val="00C652D2"/>
    <w:rsid w:val="00C657D3"/>
    <w:rsid w:val="00C659E2"/>
    <w:rsid w:val="00C65CCA"/>
    <w:rsid w:val="00C65D22"/>
    <w:rsid w:val="00C65F3E"/>
    <w:rsid w:val="00C661A5"/>
    <w:rsid w:val="00C662D5"/>
    <w:rsid w:val="00C664B4"/>
    <w:rsid w:val="00C66526"/>
    <w:rsid w:val="00C665F8"/>
    <w:rsid w:val="00C66775"/>
    <w:rsid w:val="00C668FA"/>
    <w:rsid w:val="00C66AA1"/>
    <w:rsid w:val="00C66BC8"/>
    <w:rsid w:val="00C66DEC"/>
    <w:rsid w:val="00C66ED6"/>
    <w:rsid w:val="00C66EF3"/>
    <w:rsid w:val="00C66F52"/>
    <w:rsid w:val="00C672AE"/>
    <w:rsid w:val="00C67321"/>
    <w:rsid w:val="00C67402"/>
    <w:rsid w:val="00C67460"/>
    <w:rsid w:val="00C675EC"/>
    <w:rsid w:val="00C675F7"/>
    <w:rsid w:val="00C676BD"/>
    <w:rsid w:val="00C676CB"/>
    <w:rsid w:val="00C67743"/>
    <w:rsid w:val="00C67748"/>
    <w:rsid w:val="00C67791"/>
    <w:rsid w:val="00C678EC"/>
    <w:rsid w:val="00C67924"/>
    <w:rsid w:val="00C679DA"/>
    <w:rsid w:val="00C67A12"/>
    <w:rsid w:val="00C67AAC"/>
    <w:rsid w:val="00C67AEB"/>
    <w:rsid w:val="00C67C4C"/>
    <w:rsid w:val="00C67E2A"/>
    <w:rsid w:val="00C7026D"/>
    <w:rsid w:val="00C70581"/>
    <w:rsid w:val="00C70746"/>
    <w:rsid w:val="00C7082E"/>
    <w:rsid w:val="00C7093E"/>
    <w:rsid w:val="00C70AEC"/>
    <w:rsid w:val="00C70B9D"/>
    <w:rsid w:val="00C70C66"/>
    <w:rsid w:val="00C70CAD"/>
    <w:rsid w:val="00C70D30"/>
    <w:rsid w:val="00C70DFC"/>
    <w:rsid w:val="00C70E3B"/>
    <w:rsid w:val="00C71103"/>
    <w:rsid w:val="00C71393"/>
    <w:rsid w:val="00C714F1"/>
    <w:rsid w:val="00C714F2"/>
    <w:rsid w:val="00C71774"/>
    <w:rsid w:val="00C7193F"/>
    <w:rsid w:val="00C7199C"/>
    <w:rsid w:val="00C71A93"/>
    <w:rsid w:val="00C71B8A"/>
    <w:rsid w:val="00C71BF0"/>
    <w:rsid w:val="00C71C30"/>
    <w:rsid w:val="00C71D51"/>
    <w:rsid w:val="00C71F4B"/>
    <w:rsid w:val="00C722F1"/>
    <w:rsid w:val="00C72314"/>
    <w:rsid w:val="00C7249C"/>
    <w:rsid w:val="00C725EC"/>
    <w:rsid w:val="00C72646"/>
    <w:rsid w:val="00C727FB"/>
    <w:rsid w:val="00C72817"/>
    <w:rsid w:val="00C7282B"/>
    <w:rsid w:val="00C72898"/>
    <w:rsid w:val="00C728F8"/>
    <w:rsid w:val="00C72AE4"/>
    <w:rsid w:val="00C72B26"/>
    <w:rsid w:val="00C72B79"/>
    <w:rsid w:val="00C72E90"/>
    <w:rsid w:val="00C72E94"/>
    <w:rsid w:val="00C72F9B"/>
    <w:rsid w:val="00C72FA5"/>
    <w:rsid w:val="00C72FFD"/>
    <w:rsid w:val="00C7304E"/>
    <w:rsid w:val="00C731AA"/>
    <w:rsid w:val="00C73234"/>
    <w:rsid w:val="00C7335B"/>
    <w:rsid w:val="00C733A2"/>
    <w:rsid w:val="00C733D4"/>
    <w:rsid w:val="00C73730"/>
    <w:rsid w:val="00C738D4"/>
    <w:rsid w:val="00C739CA"/>
    <w:rsid w:val="00C73ACB"/>
    <w:rsid w:val="00C73BC1"/>
    <w:rsid w:val="00C73D90"/>
    <w:rsid w:val="00C73E98"/>
    <w:rsid w:val="00C73ED1"/>
    <w:rsid w:val="00C74035"/>
    <w:rsid w:val="00C740C9"/>
    <w:rsid w:val="00C7418A"/>
    <w:rsid w:val="00C74332"/>
    <w:rsid w:val="00C74362"/>
    <w:rsid w:val="00C745E4"/>
    <w:rsid w:val="00C7466F"/>
    <w:rsid w:val="00C74773"/>
    <w:rsid w:val="00C747A7"/>
    <w:rsid w:val="00C748A7"/>
    <w:rsid w:val="00C749C3"/>
    <w:rsid w:val="00C749D1"/>
    <w:rsid w:val="00C74A1F"/>
    <w:rsid w:val="00C74B42"/>
    <w:rsid w:val="00C74BE7"/>
    <w:rsid w:val="00C74CD6"/>
    <w:rsid w:val="00C74EAC"/>
    <w:rsid w:val="00C7507D"/>
    <w:rsid w:val="00C75250"/>
    <w:rsid w:val="00C755DF"/>
    <w:rsid w:val="00C75609"/>
    <w:rsid w:val="00C756AF"/>
    <w:rsid w:val="00C757B8"/>
    <w:rsid w:val="00C75876"/>
    <w:rsid w:val="00C75A39"/>
    <w:rsid w:val="00C75AA4"/>
    <w:rsid w:val="00C75BE4"/>
    <w:rsid w:val="00C75BF1"/>
    <w:rsid w:val="00C75D8C"/>
    <w:rsid w:val="00C75F86"/>
    <w:rsid w:val="00C75FEE"/>
    <w:rsid w:val="00C7607A"/>
    <w:rsid w:val="00C761AB"/>
    <w:rsid w:val="00C76425"/>
    <w:rsid w:val="00C7646E"/>
    <w:rsid w:val="00C76520"/>
    <w:rsid w:val="00C7693D"/>
    <w:rsid w:val="00C769D7"/>
    <w:rsid w:val="00C76A24"/>
    <w:rsid w:val="00C76B36"/>
    <w:rsid w:val="00C76BA8"/>
    <w:rsid w:val="00C76BD0"/>
    <w:rsid w:val="00C76D14"/>
    <w:rsid w:val="00C76DD5"/>
    <w:rsid w:val="00C76EB0"/>
    <w:rsid w:val="00C76EFD"/>
    <w:rsid w:val="00C76F9D"/>
    <w:rsid w:val="00C77078"/>
    <w:rsid w:val="00C77162"/>
    <w:rsid w:val="00C77443"/>
    <w:rsid w:val="00C7766A"/>
    <w:rsid w:val="00C77772"/>
    <w:rsid w:val="00C77A45"/>
    <w:rsid w:val="00C77ACC"/>
    <w:rsid w:val="00C77B69"/>
    <w:rsid w:val="00C77BBB"/>
    <w:rsid w:val="00C77C5C"/>
    <w:rsid w:val="00C77C66"/>
    <w:rsid w:val="00C77C6F"/>
    <w:rsid w:val="00C77D7A"/>
    <w:rsid w:val="00C77F37"/>
    <w:rsid w:val="00C77F4B"/>
    <w:rsid w:val="00C80031"/>
    <w:rsid w:val="00C80076"/>
    <w:rsid w:val="00C8007D"/>
    <w:rsid w:val="00C80106"/>
    <w:rsid w:val="00C8022A"/>
    <w:rsid w:val="00C802A9"/>
    <w:rsid w:val="00C80329"/>
    <w:rsid w:val="00C80414"/>
    <w:rsid w:val="00C804B0"/>
    <w:rsid w:val="00C80791"/>
    <w:rsid w:val="00C808D4"/>
    <w:rsid w:val="00C80AF6"/>
    <w:rsid w:val="00C80B58"/>
    <w:rsid w:val="00C80C01"/>
    <w:rsid w:val="00C80CDA"/>
    <w:rsid w:val="00C80DC8"/>
    <w:rsid w:val="00C80F23"/>
    <w:rsid w:val="00C8115F"/>
    <w:rsid w:val="00C81381"/>
    <w:rsid w:val="00C81384"/>
    <w:rsid w:val="00C813D8"/>
    <w:rsid w:val="00C81560"/>
    <w:rsid w:val="00C8156E"/>
    <w:rsid w:val="00C815CB"/>
    <w:rsid w:val="00C815D8"/>
    <w:rsid w:val="00C815F8"/>
    <w:rsid w:val="00C81A73"/>
    <w:rsid w:val="00C81BBE"/>
    <w:rsid w:val="00C81C2C"/>
    <w:rsid w:val="00C81C40"/>
    <w:rsid w:val="00C81CDC"/>
    <w:rsid w:val="00C81D5F"/>
    <w:rsid w:val="00C81DC1"/>
    <w:rsid w:val="00C81FE0"/>
    <w:rsid w:val="00C82037"/>
    <w:rsid w:val="00C820B7"/>
    <w:rsid w:val="00C82152"/>
    <w:rsid w:val="00C82201"/>
    <w:rsid w:val="00C822C7"/>
    <w:rsid w:val="00C823AB"/>
    <w:rsid w:val="00C82432"/>
    <w:rsid w:val="00C825E2"/>
    <w:rsid w:val="00C82649"/>
    <w:rsid w:val="00C82740"/>
    <w:rsid w:val="00C827A8"/>
    <w:rsid w:val="00C8283D"/>
    <w:rsid w:val="00C82C54"/>
    <w:rsid w:val="00C82C8D"/>
    <w:rsid w:val="00C82D21"/>
    <w:rsid w:val="00C82EB9"/>
    <w:rsid w:val="00C82EE1"/>
    <w:rsid w:val="00C83350"/>
    <w:rsid w:val="00C83440"/>
    <w:rsid w:val="00C8344D"/>
    <w:rsid w:val="00C8349D"/>
    <w:rsid w:val="00C83513"/>
    <w:rsid w:val="00C8361F"/>
    <w:rsid w:val="00C83685"/>
    <w:rsid w:val="00C8374E"/>
    <w:rsid w:val="00C83996"/>
    <w:rsid w:val="00C83B1F"/>
    <w:rsid w:val="00C83B31"/>
    <w:rsid w:val="00C83B3F"/>
    <w:rsid w:val="00C83D34"/>
    <w:rsid w:val="00C83DC9"/>
    <w:rsid w:val="00C83F8D"/>
    <w:rsid w:val="00C8401C"/>
    <w:rsid w:val="00C8406A"/>
    <w:rsid w:val="00C843EB"/>
    <w:rsid w:val="00C84514"/>
    <w:rsid w:val="00C845A2"/>
    <w:rsid w:val="00C845AA"/>
    <w:rsid w:val="00C8466D"/>
    <w:rsid w:val="00C8475E"/>
    <w:rsid w:val="00C847F1"/>
    <w:rsid w:val="00C8493E"/>
    <w:rsid w:val="00C84ABA"/>
    <w:rsid w:val="00C84C33"/>
    <w:rsid w:val="00C84CB9"/>
    <w:rsid w:val="00C84CD3"/>
    <w:rsid w:val="00C84EC5"/>
    <w:rsid w:val="00C8505A"/>
    <w:rsid w:val="00C851EB"/>
    <w:rsid w:val="00C85234"/>
    <w:rsid w:val="00C8527C"/>
    <w:rsid w:val="00C852E4"/>
    <w:rsid w:val="00C85373"/>
    <w:rsid w:val="00C854F7"/>
    <w:rsid w:val="00C855DC"/>
    <w:rsid w:val="00C85756"/>
    <w:rsid w:val="00C857C2"/>
    <w:rsid w:val="00C859C7"/>
    <w:rsid w:val="00C85C2C"/>
    <w:rsid w:val="00C85CD7"/>
    <w:rsid w:val="00C85DDC"/>
    <w:rsid w:val="00C85E2E"/>
    <w:rsid w:val="00C86104"/>
    <w:rsid w:val="00C8677D"/>
    <w:rsid w:val="00C869D6"/>
    <w:rsid w:val="00C86A81"/>
    <w:rsid w:val="00C86AA0"/>
    <w:rsid w:val="00C86B2E"/>
    <w:rsid w:val="00C86D3F"/>
    <w:rsid w:val="00C86DAE"/>
    <w:rsid w:val="00C86DC9"/>
    <w:rsid w:val="00C87056"/>
    <w:rsid w:val="00C871A0"/>
    <w:rsid w:val="00C872A8"/>
    <w:rsid w:val="00C872B4"/>
    <w:rsid w:val="00C8760F"/>
    <w:rsid w:val="00C8792D"/>
    <w:rsid w:val="00C87949"/>
    <w:rsid w:val="00C87AB5"/>
    <w:rsid w:val="00C87E13"/>
    <w:rsid w:val="00C87EAE"/>
    <w:rsid w:val="00C87F9B"/>
    <w:rsid w:val="00C90246"/>
    <w:rsid w:val="00C902A9"/>
    <w:rsid w:val="00C902D6"/>
    <w:rsid w:val="00C90307"/>
    <w:rsid w:val="00C9066A"/>
    <w:rsid w:val="00C906AA"/>
    <w:rsid w:val="00C906E1"/>
    <w:rsid w:val="00C9073D"/>
    <w:rsid w:val="00C907AC"/>
    <w:rsid w:val="00C9081A"/>
    <w:rsid w:val="00C9084B"/>
    <w:rsid w:val="00C90964"/>
    <w:rsid w:val="00C909B8"/>
    <w:rsid w:val="00C90AB3"/>
    <w:rsid w:val="00C90C7A"/>
    <w:rsid w:val="00C90CBA"/>
    <w:rsid w:val="00C90DBC"/>
    <w:rsid w:val="00C90DEA"/>
    <w:rsid w:val="00C90EB7"/>
    <w:rsid w:val="00C90F3C"/>
    <w:rsid w:val="00C90FDB"/>
    <w:rsid w:val="00C91058"/>
    <w:rsid w:val="00C91062"/>
    <w:rsid w:val="00C91069"/>
    <w:rsid w:val="00C91137"/>
    <w:rsid w:val="00C9113B"/>
    <w:rsid w:val="00C912B0"/>
    <w:rsid w:val="00C9133E"/>
    <w:rsid w:val="00C9145F"/>
    <w:rsid w:val="00C915FF"/>
    <w:rsid w:val="00C916F2"/>
    <w:rsid w:val="00C91775"/>
    <w:rsid w:val="00C9180F"/>
    <w:rsid w:val="00C918B2"/>
    <w:rsid w:val="00C918C0"/>
    <w:rsid w:val="00C918C7"/>
    <w:rsid w:val="00C91B82"/>
    <w:rsid w:val="00C91E03"/>
    <w:rsid w:val="00C91EBA"/>
    <w:rsid w:val="00C91F97"/>
    <w:rsid w:val="00C92145"/>
    <w:rsid w:val="00C9255F"/>
    <w:rsid w:val="00C925FA"/>
    <w:rsid w:val="00C92637"/>
    <w:rsid w:val="00C9282A"/>
    <w:rsid w:val="00C92841"/>
    <w:rsid w:val="00C92B98"/>
    <w:rsid w:val="00C92C2D"/>
    <w:rsid w:val="00C92DF2"/>
    <w:rsid w:val="00C93048"/>
    <w:rsid w:val="00C93249"/>
    <w:rsid w:val="00C932E4"/>
    <w:rsid w:val="00C936EA"/>
    <w:rsid w:val="00C937F5"/>
    <w:rsid w:val="00C93A84"/>
    <w:rsid w:val="00C93B50"/>
    <w:rsid w:val="00C93BD0"/>
    <w:rsid w:val="00C93D98"/>
    <w:rsid w:val="00C93DDB"/>
    <w:rsid w:val="00C94136"/>
    <w:rsid w:val="00C94137"/>
    <w:rsid w:val="00C9430B"/>
    <w:rsid w:val="00C948DA"/>
    <w:rsid w:val="00C94A68"/>
    <w:rsid w:val="00C94A77"/>
    <w:rsid w:val="00C94C54"/>
    <w:rsid w:val="00C94C58"/>
    <w:rsid w:val="00C94CB2"/>
    <w:rsid w:val="00C94D46"/>
    <w:rsid w:val="00C94DD6"/>
    <w:rsid w:val="00C94E03"/>
    <w:rsid w:val="00C94E84"/>
    <w:rsid w:val="00C95029"/>
    <w:rsid w:val="00C95150"/>
    <w:rsid w:val="00C95153"/>
    <w:rsid w:val="00C95268"/>
    <w:rsid w:val="00C95272"/>
    <w:rsid w:val="00C9538D"/>
    <w:rsid w:val="00C95418"/>
    <w:rsid w:val="00C95583"/>
    <w:rsid w:val="00C95904"/>
    <w:rsid w:val="00C95B7C"/>
    <w:rsid w:val="00C95D68"/>
    <w:rsid w:val="00C95D9C"/>
    <w:rsid w:val="00C95E2B"/>
    <w:rsid w:val="00C95E76"/>
    <w:rsid w:val="00C95F94"/>
    <w:rsid w:val="00C9609A"/>
    <w:rsid w:val="00C962E0"/>
    <w:rsid w:val="00C9646E"/>
    <w:rsid w:val="00C96BB9"/>
    <w:rsid w:val="00C96C5A"/>
    <w:rsid w:val="00C96E67"/>
    <w:rsid w:val="00C96ED4"/>
    <w:rsid w:val="00C96F74"/>
    <w:rsid w:val="00C9716A"/>
    <w:rsid w:val="00C97179"/>
    <w:rsid w:val="00C9726A"/>
    <w:rsid w:val="00C972D1"/>
    <w:rsid w:val="00C974A6"/>
    <w:rsid w:val="00C974AB"/>
    <w:rsid w:val="00C974E1"/>
    <w:rsid w:val="00C9761A"/>
    <w:rsid w:val="00C976A1"/>
    <w:rsid w:val="00C976DF"/>
    <w:rsid w:val="00C9785F"/>
    <w:rsid w:val="00C97EBA"/>
    <w:rsid w:val="00C97F67"/>
    <w:rsid w:val="00CA014F"/>
    <w:rsid w:val="00CA021D"/>
    <w:rsid w:val="00CA027C"/>
    <w:rsid w:val="00CA03B1"/>
    <w:rsid w:val="00CA04EE"/>
    <w:rsid w:val="00CA06AE"/>
    <w:rsid w:val="00CA0729"/>
    <w:rsid w:val="00CA0915"/>
    <w:rsid w:val="00CA0DD3"/>
    <w:rsid w:val="00CA0DFD"/>
    <w:rsid w:val="00CA0EA2"/>
    <w:rsid w:val="00CA0F8F"/>
    <w:rsid w:val="00CA0FA4"/>
    <w:rsid w:val="00CA107E"/>
    <w:rsid w:val="00CA10CF"/>
    <w:rsid w:val="00CA11B1"/>
    <w:rsid w:val="00CA11F6"/>
    <w:rsid w:val="00CA1344"/>
    <w:rsid w:val="00CA1472"/>
    <w:rsid w:val="00CA15BA"/>
    <w:rsid w:val="00CA174C"/>
    <w:rsid w:val="00CA1BC0"/>
    <w:rsid w:val="00CA1C3D"/>
    <w:rsid w:val="00CA1D44"/>
    <w:rsid w:val="00CA203F"/>
    <w:rsid w:val="00CA215B"/>
    <w:rsid w:val="00CA2193"/>
    <w:rsid w:val="00CA22C4"/>
    <w:rsid w:val="00CA230C"/>
    <w:rsid w:val="00CA2370"/>
    <w:rsid w:val="00CA23ED"/>
    <w:rsid w:val="00CA251C"/>
    <w:rsid w:val="00CA2899"/>
    <w:rsid w:val="00CA2963"/>
    <w:rsid w:val="00CA2BAD"/>
    <w:rsid w:val="00CA2C63"/>
    <w:rsid w:val="00CA2EDD"/>
    <w:rsid w:val="00CA30D0"/>
    <w:rsid w:val="00CA3288"/>
    <w:rsid w:val="00CA3304"/>
    <w:rsid w:val="00CA34B5"/>
    <w:rsid w:val="00CA3565"/>
    <w:rsid w:val="00CA3575"/>
    <w:rsid w:val="00CA35E4"/>
    <w:rsid w:val="00CA382D"/>
    <w:rsid w:val="00CA3849"/>
    <w:rsid w:val="00CA3850"/>
    <w:rsid w:val="00CA39DA"/>
    <w:rsid w:val="00CA3B3D"/>
    <w:rsid w:val="00CA3E4B"/>
    <w:rsid w:val="00CA3EE0"/>
    <w:rsid w:val="00CA3F2D"/>
    <w:rsid w:val="00CA407F"/>
    <w:rsid w:val="00CA40FC"/>
    <w:rsid w:val="00CA41B5"/>
    <w:rsid w:val="00CA42E7"/>
    <w:rsid w:val="00CA4322"/>
    <w:rsid w:val="00CA456F"/>
    <w:rsid w:val="00CA4652"/>
    <w:rsid w:val="00CA466E"/>
    <w:rsid w:val="00CA4987"/>
    <w:rsid w:val="00CA4A1C"/>
    <w:rsid w:val="00CA4C5A"/>
    <w:rsid w:val="00CA4CD2"/>
    <w:rsid w:val="00CA4DE7"/>
    <w:rsid w:val="00CA4E07"/>
    <w:rsid w:val="00CA4EA0"/>
    <w:rsid w:val="00CA4EF0"/>
    <w:rsid w:val="00CA4F43"/>
    <w:rsid w:val="00CA4F9E"/>
    <w:rsid w:val="00CA511E"/>
    <w:rsid w:val="00CA5299"/>
    <w:rsid w:val="00CA52D4"/>
    <w:rsid w:val="00CA52DB"/>
    <w:rsid w:val="00CA5376"/>
    <w:rsid w:val="00CA5437"/>
    <w:rsid w:val="00CA54FD"/>
    <w:rsid w:val="00CA584D"/>
    <w:rsid w:val="00CA5AD6"/>
    <w:rsid w:val="00CA5B06"/>
    <w:rsid w:val="00CA5CBA"/>
    <w:rsid w:val="00CA5D9E"/>
    <w:rsid w:val="00CA5E03"/>
    <w:rsid w:val="00CA5EEB"/>
    <w:rsid w:val="00CA6086"/>
    <w:rsid w:val="00CA618A"/>
    <w:rsid w:val="00CA62FC"/>
    <w:rsid w:val="00CA630E"/>
    <w:rsid w:val="00CA6350"/>
    <w:rsid w:val="00CA64B9"/>
    <w:rsid w:val="00CA64E9"/>
    <w:rsid w:val="00CA6702"/>
    <w:rsid w:val="00CA67CD"/>
    <w:rsid w:val="00CA6867"/>
    <w:rsid w:val="00CA68D3"/>
    <w:rsid w:val="00CA6AE0"/>
    <w:rsid w:val="00CA6B6F"/>
    <w:rsid w:val="00CA6C17"/>
    <w:rsid w:val="00CA6C26"/>
    <w:rsid w:val="00CA6CEB"/>
    <w:rsid w:val="00CA6F56"/>
    <w:rsid w:val="00CA6FE4"/>
    <w:rsid w:val="00CA703A"/>
    <w:rsid w:val="00CA71C4"/>
    <w:rsid w:val="00CA75B5"/>
    <w:rsid w:val="00CA7776"/>
    <w:rsid w:val="00CA778B"/>
    <w:rsid w:val="00CA77C8"/>
    <w:rsid w:val="00CA7976"/>
    <w:rsid w:val="00CA7B06"/>
    <w:rsid w:val="00CA7B6A"/>
    <w:rsid w:val="00CA7CE5"/>
    <w:rsid w:val="00CB025F"/>
    <w:rsid w:val="00CB0321"/>
    <w:rsid w:val="00CB038A"/>
    <w:rsid w:val="00CB04DB"/>
    <w:rsid w:val="00CB0563"/>
    <w:rsid w:val="00CB056F"/>
    <w:rsid w:val="00CB06B5"/>
    <w:rsid w:val="00CB0913"/>
    <w:rsid w:val="00CB092D"/>
    <w:rsid w:val="00CB0944"/>
    <w:rsid w:val="00CB09A9"/>
    <w:rsid w:val="00CB0B8C"/>
    <w:rsid w:val="00CB0D22"/>
    <w:rsid w:val="00CB0D73"/>
    <w:rsid w:val="00CB1040"/>
    <w:rsid w:val="00CB1114"/>
    <w:rsid w:val="00CB11B7"/>
    <w:rsid w:val="00CB12F8"/>
    <w:rsid w:val="00CB1354"/>
    <w:rsid w:val="00CB139E"/>
    <w:rsid w:val="00CB1414"/>
    <w:rsid w:val="00CB157C"/>
    <w:rsid w:val="00CB169A"/>
    <w:rsid w:val="00CB16D3"/>
    <w:rsid w:val="00CB16EE"/>
    <w:rsid w:val="00CB199F"/>
    <w:rsid w:val="00CB19DB"/>
    <w:rsid w:val="00CB1A42"/>
    <w:rsid w:val="00CB1BA8"/>
    <w:rsid w:val="00CB1CF8"/>
    <w:rsid w:val="00CB1DE2"/>
    <w:rsid w:val="00CB1E4F"/>
    <w:rsid w:val="00CB1E91"/>
    <w:rsid w:val="00CB2042"/>
    <w:rsid w:val="00CB2158"/>
    <w:rsid w:val="00CB21BA"/>
    <w:rsid w:val="00CB2246"/>
    <w:rsid w:val="00CB2248"/>
    <w:rsid w:val="00CB2275"/>
    <w:rsid w:val="00CB2376"/>
    <w:rsid w:val="00CB24DD"/>
    <w:rsid w:val="00CB253E"/>
    <w:rsid w:val="00CB270B"/>
    <w:rsid w:val="00CB27E9"/>
    <w:rsid w:val="00CB281E"/>
    <w:rsid w:val="00CB2885"/>
    <w:rsid w:val="00CB288A"/>
    <w:rsid w:val="00CB2935"/>
    <w:rsid w:val="00CB2A28"/>
    <w:rsid w:val="00CB2B7F"/>
    <w:rsid w:val="00CB2B84"/>
    <w:rsid w:val="00CB2BE6"/>
    <w:rsid w:val="00CB2C11"/>
    <w:rsid w:val="00CB3368"/>
    <w:rsid w:val="00CB36D0"/>
    <w:rsid w:val="00CB3AEF"/>
    <w:rsid w:val="00CB3F12"/>
    <w:rsid w:val="00CB4185"/>
    <w:rsid w:val="00CB441E"/>
    <w:rsid w:val="00CB4425"/>
    <w:rsid w:val="00CB442C"/>
    <w:rsid w:val="00CB468C"/>
    <w:rsid w:val="00CB4AB1"/>
    <w:rsid w:val="00CB4AD4"/>
    <w:rsid w:val="00CB4D36"/>
    <w:rsid w:val="00CB4DCC"/>
    <w:rsid w:val="00CB4E41"/>
    <w:rsid w:val="00CB4FFD"/>
    <w:rsid w:val="00CB51E3"/>
    <w:rsid w:val="00CB52E7"/>
    <w:rsid w:val="00CB5428"/>
    <w:rsid w:val="00CB5991"/>
    <w:rsid w:val="00CB5B1D"/>
    <w:rsid w:val="00CB5B60"/>
    <w:rsid w:val="00CB5C3A"/>
    <w:rsid w:val="00CB5CC9"/>
    <w:rsid w:val="00CB5CEA"/>
    <w:rsid w:val="00CB5D10"/>
    <w:rsid w:val="00CB605F"/>
    <w:rsid w:val="00CB607F"/>
    <w:rsid w:val="00CB6103"/>
    <w:rsid w:val="00CB61CD"/>
    <w:rsid w:val="00CB6332"/>
    <w:rsid w:val="00CB6438"/>
    <w:rsid w:val="00CB64E1"/>
    <w:rsid w:val="00CB653E"/>
    <w:rsid w:val="00CB66DD"/>
    <w:rsid w:val="00CB6CF4"/>
    <w:rsid w:val="00CB71D1"/>
    <w:rsid w:val="00CB725A"/>
    <w:rsid w:val="00CB729C"/>
    <w:rsid w:val="00CB730F"/>
    <w:rsid w:val="00CB7364"/>
    <w:rsid w:val="00CB7411"/>
    <w:rsid w:val="00CB7461"/>
    <w:rsid w:val="00CB777F"/>
    <w:rsid w:val="00CB77FD"/>
    <w:rsid w:val="00CB7895"/>
    <w:rsid w:val="00CB78EF"/>
    <w:rsid w:val="00CB7969"/>
    <w:rsid w:val="00CB7A4C"/>
    <w:rsid w:val="00CB7C81"/>
    <w:rsid w:val="00CB7C8B"/>
    <w:rsid w:val="00CB7C92"/>
    <w:rsid w:val="00CB7D2C"/>
    <w:rsid w:val="00CB7D71"/>
    <w:rsid w:val="00CB7F98"/>
    <w:rsid w:val="00CC014B"/>
    <w:rsid w:val="00CC0312"/>
    <w:rsid w:val="00CC0333"/>
    <w:rsid w:val="00CC0462"/>
    <w:rsid w:val="00CC0475"/>
    <w:rsid w:val="00CC04EF"/>
    <w:rsid w:val="00CC05D9"/>
    <w:rsid w:val="00CC05FC"/>
    <w:rsid w:val="00CC0642"/>
    <w:rsid w:val="00CC08AD"/>
    <w:rsid w:val="00CC0AA2"/>
    <w:rsid w:val="00CC0ABB"/>
    <w:rsid w:val="00CC0DED"/>
    <w:rsid w:val="00CC0FB6"/>
    <w:rsid w:val="00CC105D"/>
    <w:rsid w:val="00CC106C"/>
    <w:rsid w:val="00CC124F"/>
    <w:rsid w:val="00CC1426"/>
    <w:rsid w:val="00CC14AA"/>
    <w:rsid w:val="00CC1618"/>
    <w:rsid w:val="00CC17DD"/>
    <w:rsid w:val="00CC1A8B"/>
    <w:rsid w:val="00CC1B82"/>
    <w:rsid w:val="00CC1BD9"/>
    <w:rsid w:val="00CC1C1D"/>
    <w:rsid w:val="00CC1D81"/>
    <w:rsid w:val="00CC1EBF"/>
    <w:rsid w:val="00CC1F07"/>
    <w:rsid w:val="00CC214E"/>
    <w:rsid w:val="00CC216A"/>
    <w:rsid w:val="00CC2219"/>
    <w:rsid w:val="00CC223F"/>
    <w:rsid w:val="00CC2349"/>
    <w:rsid w:val="00CC23D3"/>
    <w:rsid w:val="00CC24BC"/>
    <w:rsid w:val="00CC25AA"/>
    <w:rsid w:val="00CC2675"/>
    <w:rsid w:val="00CC2692"/>
    <w:rsid w:val="00CC2722"/>
    <w:rsid w:val="00CC2724"/>
    <w:rsid w:val="00CC2742"/>
    <w:rsid w:val="00CC285A"/>
    <w:rsid w:val="00CC2902"/>
    <w:rsid w:val="00CC291C"/>
    <w:rsid w:val="00CC2993"/>
    <w:rsid w:val="00CC29B0"/>
    <w:rsid w:val="00CC3113"/>
    <w:rsid w:val="00CC3154"/>
    <w:rsid w:val="00CC32DC"/>
    <w:rsid w:val="00CC3322"/>
    <w:rsid w:val="00CC334C"/>
    <w:rsid w:val="00CC334F"/>
    <w:rsid w:val="00CC339B"/>
    <w:rsid w:val="00CC340E"/>
    <w:rsid w:val="00CC3445"/>
    <w:rsid w:val="00CC3449"/>
    <w:rsid w:val="00CC3470"/>
    <w:rsid w:val="00CC348D"/>
    <w:rsid w:val="00CC367F"/>
    <w:rsid w:val="00CC36E6"/>
    <w:rsid w:val="00CC3708"/>
    <w:rsid w:val="00CC376A"/>
    <w:rsid w:val="00CC37EC"/>
    <w:rsid w:val="00CC3BC1"/>
    <w:rsid w:val="00CC3BDA"/>
    <w:rsid w:val="00CC3D85"/>
    <w:rsid w:val="00CC3DD3"/>
    <w:rsid w:val="00CC4192"/>
    <w:rsid w:val="00CC419C"/>
    <w:rsid w:val="00CC41F7"/>
    <w:rsid w:val="00CC4222"/>
    <w:rsid w:val="00CC4388"/>
    <w:rsid w:val="00CC47AB"/>
    <w:rsid w:val="00CC48A6"/>
    <w:rsid w:val="00CC4A07"/>
    <w:rsid w:val="00CC4CBE"/>
    <w:rsid w:val="00CC4E14"/>
    <w:rsid w:val="00CC4EBB"/>
    <w:rsid w:val="00CC4EC6"/>
    <w:rsid w:val="00CC4F7B"/>
    <w:rsid w:val="00CC4FBC"/>
    <w:rsid w:val="00CC50B4"/>
    <w:rsid w:val="00CC50E7"/>
    <w:rsid w:val="00CC5311"/>
    <w:rsid w:val="00CC53A2"/>
    <w:rsid w:val="00CC54A9"/>
    <w:rsid w:val="00CC555D"/>
    <w:rsid w:val="00CC5642"/>
    <w:rsid w:val="00CC576F"/>
    <w:rsid w:val="00CC58A0"/>
    <w:rsid w:val="00CC5A08"/>
    <w:rsid w:val="00CC5DB0"/>
    <w:rsid w:val="00CC5EB9"/>
    <w:rsid w:val="00CC5F38"/>
    <w:rsid w:val="00CC5F7D"/>
    <w:rsid w:val="00CC5FE2"/>
    <w:rsid w:val="00CC622F"/>
    <w:rsid w:val="00CC6320"/>
    <w:rsid w:val="00CC6586"/>
    <w:rsid w:val="00CC69BB"/>
    <w:rsid w:val="00CC6A20"/>
    <w:rsid w:val="00CC6A87"/>
    <w:rsid w:val="00CC6C08"/>
    <w:rsid w:val="00CC6CB6"/>
    <w:rsid w:val="00CC6D51"/>
    <w:rsid w:val="00CC6E0B"/>
    <w:rsid w:val="00CC7101"/>
    <w:rsid w:val="00CC712B"/>
    <w:rsid w:val="00CC74C4"/>
    <w:rsid w:val="00CC757F"/>
    <w:rsid w:val="00CC7640"/>
    <w:rsid w:val="00CC766F"/>
    <w:rsid w:val="00CC7731"/>
    <w:rsid w:val="00CC7806"/>
    <w:rsid w:val="00CC787F"/>
    <w:rsid w:val="00CC7ACC"/>
    <w:rsid w:val="00CC7C85"/>
    <w:rsid w:val="00CC7DC5"/>
    <w:rsid w:val="00CC7E5F"/>
    <w:rsid w:val="00CC7ED6"/>
    <w:rsid w:val="00CC7FCC"/>
    <w:rsid w:val="00CD01DA"/>
    <w:rsid w:val="00CD0200"/>
    <w:rsid w:val="00CD0213"/>
    <w:rsid w:val="00CD0503"/>
    <w:rsid w:val="00CD05CA"/>
    <w:rsid w:val="00CD0788"/>
    <w:rsid w:val="00CD0850"/>
    <w:rsid w:val="00CD0884"/>
    <w:rsid w:val="00CD0953"/>
    <w:rsid w:val="00CD097C"/>
    <w:rsid w:val="00CD09D5"/>
    <w:rsid w:val="00CD0C8F"/>
    <w:rsid w:val="00CD0CAC"/>
    <w:rsid w:val="00CD0E3E"/>
    <w:rsid w:val="00CD0F4B"/>
    <w:rsid w:val="00CD0F5C"/>
    <w:rsid w:val="00CD1163"/>
    <w:rsid w:val="00CD127E"/>
    <w:rsid w:val="00CD139E"/>
    <w:rsid w:val="00CD1415"/>
    <w:rsid w:val="00CD14B2"/>
    <w:rsid w:val="00CD14CD"/>
    <w:rsid w:val="00CD1593"/>
    <w:rsid w:val="00CD15DC"/>
    <w:rsid w:val="00CD1663"/>
    <w:rsid w:val="00CD17E5"/>
    <w:rsid w:val="00CD185B"/>
    <w:rsid w:val="00CD19E1"/>
    <w:rsid w:val="00CD1B83"/>
    <w:rsid w:val="00CD1C26"/>
    <w:rsid w:val="00CD1D7F"/>
    <w:rsid w:val="00CD1FA2"/>
    <w:rsid w:val="00CD2046"/>
    <w:rsid w:val="00CD21C6"/>
    <w:rsid w:val="00CD223D"/>
    <w:rsid w:val="00CD241B"/>
    <w:rsid w:val="00CD25EF"/>
    <w:rsid w:val="00CD2643"/>
    <w:rsid w:val="00CD26BE"/>
    <w:rsid w:val="00CD278B"/>
    <w:rsid w:val="00CD28EA"/>
    <w:rsid w:val="00CD2958"/>
    <w:rsid w:val="00CD2969"/>
    <w:rsid w:val="00CD29EE"/>
    <w:rsid w:val="00CD2BA6"/>
    <w:rsid w:val="00CD2D0E"/>
    <w:rsid w:val="00CD2D55"/>
    <w:rsid w:val="00CD30FA"/>
    <w:rsid w:val="00CD3141"/>
    <w:rsid w:val="00CD3187"/>
    <w:rsid w:val="00CD3204"/>
    <w:rsid w:val="00CD323F"/>
    <w:rsid w:val="00CD347C"/>
    <w:rsid w:val="00CD34E9"/>
    <w:rsid w:val="00CD372F"/>
    <w:rsid w:val="00CD3779"/>
    <w:rsid w:val="00CD38D7"/>
    <w:rsid w:val="00CD394D"/>
    <w:rsid w:val="00CD3CC9"/>
    <w:rsid w:val="00CD3D57"/>
    <w:rsid w:val="00CD3FA3"/>
    <w:rsid w:val="00CD40C1"/>
    <w:rsid w:val="00CD418A"/>
    <w:rsid w:val="00CD434F"/>
    <w:rsid w:val="00CD458D"/>
    <w:rsid w:val="00CD45F6"/>
    <w:rsid w:val="00CD47D5"/>
    <w:rsid w:val="00CD4901"/>
    <w:rsid w:val="00CD4996"/>
    <w:rsid w:val="00CD4A62"/>
    <w:rsid w:val="00CD4B4E"/>
    <w:rsid w:val="00CD4BC7"/>
    <w:rsid w:val="00CD4BD9"/>
    <w:rsid w:val="00CD4E8A"/>
    <w:rsid w:val="00CD4EE1"/>
    <w:rsid w:val="00CD5041"/>
    <w:rsid w:val="00CD520A"/>
    <w:rsid w:val="00CD52AD"/>
    <w:rsid w:val="00CD5491"/>
    <w:rsid w:val="00CD55C0"/>
    <w:rsid w:val="00CD57F3"/>
    <w:rsid w:val="00CD5FA6"/>
    <w:rsid w:val="00CD60DC"/>
    <w:rsid w:val="00CD6297"/>
    <w:rsid w:val="00CD6389"/>
    <w:rsid w:val="00CD64EE"/>
    <w:rsid w:val="00CD670F"/>
    <w:rsid w:val="00CD67A0"/>
    <w:rsid w:val="00CD6A96"/>
    <w:rsid w:val="00CD6C8B"/>
    <w:rsid w:val="00CD6DB2"/>
    <w:rsid w:val="00CD6F66"/>
    <w:rsid w:val="00CD7152"/>
    <w:rsid w:val="00CD74A6"/>
    <w:rsid w:val="00CD74AB"/>
    <w:rsid w:val="00CD7598"/>
    <w:rsid w:val="00CD7617"/>
    <w:rsid w:val="00CD790C"/>
    <w:rsid w:val="00CD7D76"/>
    <w:rsid w:val="00CD7D7C"/>
    <w:rsid w:val="00CD7F5B"/>
    <w:rsid w:val="00CE04A2"/>
    <w:rsid w:val="00CE050D"/>
    <w:rsid w:val="00CE05BF"/>
    <w:rsid w:val="00CE072D"/>
    <w:rsid w:val="00CE07CA"/>
    <w:rsid w:val="00CE0AF0"/>
    <w:rsid w:val="00CE0BB1"/>
    <w:rsid w:val="00CE0F01"/>
    <w:rsid w:val="00CE0F52"/>
    <w:rsid w:val="00CE1056"/>
    <w:rsid w:val="00CE1094"/>
    <w:rsid w:val="00CE1104"/>
    <w:rsid w:val="00CE113B"/>
    <w:rsid w:val="00CE12B1"/>
    <w:rsid w:val="00CE12D9"/>
    <w:rsid w:val="00CE138C"/>
    <w:rsid w:val="00CE13E1"/>
    <w:rsid w:val="00CE1767"/>
    <w:rsid w:val="00CE19A1"/>
    <w:rsid w:val="00CE19D7"/>
    <w:rsid w:val="00CE1B3E"/>
    <w:rsid w:val="00CE1B81"/>
    <w:rsid w:val="00CE1C32"/>
    <w:rsid w:val="00CE1C39"/>
    <w:rsid w:val="00CE1C86"/>
    <w:rsid w:val="00CE1D77"/>
    <w:rsid w:val="00CE1F84"/>
    <w:rsid w:val="00CE2033"/>
    <w:rsid w:val="00CE2084"/>
    <w:rsid w:val="00CE2103"/>
    <w:rsid w:val="00CE2263"/>
    <w:rsid w:val="00CE2268"/>
    <w:rsid w:val="00CE22BD"/>
    <w:rsid w:val="00CE2465"/>
    <w:rsid w:val="00CE2485"/>
    <w:rsid w:val="00CE26E1"/>
    <w:rsid w:val="00CE26FD"/>
    <w:rsid w:val="00CE27A7"/>
    <w:rsid w:val="00CE28B1"/>
    <w:rsid w:val="00CE297C"/>
    <w:rsid w:val="00CE2A21"/>
    <w:rsid w:val="00CE2C2F"/>
    <w:rsid w:val="00CE2C60"/>
    <w:rsid w:val="00CE2E2E"/>
    <w:rsid w:val="00CE2F45"/>
    <w:rsid w:val="00CE3058"/>
    <w:rsid w:val="00CE30C2"/>
    <w:rsid w:val="00CE3135"/>
    <w:rsid w:val="00CE31FE"/>
    <w:rsid w:val="00CE3275"/>
    <w:rsid w:val="00CE3397"/>
    <w:rsid w:val="00CE3452"/>
    <w:rsid w:val="00CE34C5"/>
    <w:rsid w:val="00CE351C"/>
    <w:rsid w:val="00CE383D"/>
    <w:rsid w:val="00CE39B0"/>
    <w:rsid w:val="00CE3A08"/>
    <w:rsid w:val="00CE3A28"/>
    <w:rsid w:val="00CE3B93"/>
    <w:rsid w:val="00CE3CCE"/>
    <w:rsid w:val="00CE3D34"/>
    <w:rsid w:val="00CE3D98"/>
    <w:rsid w:val="00CE422E"/>
    <w:rsid w:val="00CE4270"/>
    <w:rsid w:val="00CE45B6"/>
    <w:rsid w:val="00CE4818"/>
    <w:rsid w:val="00CE4828"/>
    <w:rsid w:val="00CE48E8"/>
    <w:rsid w:val="00CE497B"/>
    <w:rsid w:val="00CE4A16"/>
    <w:rsid w:val="00CE4B35"/>
    <w:rsid w:val="00CE4E91"/>
    <w:rsid w:val="00CE4F85"/>
    <w:rsid w:val="00CE5023"/>
    <w:rsid w:val="00CE506B"/>
    <w:rsid w:val="00CE5209"/>
    <w:rsid w:val="00CE5229"/>
    <w:rsid w:val="00CE5348"/>
    <w:rsid w:val="00CE54A2"/>
    <w:rsid w:val="00CE5512"/>
    <w:rsid w:val="00CE59A0"/>
    <w:rsid w:val="00CE5A30"/>
    <w:rsid w:val="00CE5AEE"/>
    <w:rsid w:val="00CE5BB7"/>
    <w:rsid w:val="00CE5BD3"/>
    <w:rsid w:val="00CE5EB7"/>
    <w:rsid w:val="00CE6053"/>
    <w:rsid w:val="00CE61E4"/>
    <w:rsid w:val="00CE62B7"/>
    <w:rsid w:val="00CE62C4"/>
    <w:rsid w:val="00CE63B6"/>
    <w:rsid w:val="00CE644B"/>
    <w:rsid w:val="00CE66F2"/>
    <w:rsid w:val="00CE67DE"/>
    <w:rsid w:val="00CE68DB"/>
    <w:rsid w:val="00CE6B49"/>
    <w:rsid w:val="00CE6DEE"/>
    <w:rsid w:val="00CE6DF4"/>
    <w:rsid w:val="00CE6EEB"/>
    <w:rsid w:val="00CE6EF0"/>
    <w:rsid w:val="00CE6F90"/>
    <w:rsid w:val="00CE7073"/>
    <w:rsid w:val="00CE7200"/>
    <w:rsid w:val="00CE7529"/>
    <w:rsid w:val="00CE7703"/>
    <w:rsid w:val="00CE77A0"/>
    <w:rsid w:val="00CE78B4"/>
    <w:rsid w:val="00CE7969"/>
    <w:rsid w:val="00CE799B"/>
    <w:rsid w:val="00CE7B28"/>
    <w:rsid w:val="00CE7BD1"/>
    <w:rsid w:val="00CE7E11"/>
    <w:rsid w:val="00CE7E36"/>
    <w:rsid w:val="00CE7EEF"/>
    <w:rsid w:val="00CE7F07"/>
    <w:rsid w:val="00CF00A0"/>
    <w:rsid w:val="00CF01B1"/>
    <w:rsid w:val="00CF0214"/>
    <w:rsid w:val="00CF021E"/>
    <w:rsid w:val="00CF02AD"/>
    <w:rsid w:val="00CF031B"/>
    <w:rsid w:val="00CF03D8"/>
    <w:rsid w:val="00CF03ED"/>
    <w:rsid w:val="00CF040B"/>
    <w:rsid w:val="00CF05D0"/>
    <w:rsid w:val="00CF0630"/>
    <w:rsid w:val="00CF07A2"/>
    <w:rsid w:val="00CF0904"/>
    <w:rsid w:val="00CF093E"/>
    <w:rsid w:val="00CF098E"/>
    <w:rsid w:val="00CF0A62"/>
    <w:rsid w:val="00CF0B75"/>
    <w:rsid w:val="00CF0BC7"/>
    <w:rsid w:val="00CF0DAA"/>
    <w:rsid w:val="00CF0E71"/>
    <w:rsid w:val="00CF10A0"/>
    <w:rsid w:val="00CF10C4"/>
    <w:rsid w:val="00CF12EB"/>
    <w:rsid w:val="00CF1416"/>
    <w:rsid w:val="00CF14E8"/>
    <w:rsid w:val="00CF1571"/>
    <w:rsid w:val="00CF1778"/>
    <w:rsid w:val="00CF1AFB"/>
    <w:rsid w:val="00CF1CCA"/>
    <w:rsid w:val="00CF1D1F"/>
    <w:rsid w:val="00CF1E4A"/>
    <w:rsid w:val="00CF1F08"/>
    <w:rsid w:val="00CF20CE"/>
    <w:rsid w:val="00CF24DA"/>
    <w:rsid w:val="00CF24E2"/>
    <w:rsid w:val="00CF2569"/>
    <w:rsid w:val="00CF27DA"/>
    <w:rsid w:val="00CF285C"/>
    <w:rsid w:val="00CF2A82"/>
    <w:rsid w:val="00CF2E3D"/>
    <w:rsid w:val="00CF2FA4"/>
    <w:rsid w:val="00CF31A4"/>
    <w:rsid w:val="00CF32C1"/>
    <w:rsid w:val="00CF32D1"/>
    <w:rsid w:val="00CF32E4"/>
    <w:rsid w:val="00CF33C7"/>
    <w:rsid w:val="00CF3656"/>
    <w:rsid w:val="00CF3692"/>
    <w:rsid w:val="00CF36A8"/>
    <w:rsid w:val="00CF36E7"/>
    <w:rsid w:val="00CF3A74"/>
    <w:rsid w:val="00CF3B56"/>
    <w:rsid w:val="00CF3D3B"/>
    <w:rsid w:val="00CF3D4D"/>
    <w:rsid w:val="00CF3D76"/>
    <w:rsid w:val="00CF3DCB"/>
    <w:rsid w:val="00CF3E97"/>
    <w:rsid w:val="00CF3EBB"/>
    <w:rsid w:val="00CF3EC2"/>
    <w:rsid w:val="00CF3ED9"/>
    <w:rsid w:val="00CF3F33"/>
    <w:rsid w:val="00CF4081"/>
    <w:rsid w:val="00CF436F"/>
    <w:rsid w:val="00CF493A"/>
    <w:rsid w:val="00CF4AD6"/>
    <w:rsid w:val="00CF4BD5"/>
    <w:rsid w:val="00CF4D22"/>
    <w:rsid w:val="00CF4D7A"/>
    <w:rsid w:val="00CF50EF"/>
    <w:rsid w:val="00CF532E"/>
    <w:rsid w:val="00CF5405"/>
    <w:rsid w:val="00CF5616"/>
    <w:rsid w:val="00CF5AB7"/>
    <w:rsid w:val="00CF5AEC"/>
    <w:rsid w:val="00CF5B61"/>
    <w:rsid w:val="00CF5B9E"/>
    <w:rsid w:val="00CF5BA0"/>
    <w:rsid w:val="00CF5DBC"/>
    <w:rsid w:val="00CF5E5A"/>
    <w:rsid w:val="00CF5EC7"/>
    <w:rsid w:val="00CF5F4E"/>
    <w:rsid w:val="00CF60E1"/>
    <w:rsid w:val="00CF633E"/>
    <w:rsid w:val="00CF639E"/>
    <w:rsid w:val="00CF644D"/>
    <w:rsid w:val="00CF66FD"/>
    <w:rsid w:val="00CF6983"/>
    <w:rsid w:val="00CF6A31"/>
    <w:rsid w:val="00CF6A65"/>
    <w:rsid w:val="00CF6A92"/>
    <w:rsid w:val="00CF6B02"/>
    <w:rsid w:val="00CF6B68"/>
    <w:rsid w:val="00CF6B6E"/>
    <w:rsid w:val="00CF6F49"/>
    <w:rsid w:val="00CF708E"/>
    <w:rsid w:val="00CF70ED"/>
    <w:rsid w:val="00CF7125"/>
    <w:rsid w:val="00CF72CB"/>
    <w:rsid w:val="00CF7321"/>
    <w:rsid w:val="00CF7395"/>
    <w:rsid w:val="00CF73AA"/>
    <w:rsid w:val="00CF73AC"/>
    <w:rsid w:val="00CF7455"/>
    <w:rsid w:val="00CF74EE"/>
    <w:rsid w:val="00CF76EA"/>
    <w:rsid w:val="00CF7774"/>
    <w:rsid w:val="00CF7874"/>
    <w:rsid w:val="00CF79E6"/>
    <w:rsid w:val="00CF79FA"/>
    <w:rsid w:val="00CF7DBE"/>
    <w:rsid w:val="00CF7ECA"/>
    <w:rsid w:val="00CF7F27"/>
    <w:rsid w:val="00D00078"/>
    <w:rsid w:val="00D0012E"/>
    <w:rsid w:val="00D00197"/>
    <w:rsid w:val="00D001F1"/>
    <w:rsid w:val="00D001FB"/>
    <w:rsid w:val="00D004B0"/>
    <w:rsid w:val="00D004F7"/>
    <w:rsid w:val="00D00589"/>
    <w:rsid w:val="00D006BA"/>
    <w:rsid w:val="00D00904"/>
    <w:rsid w:val="00D009AA"/>
    <w:rsid w:val="00D00BAA"/>
    <w:rsid w:val="00D00C5C"/>
    <w:rsid w:val="00D00C63"/>
    <w:rsid w:val="00D00D6D"/>
    <w:rsid w:val="00D00F2D"/>
    <w:rsid w:val="00D010BA"/>
    <w:rsid w:val="00D0112B"/>
    <w:rsid w:val="00D01181"/>
    <w:rsid w:val="00D015C6"/>
    <w:rsid w:val="00D01690"/>
    <w:rsid w:val="00D01DCA"/>
    <w:rsid w:val="00D01E06"/>
    <w:rsid w:val="00D01E73"/>
    <w:rsid w:val="00D01E7C"/>
    <w:rsid w:val="00D01EB0"/>
    <w:rsid w:val="00D01EEB"/>
    <w:rsid w:val="00D020F9"/>
    <w:rsid w:val="00D0214B"/>
    <w:rsid w:val="00D021D3"/>
    <w:rsid w:val="00D0242E"/>
    <w:rsid w:val="00D02560"/>
    <w:rsid w:val="00D025C2"/>
    <w:rsid w:val="00D025E9"/>
    <w:rsid w:val="00D02A27"/>
    <w:rsid w:val="00D02AC8"/>
    <w:rsid w:val="00D02B33"/>
    <w:rsid w:val="00D02C6E"/>
    <w:rsid w:val="00D02CD7"/>
    <w:rsid w:val="00D02DAD"/>
    <w:rsid w:val="00D02DB6"/>
    <w:rsid w:val="00D02E1D"/>
    <w:rsid w:val="00D031AD"/>
    <w:rsid w:val="00D0329C"/>
    <w:rsid w:val="00D033F9"/>
    <w:rsid w:val="00D036CF"/>
    <w:rsid w:val="00D037A4"/>
    <w:rsid w:val="00D03836"/>
    <w:rsid w:val="00D03843"/>
    <w:rsid w:val="00D038BB"/>
    <w:rsid w:val="00D038EE"/>
    <w:rsid w:val="00D03A47"/>
    <w:rsid w:val="00D03B4F"/>
    <w:rsid w:val="00D03C5F"/>
    <w:rsid w:val="00D03D1E"/>
    <w:rsid w:val="00D03D53"/>
    <w:rsid w:val="00D03DAB"/>
    <w:rsid w:val="00D03DE2"/>
    <w:rsid w:val="00D03E24"/>
    <w:rsid w:val="00D03ECF"/>
    <w:rsid w:val="00D0415B"/>
    <w:rsid w:val="00D04268"/>
    <w:rsid w:val="00D042A3"/>
    <w:rsid w:val="00D0431A"/>
    <w:rsid w:val="00D04530"/>
    <w:rsid w:val="00D04581"/>
    <w:rsid w:val="00D046EF"/>
    <w:rsid w:val="00D046F6"/>
    <w:rsid w:val="00D04794"/>
    <w:rsid w:val="00D048A4"/>
    <w:rsid w:val="00D04A40"/>
    <w:rsid w:val="00D04A79"/>
    <w:rsid w:val="00D04AE1"/>
    <w:rsid w:val="00D04B2F"/>
    <w:rsid w:val="00D04C72"/>
    <w:rsid w:val="00D0500B"/>
    <w:rsid w:val="00D05094"/>
    <w:rsid w:val="00D0521D"/>
    <w:rsid w:val="00D05278"/>
    <w:rsid w:val="00D055A0"/>
    <w:rsid w:val="00D05A17"/>
    <w:rsid w:val="00D05BB7"/>
    <w:rsid w:val="00D05C1B"/>
    <w:rsid w:val="00D05C59"/>
    <w:rsid w:val="00D05DE5"/>
    <w:rsid w:val="00D05EAD"/>
    <w:rsid w:val="00D05F85"/>
    <w:rsid w:val="00D06007"/>
    <w:rsid w:val="00D0606B"/>
    <w:rsid w:val="00D060EC"/>
    <w:rsid w:val="00D06319"/>
    <w:rsid w:val="00D067DB"/>
    <w:rsid w:val="00D06843"/>
    <w:rsid w:val="00D069C3"/>
    <w:rsid w:val="00D06A3F"/>
    <w:rsid w:val="00D06F2D"/>
    <w:rsid w:val="00D06F59"/>
    <w:rsid w:val="00D06F7A"/>
    <w:rsid w:val="00D06FC8"/>
    <w:rsid w:val="00D07056"/>
    <w:rsid w:val="00D070B9"/>
    <w:rsid w:val="00D0712F"/>
    <w:rsid w:val="00D07199"/>
    <w:rsid w:val="00D07320"/>
    <w:rsid w:val="00D07358"/>
    <w:rsid w:val="00D073BF"/>
    <w:rsid w:val="00D0744D"/>
    <w:rsid w:val="00D077AA"/>
    <w:rsid w:val="00D077D1"/>
    <w:rsid w:val="00D07806"/>
    <w:rsid w:val="00D07A64"/>
    <w:rsid w:val="00D07ABD"/>
    <w:rsid w:val="00D07CA7"/>
    <w:rsid w:val="00D07E3E"/>
    <w:rsid w:val="00D07E86"/>
    <w:rsid w:val="00D07EAC"/>
    <w:rsid w:val="00D07F92"/>
    <w:rsid w:val="00D07F9A"/>
    <w:rsid w:val="00D1002D"/>
    <w:rsid w:val="00D100EE"/>
    <w:rsid w:val="00D1018A"/>
    <w:rsid w:val="00D101DC"/>
    <w:rsid w:val="00D103B9"/>
    <w:rsid w:val="00D104C2"/>
    <w:rsid w:val="00D104E4"/>
    <w:rsid w:val="00D1056C"/>
    <w:rsid w:val="00D108FC"/>
    <w:rsid w:val="00D10945"/>
    <w:rsid w:val="00D1094F"/>
    <w:rsid w:val="00D10AD9"/>
    <w:rsid w:val="00D10AFC"/>
    <w:rsid w:val="00D10BE5"/>
    <w:rsid w:val="00D10CF1"/>
    <w:rsid w:val="00D10D2F"/>
    <w:rsid w:val="00D1111F"/>
    <w:rsid w:val="00D111A7"/>
    <w:rsid w:val="00D111D7"/>
    <w:rsid w:val="00D11645"/>
    <w:rsid w:val="00D1164D"/>
    <w:rsid w:val="00D1174C"/>
    <w:rsid w:val="00D11839"/>
    <w:rsid w:val="00D11B1A"/>
    <w:rsid w:val="00D11F6E"/>
    <w:rsid w:val="00D11F90"/>
    <w:rsid w:val="00D1200B"/>
    <w:rsid w:val="00D1219B"/>
    <w:rsid w:val="00D122F4"/>
    <w:rsid w:val="00D124AA"/>
    <w:rsid w:val="00D125A8"/>
    <w:rsid w:val="00D1264B"/>
    <w:rsid w:val="00D12859"/>
    <w:rsid w:val="00D128C2"/>
    <w:rsid w:val="00D129B0"/>
    <w:rsid w:val="00D13029"/>
    <w:rsid w:val="00D130B9"/>
    <w:rsid w:val="00D132C2"/>
    <w:rsid w:val="00D135D3"/>
    <w:rsid w:val="00D1362D"/>
    <w:rsid w:val="00D13B89"/>
    <w:rsid w:val="00D13CB1"/>
    <w:rsid w:val="00D13E58"/>
    <w:rsid w:val="00D13EDB"/>
    <w:rsid w:val="00D13F12"/>
    <w:rsid w:val="00D140D7"/>
    <w:rsid w:val="00D143E7"/>
    <w:rsid w:val="00D144AC"/>
    <w:rsid w:val="00D1455E"/>
    <w:rsid w:val="00D14645"/>
    <w:rsid w:val="00D14686"/>
    <w:rsid w:val="00D1475F"/>
    <w:rsid w:val="00D1491A"/>
    <w:rsid w:val="00D1492E"/>
    <w:rsid w:val="00D14CE5"/>
    <w:rsid w:val="00D14D35"/>
    <w:rsid w:val="00D14F8B"/>
    <w:rsid w:val="00D15293"/>
    <w:rsid w:val="00D152B3"/>
    <w:rsid w:val="00D152E6"/>
    <w:rsid w:val="00D153DF"/>
    <w:rsid w:val="00D156C3"/>
    <w:rsid w:val="00D157A2"/>
    <w:rsid w:val="00D157F7"/>
    <w:rsid w:val="00D15C12"/>
    <w:rsid w:val="00D15C6B"/>
    <w:rsid w:val="00D15D8C"/>
    <w:rsid w:val="00D15F0A"/>
    <w:rsid w:val="00D15F0C"/>
    <w:rsid w:val="00D15F68"/>
    <w:rsid w:val="00D160B8"/>
    <w:rsid w:val="00D16102"/>
    <w:rsid w:val="00D16229"/>
    <w:rsid w:val="00D16293"/>
    <w:rsid w:val="00D162B1"/>
    <w:rsid w:val="00D16581"/>
    <w:rsid w:val="00D16593"/>
    <w:rsid w:val="00D1662B"/>
    <w:rsid w:val="00D16963"/>
    <w:rsid w:val="00D16A5D"/>
    <w:rsid w:val="00D16A7F"/>
    <w:rsid w:val="00D16AEB"/>
    <w:rsid w:val="00D16BEB"/>
    <w:rsid w:val="00D16C65"/>
    <w:rsid w:val="00D17353"/>
    <w:rsid w:val="00D17361"/>
    <w:rsid w:val="00D17364"/>
    <w:rsid w:val="00D173AB"/>
    <w:rsid w:val="00D17492"/>
    <w:rsid w:val="00D176B5"/>
    <w:rsid w:val="00D1799E"/>
    <w:rsid w:val="00D179DA"/>
    <w:rsid w:val="00D17A7C"/>
    <w:rsid w:val="00D17ABE"/>
    <w:rsid w:val="00D17C3A"/>
    <w:rsid w:val="00D17DB0"/>
    <w:rsid w:val="00D17F69"/>
    <w:rsid w:val="00D2008B"/>
    <w:rsid w:val="00D202E7"/>
    <w:rsid w:val="00D202FA"/>
    <w:rsid w:val="00D2088B"/>
    <w:rsid w:val="00D20B96"/>
    <w:rsid w:val="00D20C91"/>
    <w:rsid w:val="00D20CC1"/>
    <w:rsid w:val="00D20F19"/>
    <w:rsid w:val="00D20F25"/>
    <w:rsid w:val="00D20FCD"/>
    <w:rsid w:val="00D2115E"/>
    <w:rsid w:val="00D21166"/>
    <w:rsid w:val="00D2127A"/>
    <w:rsid w:val="00D213D0"/>
    <w:rsid w:val="00D214B6"/>
    <w:rsid w:val="00D215A5"/>
    <w:rsid w:val="00D215E4"/>
    <w:rsid w:val="00D21604"/>
    <w:rsid w:val="00D2177B"/>
    <w:rsid w:val="00D217F3"/>
    <w:rsid w:val="00D2187E"/>
    <w:rsid w:val="00D21B6D"/>
    <w:rsid w:val="00D21BC0"/>
    <w:rsid w:val="00D21C5E"/>
    <w:rsid w:val="00D21C96"/>
    <w:rsid w:val="00D21D0D"/>
    <w:rsid w:val="00D21D65"/>
    <w:rsid w:val="00D21DE6"/>
    <w:rsid w:val="00D21FF3"/>
    <w:rsid w:val="00D2225F"/>
    <w:rsid w:val="00D222AD"/>
    <w:rsid w:val="00D2238D"/>
    <w:rsid w:val="00D22403"/>
    <w:rsid w:val="00D22700"/>
    <w:rsid w:val="00D2272E"/>
    <w:rsid w:val="00D228D7"/>
    <w:rsid w:val="00D229C6"/>
    <w:rsid w:val="00D22A84"/>
    <w:rsid w:val="00D22B3B"/>
    <w:rsid w:val="00D22B59"/>
    <w:rsid w:val="00D22B6A"/>
    <w:rsid w:val="00D22C41"/>
    <w:rsid w:val="00D22E3A"/>
    <w:rsid w:val="00D22E4F"/>
    <w:rsid w:val="00D22ED0"/>
    <w:rsid w:val="00D2302E"/>
    <w:rsid w:val="00D230B6"/>
    <w:rsid w:val="00D231E6"/>
    <w:rsid w:val="00D23218"/>
    <w:rsid w:val="00D232F5"/>
    <w:rsid w:val="00D23311"/>
    <w:rsid w:val="00D233E4"/>
    <w:rsid w:val="00D237C7"/>
    <w:rsid w:val="00D23A18"/>
    <w:rsid w:val="00D23C7A"/>
    <w:rsid w:val="00D23D0E"/>
    <w:rsid w:val="00D242EC"/>
    <w:rsid w:val="00D24431"/>
    <w:rsid w:val="00D2462E"/>
    <w:rsid w:val="00D2465A"/>
    <w:rsid w:val="00D248B7"/>
    <w:rsid w:val="00D249CC"/>
    <w:rsid w:val="00D24A38"/>
    <w:rsid w:val="00D24A67"/>
    <w:rsid w:val="00D24BFF"/>
    <w:rsid w:val="00D24C7D"/>
    <w:rsid w:val="00D24C9B"/>
    <w:rsid w:val="00D24EF7"/>
    <w:rsid w:val="00D253DA"/>
    <w:rsid w:val="00D254F8"/>
    <w:rsid w:val="00D25637"/>
    <w:rsid w:val="00D25684"/>
    <w:rsid w:val="00D25685"/>
    <w:rsid w:val="00D256B9"/>
    <w:rsid w:val="00D2575E"/>
    <w:rsid w:val="00D257EC"/>
    <w:rsid w:val="00D25807"/>
    <w:rsid w:val="00D2582D"/>
    <w:rsid w:val="00D25B74"/>
    <w:rsid w:val="00D25BA9"/>
    <w:rsid w:val="00D25D1B"/>
    <w:rsid w:val="00D25EEF"/>
    <w:rsid w:val="00D25F5B"/>
    <w:rsid w:val="00D25F95"/>
    <w:rsid w:val="00D25FE3"/>
    <w:rsid w:val="00D26116"/>
    <w:rsid w:val="00D263C3"/>
    <w:rsid w:val="00D2657F"/>
    <w:rsid w:val="00D265D8"/>
    <w:rsid w:val="00D26703"/>
    <w:rsid w:val="00D26732"/>
    <w:rsid w:val="00D267C9"/>
    <w:rsid w:val="00D26818"/>
    <w:rsid w:val="00D2683E"/>
    <w:rsid w:val="00D26977"/>
    <w:rsid w:val="00D269BE"/>
    <w:rsid w:val="00D26B82"/>
    <w:rsid w:val="00D26C20"/>
    <w:rsid w:val="00D26D77"/>
    <w:rsid w:val="00D26E5E"/>
    <w:rsid w:val="00D26F7B"/>
    <w:rsid w:val="00D27221"/>
    <w:rsid w:val="00D27236"/>
    <w:rsid w:val="00D2751D"/>
    <w:rsid w:val="00D27587"/>
    <w:rsid w:val="00D275EF"/>
    <w:rsid w:val="00D2763C"/>
    <w:rsid w:val="00D27659"/>
    <w:rsid w:val="00D277AC"/>
    <w:rsid w:val="00D27941"/>
    <w:rsid w:val="00D279B0"/>
    <w:rsid w:val="00D27ACB"/>
    <w:rsid w:val="00D27D15"/>
    <w:rsid w:val="00D27DF1"/>
    <w:rsid w:val="00D30069"/>
    <w:rsid w:val="00D30079"/>
    <w:rsid w:val="00D300A9"/>
    <w:rsid w:val="00D30158"/>
    <w:rsid w:val="00D30161"/>
    <w:rsid w:val="00D301F1"/>
    <w:rsid w:val="00D303FA"/>
    <w:rsid w:val="00D30587"/>
    <w:rsid w:val="00D30620"/>
    <w:rsid w:val="00D3069A"/>
    <w:rsid w:val="00D3076A"/>
    <w:rsid w:val="00D3086F"/>
    <w:rsid w:val="00D309E9"/>
    <w:rsid w:val="00D30A23"/>
    <w:rsid w:val="00D30A5B"/>
    <w:rsid w:val="00D30C14"/>
    <w:rsid w:val="00D30C51"/>
    <w:rsid w:val="00D30CA1"/>
    <w:rsid w:val="00D30D7E"/>
    <w:rsid w:val="00D30E80"/>
    <w:rsid w:val="00D30EBC"/>
    <w:rsid w:val="00D31013"/>
    <w:rsid w:val="00D310EC"/>
    <w:rsid w:val="00D31145"/>
    <w:rsid w:val="00D311E7"/>
    <w:rsid w:val="00D312EA"/>
    <w:rsid w:val="00D31333"/>
    <w:rsid w:val="00D31386"/>
    <w:rsid w:val="00D313D7"/>
    <w:rsid w:val="00D31573"/>
    <w:rsid w:val="00D31D25"/>
    <w:rsid w:val="00D31D2B"/>
    <w:rsid w:val="00D31E24"/>
    <w:rsid w:val="00D31F18"/>
    <w:rsid w:val="00D32274"/>
    <w:rsid w:val="00D322CC"/>
    <w:rsid w:val="00D32343"/>
    <w:rsid w:val="00D32365"/>
    <w:rsid w:val="00D325A8"/>
    <w:rsid w:val="00D32992"/>
    <w:rsid w:val="00D32A6C"/>
    <w:rsid w:val="00D32A84"/>
    <w:rsid w:val="00D32ACA"/>
    <w:rsid w:val="00D32D59"/>
    <w:rsid w:val="00D32D5C"/>
    <w:rsid w:val="00D32D72"/>
    <w:rsid w:val="00D32D74"/>
    <w:rsid w:val="00D32F14"/>
    <w:rsid w:val="00D32F97"/>
    <w:rsid w:val="00D32F9E"/>
    <w:rsid w:val="00D32FB9"/>
    <w:rsid w:val="00D32FF6"/>
    <w:rsid w:val="00D32FFF"/>
    <w:rsid w:val="00D331DD"/>
    <w:rsid w:val="00D3347F"/>
    <w:rsid w:val="00D33491"/>
    <w:rsid w:val="00D33686"/>
    <w:rsid w:val="00D336D4"/>
    <w:rsid w:val="00D33735"/>
    <w:rsid w:val="00D33A00"/>
    <w:rsid w:val="00D33AD6"/>
    <w:rsid w:val="00D33AD7"/>
    <w:rsid w:val="00D33D95"/>
    <w:rsid w:val="00D3417D"/>
    <w:rsid w:val="00D341BC"/>
    <w:rsid w:val="00D342E7"/>
    <w:rsid w:val="00D34396"/>
    <w:rsid w:val="00D34554"/>
    <w:rsid w:val="00D345E6"/>
    <w:rsid w:val="00D3480F"/>
    <w:rsid w:val="00D3481D"/>
    <w:rsid w:val="00D3484A"/>
    <w:rsid w:val="00D34911"/>
    <w:rsid w:val="00D34953"/>
    <w:rsid w:val="00D34A6D"/>
    <w:rsid w:val="00D34DAE"/>
    <w:rsid w:val="00D34DEE"/>
    <w:rsid w:val="00D34F03"/>
    <w:rsid w:val="00D351B3"/>
    <w:rsid w:val="00D3535E"/>
    <w:rsid w:val="00D353BC"/>
    <w:rsid w:val="00D35522"/>
    <w:rsid w:val="00D356B8"/>
    <w:rsid w:val="00D356E8"/>
    <w:rsid w:val="00D35862"/>
    <w:rsid w:val="00D358AD"/>
    <w:rsid w:val="00D35924"/>
    <w:rsid w:val="00D359D8"/>
    <w:rsid w:val="00D35C3C"/>
    <w:rsid w:val="00D35DB5"/>
    <w:rsid w:val="00D35DCA"/>
    <w:rsid w:val="00D3615F"/>
    <w:rsid w:val="00D361D1"/>
    <w:rsid w:val="00D36362"/>
    <w:rsid w:val="00D3679E"/>
    <w:rsid w:val="00D36946"/>
    <w:rsid w:val="00D36A32"/>
    <w:rsid w:val="00D36A79"/>
    <w:rsid w:val="00D36AEC"/>
    <w:rsid w:val="00D36B11"/>
    <w:rsid w:val="00D36C09"/>
    <w:rsid w:val="00D36C45"/>
    <w:rsid w:val="00D36C8F"/>
    <w:rsid w:val="00D36DD7"/>
    <w:rsid w:val="00D36E7A"/>
    <w:rsid w:val="00D36F41"/>
    <w:rsid w:val="00D370D2"/>
    <w:rsid w:val="00D371CC"/>
    <w:rsid w:val="00D37426"/>
    <w:rsid w:val="00D37529"/>
    <w:rsid w:val="00D375F1"/>
    <w:rsid w:val="00D3762E"/>
    <w:rsid w:val="00D37747"/>
    <w:rsid w:val="00D37812"/>
    <w:rsid w:val="00D37832"/>
    <w:rsid w:val="00D37844"/>
    <w:rsid w:val="00D37959"/>
    <w:rsid w:val="00D37A33"/>
    <w:rsid w:val="00D37DD1"/>
    <w:rsid w:val="00D40079"/>
    <w:rsid w:val="00D40235"/>
    <w:rsid w:val="00D402CD"/>
    <w:rsid w:val="00D4030A"/>
    <w:rsid w:val="00D403EC"/>
    <w:rsid w:val="00D40613"/>
    <w:rsid w:val="00D40622"/>
    <w:rsid w:val="00D407B1"/>
    <w:rsid w:val="00D407BE"/>
    <w:rsid w:val="00D408C2"/>
    <w:rsid w:val="00D408D3"/>
    <w:rsid w:val="00D40A5A"/>
    <w:rsid w:val="00D40D00"/>
    <w:rsid w:val="00D41203"/>
    <w:rsid w:val="00D4129C"/>
    <w:rsid w:val="00D41357"/>
    <w:rsid w:val="00D413C2"/>
    <w:rsid w:val="00D413F4"/>
    <w:rsid w:val="00D413FF"/>
    <w:rsid w:val="00D4151B"/>
    <w:rsid w:val="00D4156D"/>
    <w:rsid w:val="00D4172E"/>
    <w:rsid w:val="00D4176E"/>
    <w:rsid w:val="00D41792"/>
    <w:rsid w:val="00D4190C"/>
    <w:rsid w:val="00D4193D"/>
    <w:rsid w:val="00D41A87"/>
    <w:rsid w:val="00D41BC6"/>
    <w:rsid w:val="00D41CE8"/>
    <w:rsid w:val="00D41D49"/>
    <w:rsid w:val="00D41ECF"/>
    <w:rsid w:val="00D41FAF"/>
    <w:rsid w:val="00D4207A"/>
    <w:rsid w:val="00D420CD"/>
    <w:rsid w:val="00D420FE"/>
    <w:rsid w:val="00D4212B"/>
    <w:rsid w:val="00D42198"/>
    <w:rsid w:val="00D421E6"/>
    <w:rsid w:val="00D4228B"/>
    <w:rsid w:val="00D423B3"/>
    <w:rsid w:val="00D42511"/>
    <w:rsid w:val="00D42617"/>
    <w:rsid w:val="00D4269F"/>
    <w:rsid w:val="00D42A16"/>
    <w:rsid w:val="00D42A9B"/>
    <w:rsid w:val="00D42B8A"/>
    <w:rsid w:val="00D42C89"/>
    <w:rsid w:val="00D42D46"/>
    <w:rsid w:val="00D42F50"/>
    <w:rsid w:val="00D4326F"/>
    <w:rsid w:val="00D43438"/>
    <w:rsid w:val="00D434AE"/>
    <w:rsid w:val="00D43591"/>
    <w:rsid w:val="00D435F3"/>
    <w:rsid w:val="00D43631"/>
    <w:rsid w:val="00D43706"/>
    <w:rsid w:val="00D43982"/>
    <w:rsid w:val="00D43CAD"/>
    <w:rsid w:val="00D43D19"/>
    <w:rsid w:val="00D4421A"/>
    <w:rsid w:val="00D44355"/>
    <w:rsid w:val="00D444C1"/>
    <w:rsid w:val="00D4453F"/>
    <w:rsid w:val="00D44608"/>
    <w:rsid w:val="00D44812"/>
    <w:rsid w:val="00D44A4D"/>
    <w:rsid w:val="00D44DE7"/>
    <w:rsid w:val="00D44EFB"/>
    <w:rsid w:val="00D44FF2"/>
    <w:rsid w:val="00D45049"/>
    <w:rsid w:val="00D4514D"/>
    <w:rsid w:val="00D451DC"/>
    <w:rsid w:val="00D4523D"/>
    <w:rsid w:val="00D4535D"/>
    <w:rsid w:val="00D45510"/>
    <w:rsid w:val="00D45608"/>
    <w:rsid w:val="00D45696"/>
    <w:rsid w:val="00D45841"/>
    <w:rsid w:val="00D45859"/>
    <w:rsid w:val="00D459D9"/>
    <w:rsid w:val="00D45A30"/>
    <w:rsid w:val="00D45BAC"/>
    <w:rsid w:val="00D45C70"/>
    <w:rsid w:val="00D46337"/>
    <w:rsid w:val="00D463B5"/>
    <w:rsid w:val="00D463D1"/>
    <w:rsid w:val="00D463D3"/>
    <w:rsid w:val="00D463F6"/>
    <w:rsid w:val="00D4649B"/>
    <w:rsid w:val="00D464D1"/>
    <w:rsid w:val="00D46533"/>
    <w:rsid w:val="00D4654A"/>
    <w:rsid w:val="00D46596"/>
    <w:rsid w:val="00D46936"/>
    <w:rsid w:val="00D46D26"/>
    <w:rsid w:val="00D46E1C"/>
    <w:rsid w:val="00D46FFE"/>
    <w:rsid w:val="00D47145"/>
    <w:rsid w:val="00D4721A"/>
    <w:rsid w:val="00D47272"/>
    <w:rsid w:val="00D47370"/>
    <w:rsid w:val="00D4747F"/>
    <w:rsid w:val="00D47487"/>
    <w:rsid w:val="00D47642"/>
    <w:rsid w:val="00D47669"/>
    <w:rsid w:val="00D47700"/>
    <w:rsid w:val="00D4782E"/>
    <w:rsid w:val="00D47847"/>
    <w:rsid w:val="00D47985"/>
    <w:rsid w:val="00D47EDF"/>
    <w:rsid w:val="00D5008C"/>
    <w:rsid w:val="00D50330"/>
    <w:rsid w:val="00D50374"/>
    <w:rsid w:val="00D503CF"/>
    <w:rsid w:val="00D50497"/>
    <w:rsid w:val="00D5065F"/>
    <w:rsid w:val="00D50688"/>
    <w:rsid w:val="00D506B3"/>
    <w:rsid w:val="00D506EB"/>
    <w:rsid w:val="00D5086B"/>
    <w:rsid w:val="00D50884"/>
    <w:rsid w:val="00D50944"/>
    <w:rsid w:val="00D50975"/>
    <w:rsid w:val="00D50DF0"/>
    <w:rsid w:val="00D510D9"/>
    <w:rsid w:val="00D511BF"/>
    <w:rsid w:val="00D511C4"/>
    <w:rsid w:val="00D51239"/>
    <w:rsid w:val="00D512D0"/>
    <w:rsid w:val="00D513A3"/>
    <w:rsid w:val="00D515C7"/>
    <w:rsid w:val="00D515E9"/>
    <w:rsid w:val="00D5166F"/>
    <w:rsid w:val="00D51898"/>
    <w:rsid w:val="00D51C14"/>
    <w:rsid w:val="00D51F48"/>
    <w:rsid w:val="00D51F63"/>
    <w:rsid w:val="00D5218A"/>
    <w:rsid w:val="00D52205"/>
    <w:rsid w:val="00D52322"/>
    <w:rsid w:val="00D523A8"/>
    <w:rsid w:val="00D523C5"/>
    <w:rsid w:val="00D523D6"/>
    <w:rsid w:val="00D524D2"/>
    <w:rsid w:val="00D52529"/>
    <w:rsid w:val="00D526BC"/>
    <w:rsid w:val="00D527DD"/>
    <w:rsid w:val="00D5287F"/>
    <w:rsid w:val="00D528F9"/>
    <w:rsid w:val="00D5292B"/>
    <w:rsid w:val="00D52B9E"/>
    <w:rsid w:val="00D52C99"/>
    <w:rsid w:val="00D52CAE"/>
    <w:rsid w:val="00D52D0E"/>
    <w:rsid w:val="00D52EB8"/>
    <w:rsid w:val="00D52FDF"/>
    <w:rsid w:val="00D5302E"/>
    <w:rsid w:val="00D53122"/>
    <w:rsid w:val="00D5314A"/>
    <w:rsid w:val="00D5321B"/>
    <w:rsid w:val="00D53347"/>
    <w:rsid w:val="00D5339D"/>
    <w:rsid w:val="00D53553"/>
    <w:rsid w:val="00D5374B"/>
    <w:rsid w:val="00D53782"/>
    <w:rsid w:val="00D537D2"/>
    <w:rsid w:val="00D53866"/>
    <w:rsid w:val="00D53891"/>
    <w:rsid w:val="00D53984"/>
    <w:rsid w:val="00D53C9C"/>
    <w:rsid w:val="00D53DE6"/>
    <w:rsid w:val="00D53E8C"/>
    <w:rsid w:val="00D54004"/>
    <w:rsid w:val="00D54062"/>
    <w:rsid w:val="00D54114"/>
    <w:rsid w:val="00D541A8"/>
    <w:rsid w:val="00D541B8"/>
    <w:rsid w:val="00D54346"/>
    <w:rsid w:val="00D5438A"/>
    <w:rsid w:val="00D543B4"/>
    <w:rsid w:val="00D54599"/>
    <w:rsid w:val="00D548E6"/>
    <w:rsid w:val="00D549CD"/>
    <w:rsid w:val="00D549FE"/>
    <w:rsid w:val="00D54A24"/>
    <w:rsid w:val="00D54B90"/>
    <w:rsid w:val="00D54DA4"/>
    <w:rsid w:val="00D54DCE"/>
    <w:rsid w:val="00D54F01"/>
    <w:rsid w:val="00D54F15"/>
    <w:rsid w:val="00D551E3"/>
    <w:rsid w:val="00D552D9"/>
    <w:rsid w:val="00D55308"/>
    <w:rsid w:val="00D5531C"/>
    <w:rsid w:val="00D553DD"/>
    <w:rsid w:val="00D55683"/>
    <w:rsid w:val="00D55761"/>
    <w:rsid w:val="00D55798"/>
    <w:rsid w:val="00D559C9"/>
    <w:rsid w:val="00D55A0D"/>
    <w:rsid w:val="00D55A13"/>
    <w:rsid w:val="00D55DA2"/>
    <w:rsid w:val="00D55DF1"/>
    <w:rsid w:val="00D55E71"/>
    <w:rsid w:val="00D56308"/>
    <w:rsid w:val="00D5634C"/>
    <w:rsid w:val="00D563B6"/>
    <w:rsid w:val="00D56453"/>
    <w:rsid w:val="00D564FD"/>
    <w:rsid w:val="00D567E8"/>
    <w:rsid w:val="00D5687E"/>
    <w:rsid w:val="00D568B5"/>
    <w:rsid w:val="00D568BF"/>
    <w:rsid w:val="00D568C3"/>
    <w:rsid w:val="00D56AC4"/>
    <w:rsid w:val="00D56E29"/>
    <w:rsid w:val="00D56FB5"/>
    <w:rsid w:val="00D57028"/>
    <w:rsid w:val="00D5707D"/>
    <w:rsid w:val="00D570F3"/>
    <w:rsid w:val="00D572FE"/>
    <w:rsid w:val="00D57439"/>
    <w:rsid w:val="00D5743A"/>
    <w:rsid w:val="00D5757C"/>
    <w:rsid w:val="00D575C6"/>
    <w:rsid w:val="00D57624"/>
    <w:rsid w:val="00D5764F"/>
    <w:rsid w:val="00D57913"/>
    <w:rsid w:val="00D57A14"/>
    <w:rsid w:val="00D57A58"/>
    <w:rsid w:val="00D57AF3"/>
    <w:rsid w:val="00D57B64"/>
    <w:rsid w:val="00D57C6A"/>
    <w:rsid w:val="00D57CF2"/>
    <w:rsid w:val="00D57FB9"/>
    <w:rsid w:val="00D6001A"/>
    <w:rsid w:val="00D60292"/>
    <w:rsid w:val="00D60450"/>
    <w:rsid w:val="00D604B3"/>
    <w:rsid w:val="00D604B9"/>
    <w:rsid w:val="00D605D3"/>
    <w:rsid w:val="00D60823"/>
    <w:rsid w:val="00D60A37"/>
    <w:rsid w:val="00D60A67"/>
    <w:rsid w:val="00D60AB4"/>
    <w:rsid w:val="00D60BDA"/>
    <w:rsid w:val="00D60CE2"/>
    <w:rsid w:val="00D60E14"/>
    <w:rsid w:val="00D60E33"/>
    <w:rsid w:val="00D60ED2"/>
    <w:rsid w:val="00D61071"/>
    <w:rsid w:val="00D6114B"/>
    <w:rsid w:val="00D6116D"/>
    <w:rsid w:val="00D61207"/>
    <w:rsid w:val="00D6139C"/>
    <w:rsid w:val="00D6140C"/>
    <w:rsid w:val="00D61413"/>
    <w:rsid w:val="00D6177C"/>
    <w:rsid w:val="00D619C5"/>
    <w:rsid w:val="00D61A01"/>
    <w:rsid w:val="00D61C95"/>
    <w:rsid w:val="00D61D7B"/>
    <w:rsid w:val="00D61DBC"/>
    <w:rsid w:val="00D61ED9"/>
    <w:rsid w:val="00D620D4"/>
    <w:rsid w:val="00D621E1"/>
    <w:rsid w:val="00D622E1"/>
    <w:rsid w:val="00D62372"/>
    <w:rsid w:val="00D6241B"/>
    <w:rsid w:val="00D624E8"/>
    <w:rsid w:val="00D6271C"/>
    <w:rsid w:val="00D6280B"/>
    <w:rsid w:val="00D62920"/>
    <w:rsid w:val="00D6296D"/>
    <w:rsid w:val="00D629BC"/>
    <w:rsid w:val="00D62BA5"/>
    <w:rsid w:val="00D62C95"/>
    <w:rsid w:val="00D62DCF"/>
    <w:rsid w:val="00D62E68"/>
    <w:rsid w:val="00D6311D"/>
    <w:rsid w:val="00D6320C"/>
    <w:rsid w:val="00D632D6"/>
    <w:rsid w:val="00D634A8"/>
    <w:rsid w:val="00D634F8"/>
    <w:rsid w:val="00D635D2"/>
    <w:rsid w:val="00D636DD"/>
    <w:rsid w:val="00D636F0"/>
    <w:rsid w:val="00D637D2"/>
    <w:rsid w:val="00D639FD"/>
    <w:rsid w:val="00D63A04"/>
    <w:rsid w:val="00D63AC1"/>
    <w:rsid w:val="00D63C9C"/>
    <w:rsid w:val="00D63CCA"/>
    <w:rsid w:val="00D63DE9"/>
    <w:rsid w:val="00D63E87"/>
    <w:rsid w:val="00D63F20"/>
    <w:rsid w:val="00D6406F"/>
    <w:rsid w:val="00D6410C"/>
    <w:rsid w:val="00D6425C"/>
    <w:rsid w:val="00D642FE"/>
    <w:rsid w:val="00D643FB"/>
    <w:rsid w:val="00D6443F"/>
    <w:rsid w:val="00D644E3"/>
    <w:rsid w:val="00D64511"/>
    <w:rsid w:val="00D64D5D"/>
    <w:rsid w:val="00D64DC2"/>
    <w:rsid w:val="00D64E43"/>
    <w:rsid w:val="00D64FC0"/>
    <w:rsid w:val="00D65025"/>
    <w:rsid w:val="00D65252"/>
    <w:rsid w:val="00D65396"/>
    <w:rsid w:val="00D65667"/>
    <w:rsid w:val="00D65681"/>
    <w:rsid w:val="00D6573F"/>
    <w:rsid w:val="00D657CC"/>
    <w:rsid w:val="00D65831"/>
    <w:rsid w:val="00D658CE"/>
    <w:rsid w:val="00D65A9C"/>
    <w:rsid w:val="00D65AF9"/>
    <w:rsid w:val="00D65B2C"/>
    <w:rsid w:val="00D65B44"/>
    <w:rsid w:val="00D65BF6"/>
    <w:rsid w:val="00D65F21"/>
    <w:rsid w:val="00D65F92"/>
    <w:rsid w:val="00D65FDF"/>
    <w:rsid w:val="00D66490"/>
    <w:rsid w:val="00D66532"/>
    <w:rsid w:val="00D6663F"/>
    <w:rsid w:val="00D66660"/>
    <w:rsid w:val="00D66795"/>
    <w:rsid w:val="00D66821"/>
    <w:rsid w:val="00D6695F"/>
    <w:rsid w:val="00D66A70"/>
    <w:rsid w:val="00D66BD6"/>
    <w:rsid w:val="00D670B9"/>
    <w:rsid w:val="00D67160"/>
    <w:rsid w:val="00D673F3"/>
    <w:rsid w:val="00D676BE"/>
    <w:rsid w:val="00D67721"/>
    <w:rsid w:val="00D6780A"/>
    <w:rsid w:val="00D67C23"/>
    <w:rsid w:val="00D67FC0"/>
    <w:rsid w:val="00D70051"/>
    <w:rsid w:val="00D7006D"/>
    <w:rsid w:val="00D70237"/>
    <w:rsid w:val="00D7026F"/>
    <w:rsid w:val="00D70346"/>
    <w:rsid w:val="00D703C1"/>
    <w:rsid w:val="00D70473"/>
    <w:rsid w:val="00D70500"/>
    <w:rsid w:val="00D7057F"/>
    <w:rsid w:val="00D706BA"/>
    <w:rsid w:val="00D70764"/>
    <w:rsid w:val="00D7081C"/>
    <w:rsid w:val="00D7091E"/>
    <w:rsid w:val="00D70A25"/>
    <w:rsid w:val="00D70C44"/>
    <w:rsid w:val="00D70CB7"/>
    <w:rsid w:val="00D70D16"/>
    <w:rsid w:val="00D70D33"/>
    <w:rsid w:val="00D70EB8"/>
    <w:rsid w:val="00D70F3D"/>
    <w:rsid w:val="00D70FDB"/>
    <w:rsid w:val="00D71049"/>
    <w:rsid w:val="00D710DA"/>
    <w:rsid w:val="00D7113C"/>
    <w:rsid w:val="00D71282"/>
    <w:rsid w:val="00D713D0"/>
    <w:rsid w:val="00D7147C"/>
    <w:rsid w:val="00D714AC"/>
    <w:rsid w:val="00D715A0"/>
    <w:rsid w:val="00D71710"/>
    <w:rsid w:val="00D71905"/>
    <w:rsid w:val="00D719D7"/>
    <w:rsid w:val="00D71B19"/>
    <w:rsid w:val="00D71C44"/>
    <w:rsid w:val="00D71D14"/>
    <w:rsid w:val="00D71D97"/>
    <w:rsid w:val="00D71E86"/>
    <w:rsid w:val="00D71E8B"/>
    <w:rsid w:val="00D71F20"/>
    <w:rsid w:val="00D7205D"/>
    <w:rsid w:val="00D72080"/>
    <w:rsid w:val="00D72387"/>
    <w:rsid w:val="00D7252E"/>
    <w:rsid w:val="00D725B2"/>
    <w:rsid w:val="00D72608"/>
    <w:rsid w:val="00D72782"/>
    <w:rsid w:val="00D72987"/>
    <w:rsid w:val="00D72C17"/>
    <w:rsid w:val="00D72C18"/>
    <w:rsid w:val="00D72D66"/>
    <w:rsid w:val="00D72E4D"/>
    <w:rsid w:val="00D72FC3"/>
    <w:rsid w:val="00D73180"/>
    <w:rsid w:val="00D731C5"/>
    <w:rsid w:val="00D73226"/>
    <w:rsid w:val="00D733A9"/>
    <w:rsid w:val="00D733EF"/>
    <w:rsid w:val="00D734E5"/>
    <w:rsid w:val="00D73506"/>
    <w:rsid w:val="00D73593"/>
    <w:rsid w:val="00D735A3"/>
    <w:rsid w:val="00D7387D"/>
    <w:rsid w:val="00D739C7"/>
    <w:rsid w:val="00D739DC"/>
    <w:rsid w:val="00D739EA"/>
    <w:rsid w:val="00D73A45"/>
    <w:rsid w:val="00D73B09"/>
    <w:rsid w:val="00D73B7E"/>
    <w:rsid w:val="00D73BEB"/>
    <w:rsid w:val="00D73C5A"/>
    <w:rsid w:val="00D73CB8"/>
    <w:rsid w:val="00D73CDF"/>
    <w:rsid w:val="00D73D74"/>
    <w:rsid w:val="00D73FC4"/>
    <w:rsid w:val="00D740FA"/>
    <w:rsid w:val="00D74388"/>
    <w:rsid w:val="00D7457C"/>
    <w:rsid w:val="00D7460F"/>
    <w:rsid w:val="00D74637"/>
    <w:rsid w:val="00D746C9"/>
    <w:rsid w:val="00D74771"/>
    <w:rsid w:val="00D7488E"/>
    <w:rsid w:val="00D74A02"/>
    <w:rsid w:val="00D74B2D"/>
    <w:rsid w:val="00D75061"/>
    <w:rsid w:val="00D750A0"/>
    <w:rsid w:val="00D750EE"/>
    <w:rsid w:val="00D75101"/>
    <w:rsid w:val="00D7539A"/>
    <w:rsid w:val="00D754DD"/>
    <w:rsid w:val="00D7552D"/>
    <w:rsid w:val="00D75555"/>
    <w:rsid w:val="00D7583B"/>
    <w:rsid w:val="00D75A64"/>
    <w:rsid w:val="00D75AEC"/>
    <w:rsid w:val="00D75AFF"/>
    <w:rsid w:val="00D75B85"/>
    <w:rsid w:val="00D75DA0"/>
    <w:rsid w:val="00D75DB5"/>
    <w:rsid w:val="00D75EEC"/>
    <w:rsid w:val="00D75F41"/>
    <w:rsid w:val="00D76177"/>
    <w:rsid w:val="00D761FB"/>
    <w:rsid w:val="00D762BE"/>
    <w:rsid w:val="00D7634E"/>
    <w:rsid w:val="00D76735"/>
    <w:rsid w:val="00D7694F"/>
    <w:rsid w:val="00D76966"/>
    <w:rsid w:val="00D76A67"/>
    <w:rsid w:val="00D76C86"/>
    <w:rsid w:val="00D76D8B"/>
    <w:rsid w:val="00D76DA4"/>
    <w:rsid w:val="00D76EA3"/>
    <w:rsid w:val="00D76FE5"/>
    <w:rsid w:val="00D77357"/>
    <w:rsid w:val="00D7735A"/>
    <w:rsid w:val="00D7742B"/>
    <w:rsid w:val="00D7751B"/>
    <w:rsid w:val="00D77578"/>
    <w:rsid w:val="00D776BC"/>
    <w:rsid w:val="00D777F0"/>
    <w:rsid w:val="00D77879"/>
    <w:rsid w:val="00D77930"/>
    <w:rsid w:val="00D779AF"/>
    <w:rsid w:val="00D77A92"/>
    <w:rsid w:val="00D77ABB"/>
    <w:rsid w:val="00D77AE4"/>
    <w:rsid w:val="00D77B67"/>
    <w:rsid w:val="00D77B9B"/>
    <w:rsid w:val="00D77BCC"/>
    <w:rsid w:val="00D77C18"/>
    <w:rsid w:val="00D77D43"/>
    <w:rsid w:val="00D77E17"/>
    <w:rsid w:val="00D77E23"/>
    <w:rsid w:val="00D77EDF"/>
    <w:rsid w:val="00D80024"/>
    <w:rsid w:val="00D800F6"/>
    <w:rsid w:val="00D80143"/>
    <w:rsid w:val="00D804B1"/>
    <w:rsid w:val="00D80511"/>
    <w:rsid w:val="00D806A1"/>
    <w:rsid w:val="00D8071C"/>
    <w:rsid w:val="00D8072C"/>
    <w:rsid w:val="00D80835"/>
    <w:rsid w:val="00D808AD"/>
    <w:rsid w:val="00D80A5E"/>
    <w:rsid w:val="00D80AAA"/>
    <w:rsid w:val="00D80B51"/>
    <w:rsid w:val="00D80B72"/>
    <w:rsid w:val="00D80BBA"/>
    <w:rsid w:val="00D80CA2"/>
    <w:rsid w:val="00D80CBD"/>
    <w:rsid w:val="00D80DB6"/>
    <w:rsid w:val="00D80F08"/>
    <w:rsid w:val="00D810FD"/>
    <w:rsid w:val="00D8113F"/>
    <w:rsid w:val="00D81180"/>
    <w:rsid w:val="00D8121C"/>
    <w:rsid w:val="00D8129E"/>
    <w:rsid w:val="00D813DC"/>
    <w:rsid w:val="00D81433"/>
    <w:rsid w:val="00D81520"/>
    <w:rsid w:val="00D817A3"/>
    <w:rsid w:val="00D817E7"/>
    <w:rsid w:val="00D8183D"/>
    <w:rsid w:val="00D81B2B"/>
    <w:rsid w:val="00D81BE5"/>
    <w:rsid w:val="00D81C85"/>
    <w:rsid w:val="00D81D7A"/>
    <w:rsid w:val="00D81D81"/>
    <w:rsid w:val="00D81E4B"/>
    <w:rsid w:val="00D81E5C"/>
    <w:rsid w:val="00D821FF"/>
    <w:rsid w:val="00D822E2"/>
    <w:rsid w:val="00D826B6"/>
    <w:rsid w:val="00D82808"/>
    <w:rsid w:val="00D8284C"/>
    <w:rsid w:val="00D82A2E"/>
    <w:rsid w:val="00D82A8C"/>
    <w:rsid w:val="00D82B07"/>
    <w:rsid w:val="00D82B50"/>
    <w:rsid w:val="00D82D1C"/>
    <w:rsid w:val="00D82D9A"/>
    <w:rsid w:val="00D82E01"/>
    <w:rsid w:val="00D8301D"/>
    <w:rsid w:val="00D830AE"/>
    <w:rsid w:val="00D83116"/>
    <w:rsid w:val="00D8318F"/>
    <w:rsid w:val="00D83198"/>
    <w:rsid w:val="00D8332C"/>
    <w:rsid w:val="00D8333B"/>
    <w:rsid w:val="00D83393"/>
    <w:rsid w:val="00D83439"/>
    <w:rsid w:val="00D8347D"/>
    <w:rsid w:val="00D8376E"/>
    <w:rsid w:val="00D837B2"/>
    <w:rsid w:val="00D838DA"/>
    <w:rsid w:val="00D83939"/>
    <w:rsid w:val="00D83AB3"/>
    <w:rsid w:val="00D83CF1"/>
    <w:rsid w:val="00D8405F"/>
    <w:rsid w:val="00D84362"/>
    <w:rsid w:val="00D844BA"/>
    <w:rsid w:val="00D8454C"/>
    <w:rsid w:val="00D845B3"/>
    <w:rsid w:val="00D845D9"/>
    <w:rsid w:val="00D845F4"/>
    <w:rsid w:val="00D847A3"/>
    <w:rsid w:val="00D84B1B"/>
    <w:rsid w:val="00D84C05"/>
    <w:rsid w:val="00D84E61"/>
    <w:rsid w:val="00D84E71"/>
    <w:rsid w:val="00D84FD4"/>
    <w:rsid w:val="00D8560D"/>
    <w:rsid w:val="00D8561D"/>
    <w:rsid w:val="00D856C1"/>
    <w:rsid w:val="00D85A88"/>
    <w:rsid w:val="00D85A9B"/>
    <w:rsid w:val="00D85B85"/>
    <w:rsid w:val="00D85D12"/>
    <w:rsid w:val="00D85DBD"/>
    <w:rsid w:val="00D85E31"/>
    <w:rsid w:val="00D85E85"/>
    <w:rsid w:val="00D85EDD"/>
    <w:rsid w:val="00D85F71"/>
    <w:rsid w:val="00D860B7"/>
    <w:rsid w:val="00D860CB"/>
    <w:rsid w:val="00D86290"/>
    <w:rsid w:val="00D86300"/>
    <w:rsid w:val="00D86301"/>
    <w:rsid w:val="00D86335"/>
    <w:rsid w:val="00D8644B"/>
    <w:rsid w:val="00D86491"/>
    <w:rsid w:val="00D865C3"/>
    <w:rsid w:val="00D865D1"/>
    <w:rsid w:val="00D86687"/>
    <w:rsid w:val="00D866A2"/>
    <w:rsid w:val="00D86A29"/>
    <w:rsid w:val="00D86A30"/>
    <w:rsid w:val="00D86A48"/>
    <w:rsid w:val="00D86ACD"/>
    <w:rsid w:val="00D86B88"/>
    <w:rsid w:val="00D86D1D"/>
    <w:rsid w:val="00D86D6B"/>
    <w:rsid w:val="00D86E86"/>
    <w:rsid w:val="00D86FB9"/>
    <w:rsid w:val="00D87124"/>
    <w:rsid w:val="00D871B7"/>
    <w:rsid w:val="00D87225"/>
    <w:rsid w:val="00D8722B"/>
    <w:rsid w:val="00D874A6"/>
    <w:rsid w:val="00D8764D"/>
    <w:rsid w:val="00D876E0"/>
    <w:rsid w:val="00D87707"/>
    <w:rsid w:val="00D87893"/>
    <w:rsid w:val="00D879FB"/>
    <w:rsid w:val="00D87A43"/>
    <w:rsid w:val="00D87A9A"/>
    <w:rsid w:val="00D87C31"/>
    <w:rsid w:val="00D87EE4"/>
    <w:rsid w:val="00D90095"/>
    <w:rsid w:val="00D90136"/>
    <w:rsid w:val="00D902CE"/>
    <w:rsid w:val="00D9039D"/>
    <w:rsid w:val="00D903B1"/>
    <w:rsid w:val="00D909CD"/>
    <w:rsid w:val="00D90AE7"/>
    <w:rsid w:val="00D90BD2"/>
    <w:rsid w:val="00D90F99"/>
    <w:rsid w:val="00D90FA7"/>
    <w:rsid w:val="00D90FCB"/>
    <w:rsid w:val="00D911E8"/>
    <w:rsid w:val="00D912F6"/>
    <w:rsid w:val="00D9148D"/>
    <w:rsid w:val="00D9159E"/>
    <w:rsid w:val="00D916AF"/>
    <w:rsid w:val="00D91B85"/>
    <w:rsid w:val="00D91CA5"/>
    <w:rsid w:val="00D91D15"/>
    <w:rsid w:val="00D91F74"/>
    <w:rsid w:val="00D92186"/>
    <w:rsid w:val="00D921B5"/>
    <w:rsid w:val="00D921F5"/>
    <w:rsid w:val="00D92226"/>
    <w:rsid w:val="00D92232"/>
    <w:rsid w:val="00D925AF"/>
    <w:rsid w:val="00D92887"/>
    <w:rsid w:val="00D92940"/>
    <w:rsid w:val="00D9297A"/>
    <w:rsid w:val="00D92A16"/>
    <w:rsid w:val="00D92D2F"/>
    <w:rsid w:val="00D93153"/>
    <w:rsid w:val="00D9326F"/>
    <w:rsid w:val="00D934C5"/>
    <w:rsid w:val="00D9365E"/>
    <w:rsid w:val="00D936BE"/>
    <w:rsid w:val="00D93775"/>
    <w:rsid w:val="00D9377F"/>
    <w:rsid w:val="00D938EC"/>
    <w:rsid w:val="00D9391F"/>
    <w:rsid w:val="00D93A1E"/>
    <w:rsid w:val="00D93A47"/>
    <w:rsid w:val="00D93BA7"/>
    <w:rsid w:val="00D93D51"/>
    <w:rsid w:val="00D93F66"/>
    <w:rsid w:val="00D93FC0"/>
    <w:rsid w:val="00D9417E"/>
    <w:rsid w:val="00D941D4"/>
    <w:rsid w:val="00D942B3"/>
    <w:rsid w:val="00D942BA"/>
    <w:rsid w:val="00D94516"/>
    <w:rsid w:val="00D94585"/>
    <w:rsid w:val="00D945DB"/>
    <w:rsid w:val="00D94867"/>
    <w:rsid w:val="00D94936"/>
    <w:rsid w:val="00D949DC"/>
    <w:rsid w:val="00D94BC2"/>
    <w:rsid w:val="00D94C1B"/>
    <w:rsid w:val="00D94CD8"/>
    <w:rsid w:val="00D94D19"/>
    <w:rsid w:val="00D94E37"/>
    <w:rsid w:val="00D94F8D"/>
    <w:rsid w:val="00D951EB"/>
    <w:rsid w:val="00D9520D"/>
    <w:rsid w:val="00D952F4"/>
    <w:rsid w:val="00D95618"/>
    <w:rsid w:val="00D9577D"/>
    <w:rsid w:val="00D95976"/>
    <w:rsid w:val="00D95A66"/>
    <w:rsid w:val="00D95B92"/>
    <w:rsid w:val="00D95BEB"/>
    <w:rsid w:val="00D95D4D"/>
    <w:rsid w:val="00D95ED4"/>
    <w:rsid w:val="00D95FB2"/>
    <w:rsid w:val="00D960A5"/>
    <w:rsid w:val="00D963D3"/>
    <w:rsid w:val="00D96AFC"/>
    <w:rsid w:val="00D96B27"/>
    <w:rsid w:val="00D96BC5"/>
    <w:rsid w:val="00D96E29"/>
    <w:rsid w:val="00D96E84"/>
    <w:rsid w:val="00D96EAB"/>
    <w:rsid w:val="00D97130"/>
    <w:rsid w:val="00D971F5"/>
    <w:rsid w:val="00D97259"/>
    <w:rsid w:val="00D972CA"/>
    <w:rsid w:val="00D9731F"/>
    <w:rsid w:val="00D97390"/>
    <w:rsid w:val="00D974C7"/>
    <w:rsid w:val="00D978BE"/>
    <w:rsid w:val="00D978CC"/>
    <w:rsid w:val="00D978F5"/>
    <w:rsid w:val="00D979C2"/>
    <w:rsid w:val="00D97C19"/>
    <w:rsid w:val="00D97C6C"/>
    <w:rsid w:val="00D97CA0"/>
    <w:rsid w:val="00D97DC6"/>
    <w:rsid w:val="00D97E1A"/>
    <w:rsid w:val="00D97E9B"/>
    <w:rsid w:val="00DA00DD"/>
    <w:rsid w:val="00DA013F"/>
    <w:rsid w:val="00DA01EC"/>
    <w:rsid w:val="00DA027C"/>
    <w:rsid w:val="00DA0373"/>
    <w:rsid w:val="00DA03DF"/>
    <w:rsid w:val="00DA0513"/>
    <w:rsid w:val="00DA0552"/>
    <w:rsid w:val="00DA0640"/>
    <w:rsid w:val="00DA07E0"/>
    <w:rsid w:val="00DA0904"/>
    <w:rsid w:val="00DA0A01"/>
    <w:rsid w:val="00DA0BB0"/>
    <w:rsid w:val="00DA0E3F"/>
    <w:rsid w:val="00DA0FBA"/>
    <w:rsid w:val="00DA1024"/>
    <w:rsid w:val="00DA10BE"/>
    <w:rsid w:val="00DA115C"/>
    <w:rsid w:val="00DA125F"/>
    <w:rsid w:val="00DA1278"/>
    <w:rsid w:val="00DA13ED"/>
    <w:rsid w:val="00DA13FF"/>
    <w:rsid w:val="00DA14DE"/>
    <w:rsid w:val="00DA154B"/>
    <w:rsid w:val="00DA1640"/>
    <w:rsid w:val="00DA185E"/>
    <w:rsid w:val="00DA187A"/>
    <w:rsid w:val="00DA1BEA"/>
    <w:rsid w:val="00DA1CF9"/>
    <w:rsid w:val="00DA1D2A"/>
    <w:rsid w:val="00DA1D7F"/>
    <w:rsid w:val="00DA209B"/>
    <w:rsid w:val="00DA21E5"/>
    <w:rsid w:val="00DA221A"/>
    <w:rsid w:val="00DA2400"/>
    <w:rsid w:val="00DA249F"/>
    <w:rsid w:val="00DA24DC"/>
    <w:rsid w:val="00DA25A3"/>
    <w:rsid w:val="00DA2653"/>
    <w:rsid w:val="00DA26FD"/>
    <w:rsid w:val="00DA2C5B"/>
    <w:rsid w:val="00DA2C85"/>
    <w:rsid w:val="00DA2CF9"/>
    <w:rsid w:val="00DA2D19"/>
    <w:rsid w:val="00DA2DC3"/>
    <w:rsid w:val="00DA2E35"/>
    <w:rsid w:val="00DA2EC1"/>
    <w:rsid w:val="00DA2FAF"/>
    <w:rsid w:val="00DA2FBB"/>
    <w:rsid w:val="00DA33C7"/>
    <w:rsid w:val="00DA352B"/>
    <w:rsid w:val="00DA3534"/>
    <w:rsid w:val="00DA3545"/>
    <w:rsid w:val="00DA36FF"/>
    <w:rsid w:val="00DA3886"/>
    <w:rsid w:val="00DA3994"/>
    <w:rsid w:val="00DA399C"/>
    <w:rsid w:val="00DA39A8"/>
    <w:rsid w:val="00DA3B44"/>
    <w:rsid w:val="00DA3C5C"/>
    <w:rsid w:val="00DA3D2C"/>
    <w:rsid w:val="00DA4232"/>
    <w:rsid w:val="00DA437D"/>
    <w:rsid w:val="00DA4618"/>
    <w:rsid w:val="00DA4628"/>
    <w:rsid w:val="00DA46F7"/>
    <w:rsid w:val="00DA47A2"/>
    <w:rsid w:val="00DA480A"/>
    <w:rsid w:val="00DA4832"/>
    <w:rsid w:val="00DA488F"/>
    <w:rsid w:val="00DA4ACE"/>
    <w:rsid w:val="00DA4DDD"/>
    <w:rsid w:val="00DA5250"/>
    <w:rsid w:val="00DA547B"/>
    <w:rsid w:val="00DA5633"/>
    <w:rsid w:val="00DA57F8"/>
    <w:rsid w:val="00DA581F"/>
    <w:rsid w:val="00DA5895"/>
    <w:rsid w:val="00DA58F0"/>
    <w:rsid w:val="00DA5AB2"/>
    <w:rsid w:val="00DA6174"/>
    <w:rsid w:val="00DA63CF"/>
    <w:rsid w:val="00DA63E4"/>
    <w:rsid w:val="00DA6546"/>
    <w:rsid w:val="00DA673F"/>
    <w:rsid w:val="00DA6924"/>
    <w:rsid w:val="00DA6977"/>
    <w:rsid w:val="00DA6A5D"/>
    <w:rsid w:val="00DA6CDB"/>
    <w:rsid w:val="00DA6D3B"/>
    <w:rsid w:val="00DA7049"/>
    <w:rsid w:val="00DA7090"/>
    <w:rsid w:val="00DA720C"/>
    <w:rsid w:val="00DA72DA"/>
    <w:rsid w:val="00DA72FB"/>
    <w:rsid w:val="00DA73DE"/>
    <w:rsid w:val="00DA765E"/>
    <w:rsid w:val="00DA770C"/>
    <w:rsid w:val="00DA7874"/>
    <w:rsid w:val="00DA7964"/>
    <w:rsid w:val="00DA7A93"/>
    <w:rsid w:val="00DA7BBB"/>
    <w:rsid w:val="00DA7C00"/>
    <w:rsid w:val="00DA7C02"/>
    <w:rsid w:val="00DA7C6B"/>
    <w:rsid w:val="00DA7D49"/>
    <w:rsid w:val="00DA7E20"/>
    <w:rsid w:val="00DA7F39"/>
    <w:rsid w:val="00DA7F4E"/>
    <w:rsid w:val="00DA7F86"/>
    <w:rsid w:val="00DB0036"/>
    <w:rsid w:val="00DB0140"/>
    <w:rsid w:val="00DB01CE"/>
    <w:rsid w:val="00DB0241"/>
    <w:rsid w:val="00DB037A"/>
    <w:rsid w:val="00DB0437"/>
    <w:rsid w:val="00DB05BB"/>
    <w:rsid w:val="00DB07F9"/>
    <w:rsid w:val="00DB0901"/>
    <w:rsid w:val="00DB0A21"/>
    <w:rsid w:val="00DB0A24"/>
    <w:rsid w:val="00DB0A50"/>
    <w:rsid w:val="00DB0AFC"/>
    <w:rsid w:val="00DB0B9D"/>
    <w:rsid w:val="00DB0BBD"/>
    <w:rsid w:val="00DB0D0A"/>
    <w:rsid w:val="00DB0E88"/>
    <w:rsid w:val="00DB0F6D"/>
    <w:rsid w:val="00DB10D2"/>
    <w:rsid w:val="00DB1123"/>
    <w:rsid w:val="00DB136E"/>
    <w:rsid w:val="00DB1666"/>
    <w:rsid w:val="00DB191B"/>
    <w:rsid w:val="00DB196C"/>
    <w:rsid w:val="00DB198F"/>
    <w:rsid w:val="00DB1B94"/>
    <w:rsid w:val="00DB1BB6"/>
    <w:rsid w:val="00DB1BDA"/>
    <w:rsid w:val="00DB1CBA"/>
    <w:rsid w:val="00DB1CC6"/>
    <w:rsid w:val="00DB1E05"/>
    <w:rsid w:val="00DB1E1C"/>
    <w:rsid w:val="00DB1E25"/>
    <w:rsid w:val="00DB1E87"/>
    <w:rsid w:val="00DB1EA8"/>
    <w:rsid w:val="00DB203C"/>
    <w:rsid w:val="00DB2115"/>
    <w:rsid w:val="00DB2262"/>
    <w:rsid w:val="00DB2338"/>
    <w:rsid w:val="00DB2471"/>
    <w:rsid w:val="00DB25FC"/>
    <w:rsid w:val="00DB26B4"/>
    <w:rsid w:val="00DB27A3"/>
    <w:rsid w:val="00DB2966"/>
    <w:rsid w:val="00DB29E2"/>
    <w:rsid w:val="00DB2AFA"/>
    <w:rsid w:val="00DB2CBE"/>
    <w:rsid w:val="00DB2E0F"/>
    <w:rsid w:val="00DB2E4A"/>
    <w:rsid w:val="00DB2F05"/>
    <w:rsid w:val="00DB2F1F"/>
    <w:rsid w:val="00DB300D"/>
    <w:rsid w:val="00DB306C"/>
    <w:rsid w:val="00DB32E0"/>
    <w:rsid w:val="00DB3356"/>
    <w:rsid w:val="00DB34E0"/>
    <w:rsid w:val="00DB36F6"/>
    <w:rsid w:val="00DB37B2"/>
    <w:rsid w:val="00DB3886"/>
    <w:rsid w:val="00DB3A3F"/>
    <w:rsid w:val="00DB3A8D"/>
    <w:rsid w:val="00DB3BBB"/>
    <w:rsid w:val="00DB3F3A"/>
    <w:rsid w:val="00DB4073"/>
    <w:rsid w:val="00DB411C"/>
    <w:rsid w:val="00DB414D"/>
    <w:rsid w:val="00DB4155"/>
    <w:rsid w:val="00DB41AC"/>
    <w:rsid w:val="00DB4456"/>
    <w:rsid w:val="00DB45F9"/>
    <w:rsid w:val="00DB4634"/>
    <w:rsid w:val="00DB4695"/>
    <w:rsid w:val="00DB46D2"/>
    <w:rsid w:val="00DB49B2"/>
    <w:rsid w:val="00DB4A35"/>
    <w:rsid w:val="00DB4B09"/>
    <w:rsid w:val="00DB4D1D"/>
    <w:rsid w:val="00DB4DA0"/>
    <w:rsid w:val="00DB4DE0"/>
    <w:rsid w:val="00DB4E1C"/>
    <w:rsid w:val="00DB50B8"/>
    <w:rsid w:val="00DB5156"/>
    <w:rsid w:val="00DB5185"/>
    <w:rsid w:val="00DB5286"/>
    <w:rsid w:val="00DB531D"/>
    <w:rsid w:val="00DB549D"/>
    <w:rsid w:val="00DB55E6"/>
    <w:rsid w:val="00DB563C"/>
    <w:rsid w:val="00DB56DD"/>
    <w:rsid w:val="00DB58F1"/>
    <w:rsid w:val="00DB5BF0"/>
    <w:rsid w:val="00DB5C19"/>
    <w:rsid w:val="00DB5C86"/>
    <w:rsid w:val="00DB5CA7"/>
    <w:rsid w:val="00DB5D0F"/>
    <w:rsid w:val="00DB5E98"/>
    <w:rsid w:val="00DB5F2B"/>
    <w:rsid w:val="00DB605E"/>
    <w:rsid w:val="00DB6072"/>
    <w:rsid w:val="00DB62A5"/>
    <w:rsid w:val="00DB62E5"/>
    <w:rsid w:val="00DB62E8"/>
    <w:rsid w:val="00DB660A"/>
    <w:rsid w:val="00DB67BE"/>
    <w:rsid w:val="00DB68F3"/>
    <w:rsid w:val="00DB69A9"/>
    <w:rsid w:val="00DB6AED"/>
    <w:rsid w:val="00DB6C17"/>
    <w:rsid w:val="00DB6DA4"/>
    <w:rsid w:val="00DB6EEE"/>
    <w:rsid w:val="00DB70C9"/>
    <w:rsid w:val="00DB7126"/>
    <w:rsid w:val="00DB728A"/>
    <w:rsid w:val="00DB72EA"/>
    <w:rsid w:val="00DB7355"/>
    <w:rsid w:val="00DB73FC"/>
    <w:rsid w:val="00DB7444"/>
    <w:rsid w:val="00DB7538"/>
    <w:rsid w:val="00DB78AC"/>
    <w:rsid w:val="00DB7A41"/>
    <w:rsid w:val="00DB7B41"/>
    <w:rsid w:val="00DB7BF0"/>
    <w:rsid w:val="00DB7C58"/>
    <w:rsid w:val="00DB7C9B"/>
    <w:rsid w:val="00DB7DD1"/>
    <w:rsid w:val="00DB7E54"/>
    <w:rsid w:val="00DB7EE4"/>
    <w:rsid w:val="00DC0096"/>
    <w:rsid w:val="00DC015E"/>
    <w:rsid w:val="00DC01B2"/>
    <w:rsid w:val="00DC043C"/>
    <w:rsid w:val="00DC0452"/>
    <w:rsid w:val="00DC046A"/>
    <w:rsid w:val="00DC05B9"/>
    <w:rsid w:val="00DC05BF"/>
    <w:rsid w:val="00DC05FC"/>
    <w:rsid w:val="00DC0606"/>
    <w:rsid w:val="00DC0613"/>
    <w:rsid w:val="00DC0660"/>
    <w:rsid w:val="00DC0708"/>
    <w:rsid w:val="00DC07E2"/>
    <w:rsid w:val="00DC092F"/>
    <w:rsid w:val="00DC09C0"/>
    <w:rsid w:val="00DC09DD"/>
    <w:rsid w:val="00DC0A2A"/>
    <w:rsid w:val="00DC0A79"/>
    <w:rsid w:val="00DC0A87"/>
    <w:rsid w:val="00DC0B4D"/>
    <w:rsid w:val="00DC0BE2"/>
    <w:rsid w:val="00DC0C5F"/>
    <w:rsid w:val="00DC0C68"/>
    <w:rsid w:val="00DC0C9D"/>
    <w:rsid w:val="00DC0D48"/>
    <w:rsid w:val="00DC0D9A"/>
    <w:rsid w:val="00DC0EE5"/>
    <w:rsid w:val="00DC0EF2"/>
    <w:rsid w:val="00DC0EF6"/>
    <w:rsid w:val="00DC0F9A"/>
    <w:rsid w:val="00DC0FF3"/>
    <w:rsid w:val="00DC1040"/>
    <w:rsid w:val="00DC1299"/>
    <w:rsid w:val="00DC15D0"/>
    <w:rsid w:val="00DC1615"/>
    <w:rsid w:val="00DC1762"/>
    <w:rsid w:val="00DC17CA"/>
    <w:rsid w:val="00DC1896"/>
    <w:rsid w:val="00DC1A50"/>
    <w:rsid w:val="00DC1D17"/>
    <w:rsid w:val="00DC1F25"/>
    <w:rsid w:val="00DC1FBA"/>
    <w:rsid w:val="00DC2496"/>
    <w:rsid w:val="00DC24E4"/>
    <w:rsid w:val="00DC26D5"/>
    <w:rsid w:val="00DC288B"/>
    <w:rsid w:val="00DC289B"/>
    <w:rsid w:val="00DC2B5D"/>
    <w:rsid w:val="00DC2C05"/>
    <w:rsid w:val="00DC2C54"/>
    <w:rsid w:val="00DC2C5D"/>
    <w:rsid w:val="00DC2D09"/>
    <w:rsid w:val="00DC2D3F"/>
    <w:rsid w:val="00DC2E82"/>
    <w:rsid w:val="00DC3134"/>
    <w:rsid w:val="00DC3211"/>
    <w:rsid w:val="00DC3372"/>
    <w:rsid w:val="00DC3584"/>
    <w:rsid w:val="00DC366C"/>
    <w:rsid w:val="00DC36A1"/>
    <w:rsid w:val="00DC36A6"/>
    <w:rsid w:val="00DC3A8A"/>
    <w:rsid w:val="00DC3BFC"/>
    <w:rsid w:val="00DC3E8A"/>
    <w:rsid w:val="00DC40A0"/>
    <w:rsid w:val="00DC46D3"/>
    <w:rsid w:val="00DC4909"/>
    <w:rsid w:val="00DC4979"/>
    <w:rsid w:val="00DC4A58"/>
    <w:rsid w:val="00DC4B91"/>
    <w:rsid w:val="00DC4BE9"/>
    <w:rsid w:val="00DC4C8C"/>
    <w:rsid w:val="00DC4FA0"/>
    <w:rsid w:val="00DC4FD0"/>
    <w:rsid w:val="00DC509D"/>
    <w:rsid w:val="00DC5162"/>
    <w:rsid w:val="00DC51D4"/>
    <w:rsid w:val="00DC51D9"/>
    <w:rsid w:val="00DC51E7"/>
    <w:rsid w:val="00DC523C"/>
    <w:rsid w:val="00DC53DE"/>
    <w:rsid w:val="00DC5554"/>
    <w:rsid w:val="00DC5592"/>
    <w:rsid w:val="00DC5624"/>
    <w:rsid w:val="00DC567C"/>
    <w:rsid w:val="00DC568A"/>
    <w:rsid w:val="00DC569C"/>
    <w:rsid w:val="00DC5876"/>
    <w:rsid w:val="00DC5878"/>
    <w:rsid w:val="00DC58D8"/>
    <w:rsid w:val="00DC5AE4"/>
    <w:rsid w:val="00DC5B10"/>
    <w:rsid w:val="00DC5E7F"/>
    <w:rsid w:val="00DC5E87"/>
    <w:rsid w:val="00DC5E9B"/>
    <w:rsid w:val="00DC5F0E"/>
    <w:rsid w:val="00DC600C"/>
    <w:rsid w:val="00DC6332"/>
    <w:rsid w:val="00DC643E"/>
    <w:rsid w:val="00DC64E8"/>
    <w:rsid w:val="00DC6539"/>
    <w:rsid w:val="00DC662F"/>
    <w:rsid w:val="00DC66D7"/>
    <w:rsid w:val="00DC6928"/>
    <w:rsid w:val="00DC6A23"/>
    <w:rsid w:val="00DC6B04"/>
    <w:rsid w:val="00DC6B50"/>
    <w:rsid w:val="00DC6C2A"/>
    <w:rsid w:val="00DC6CAA"/>
    <w:rsid w:val="00DC6CD0"/>
    <w:rsid w:val="00DC6EF7"/>
    <w:rsid w:val="00DC6FB1"/>
    <w:rsid w:val="00DC7102"/>
    <w:rsid w:val="00DC71D8"/>
    <w:rsid w:val="00DC72A2"/>
    <w:rsid w:val="00DC7311"/>
    <w:rsid w:val="00DC74D2"/>
    <w:rsid w:val="00DC74FE"/>
    <w:rsid w:val="00DC7591"/>
    <w:rsid w:val="00DC7749"/>
    <w:rsid w:val="00DC7838"/>
    <w:rsid w:val="00DC7A5B"/>
    <w:rsid w:val="00DC7A64"/>
    <w:rsid w:val="00DC7CDD"/>
    <w:rsid w:val="00DC7D0F"/>
    <w:rsid w:val="00DC7F4B"/>
    <w:rsid w:val="00DD010D"/>
    <w:rsid w:val="00DD0356"/>
    <w:rsid w:val="00DD0368"/>
    <w:rsid w:val="00DD0535"/>
    <w:rsid w:val="00DD05D5"/>
    <w:rsid w:val="00DD0676"/>
    <w:rsid w:val="00DD088F"/>
    <w:rsid w:val="00DD0A13"/>
    <w:rsid w:val="00DD0B09"/>
    <w:rsid w:val="00DD0B1F"/>
    <w:rsid w:val="00DD0F9D"/>
    <w:rsid w:val="00DD0FAB"/>
    <w:rsid w:val="00DD131A"/>
    <w:rsid w:val="00DD1643"/>
    <w:rsid w:val="00DD1650"/>
    <w:rsid w:val="00DD1680"/>
    <w:rsid w:val="00DD19EE"/>
    <w:rsid w:val="00DD1C24"/>
    <w:rsid w:val="00DD1C71"/>
    <w:rsid w:val="00DD1CD7"/>
    <w:rsid w:val="00DD1D13"/>
    <w:rsid w:val="00DD1D40"/>
    <w:rsid w:val="00DD1EFF"/>
    <w:rsid w:val="00DD1F3D"/>
    <w:rsid w:val="00DD20B5"/>
    <w:rsid w:val="00DD2280"/>
    <w:rsid w:val="00DD23A8"/>
    <w:rsid w:val="00DD246F"/>
    <w:rsid w:val="00DD252A"/>
    <w:rsid w:val="00DD2554"/>
    <w:rsid w:val="00DD26E8"/>
    <w:rsid w:val="00DD27A1"/>
    <w:rsid w:val="00DD29C6"/>
    <w:rsid w:val="00DD2A55"/>
    <w:rsid w:val="00DD2B48"/>
    <w:rsid w:val="00DD2B49"/>
    <w:rsid w:val="00DD2CA3"/>
    <w:rsid w:val="00DD307B"/>
    <w:rsid w:val="00DD30C9"/>
    <w:rsid w:val="00DD31EB"/>
    <w:rsid w:val="00DD3200"/>
    <w:rsid w:val="00DD3215"/>
    <w:rsid w:val="00DD36B8"/>
    <w:rsid w:val="00DD37CA"/>
    <w:rsid w:val="00DD3810"/>
    <w:rsid w:val="00DD39C1"/>
    <w:rsid w:val="00DD3CE2"/>
    <w:rsid w:val="00DD3F13"/>
    <w:rsid w:val="00DD3F89"/>
    <w:rsid w:val="00DD3FD3"/>
    <w:rsid w:val="00DD418A"/>
    <w:rsid w:val="00DD428E"/>
    <w:rsid w:val="00DD4386"/>
    <w:rsid w:val="00DD444D"/>
    <w:rsid w:val="00DD4590"/>
    <w:rsid w:val="00DD4668"/>
    <w:rsid w:val="00DD46BE"/>
    <w:rsid w:val="00DD46CF"/>
    <w:rsid w:val="00DD46F1"/>
    <w:rsid w:val="00DD47EB"/>
    <w:rsid w:val="00DD4A80"/>
    <w:rsid w:val="00DD4A8C"/>
    <w:rsid w:val="00DD4AE9"/>
    <w:rsid w:val="00DD4B00"/>
    <w:rsid w:val="00DD4B55"/>
    <w:rsid w:val="00DD4E6B"/>
    <w:rsid w:val="00DD4F1F"/>
    <w:rsid w:val="00DD509B"/>
    <w:rsid w:val="00DD5207"/>
    <w:rsid w:val="00DD532B"/>
    <w:rsid w:val="00DD5381"/>
    <w:rsid w:val="00DD5495"/>
    <w:rsid w:val="00DD56F9"/>
    <w:rsid w:val="00DD57EF"/>
    <w:rsid w:val="00DD5833"/>
    <w:rsid w:val="00DD59E3"/>
    <w:rsid w:val="00DD5A6E"/>
    <w:rsid w:val="00DD5ACD"/>
    <w:rsid w:val="00DD5B70"/>
    <w:rsid w:val="00DD5BC7"/>
    <w:rsid w:val="00DD5E3F"/>
    <w:rsid w:val="00DD6075"/>
    <w:rsid w:val="00DD6652"/>
    <w:rsid w:val="00DD6654"/>
    <w:rsid w:val="00DD6858"/>
    <w:rsid w:val="00DD6960"/>
    <w:rsid w:val="00DD6974"/>
    <w:rsid w:val="00DD6ACF"/>
    <w:rsid w:val="00DD6EE0"/>
    <w:rsid w:val="00DD6F67"/>
    <w:rsid w:val="00DD70B9"/>
    <w:rsid w:val="00DD7145"/>
    <w:rsid w:val="00DD79F8"/>
    <w:rsid w:val="00DD7A7C"/>
    <w:rsid w:val="00DD7CDB"/>
    <w:rsid w:val="00DD7CFE"/>
    <w:rsid w:val="00DD7EB5"/>
    <w:rsid w:val="00DE01AB"/>
    <w:rsid w:val="00DE028A"/>
    <w:rsid w:val="00DE02E7"/>
    <w:rsid w:val="00DE031F"/>
    <w:rsid w:val="00DE04D1"/>
    <w:rsid w:val="00DE050E"/>
    <w:rsid w:val="00DE062D"/>
    <w:rsid w:val="00DE0776"/>
    <w:rsid w:val="00DE081F"/>
    <w:rsid w:val="00DE0831"/>
    <w:rsid w:val="00DE08D2"/>
    <w:rsid w:val="00DE0C72"/>
    <w:rsid w:val="00DE0E3D"/>
    <w:rsid w:val="00DE0E82"/>
    <w:rsid w:val="00DE0F2E"/>
    <w:rsid w:val="00DE10DF"/>
    <w:rsid w:val="00DE1205"/>
    <w:rsid w:val="00DE1253"/>
    <w:rsid w:val="00DE13CE"/>
    <w:rsid w:val="00DE14FA"/>
    <w:rsid w:val="00DE1575"/>
    <w:rsid w:val="00DE15B5"/>
    <w:rsid w:val="00DE163B"/>
    <w:rsid w:val="00DE1831"/>
    <w:rsid w:val="00DE1838"/>
    <w:rsid w:val="00DE18FE"/>
    <w:rsid w:val="00DE1912"/>
    <w:rsid w:val="00DE19FE"/>
    <w:rsid w:val="00DE1B46"/>
    <w:rsid w:val="00DE1BDF"/>
    <w:rsid w:val="00DE1C2E"/>
    <w:rsid w:val="00DE1D4F"/>
    <w:rsid w:val="00DE2115"/>
    <w:rsid w:val="00DE285B"/>
    <w:rsid w:val="00DE293A"/>
    <w:rsid w:val="00DE2B7B"/>
    <w:rsid w:val="00DE2F72"/>
    <w:rsid w:val="00DE2FE3"/>
    <w:rsid w:val="00DE3059"/>
    <w:rsid w:val="00DE3466"/>
    <w:rsid w:val="00DE358A"/>
    <w:rsid w:val="00DE358E"/>
    <w:rsid w:val="00DE398B"/>
    <w:rsid w:val="00DE3B78"/>
    <w:rsid w:val="00DE3CD3"/>
    <w:rsid w:val="00DE3CEC"/>
    <w:rsid w:val="00DE4081"/>
    <w:rsid w:val="00DE4158"/>
    <w:rsid w:val="00DE4362"/>
    <w:rsid w:val="00DE44E2"/>
    <w:rsid w:val="00DE47DE"/>
    <w:rsid w:val="00DE4903"/>
    <w:rsid w:val="00DE4A77"/>
    <w:rsid w:val="00DE4AD0"/>
    <w:rsid w:val="00DE4B5E"/>
    <w:rsid w:val="00DE4C46"/>
    <w:rsid w:val="00DE4CBD"/>
    <w:rsid w:val="00DE4CE0"/>
    <w:rsid w:val="00DE4D5B"/>
    <w:rsid w:val="00DE5043"/>
    <w:rsid w:val="00DE5167"/>
    <w:rsid w:val="00DE54B1"/>
    <w:rsid w:val="00DE54CC"/>
    <w:rsid w:val="00DE55D3"/>
    <w:rsid w:val="00DE55DF"/>
    <w:rsid w:val="00DE562D"/>
    <w:rsid w:val="00DE56B4"/>
    <w:rsid w:val="00DE5947"/>
    <w:rsid w:val="00DE5A35"/>
    <w:rsid w:val="00DE5A71"/>
    <w:rsid w:val="00DE5A72"/>
    <w:rsid w:val="00DE5A8D"/>
    <w:rsid w:val="00DE5C82"/>
    <w:rsid w:val="00DE5CF1"/>
    <w:rsid w:val="00DE5E45"/>
    <w:rsid w:val="00DE5E4D"/>
    <w:rsid w:val="00DE5E58"/>
    <w:rsid w:val="00DE5EDE"/>
    <w:rsid w:val="00DE5F70"/>
    <w:rsid w:val="00DE5F9B"/>
    <w:rsid w:val="00DE6160"/>
    <w:rsid w:val="00DE629D"/>
    <w:rsid w:val="00DE63F3"/>
    <w:rsid w:val="00DE649D"/>
    <w:rsid w:val="00DE65A7"/>
    <w:rsid w:val="00DE65E3"/>
    <w:rsid w:val="00DE67B4"/>
    <w:rsid w:val="00DE680F"/>
    <w:rsid w:val="00DE6816"/>
    <w:rsid w:val="00DE6967"/>
    <w:rsid w:val="00DE698E"/>
    <w:rsid w:val="00DE6A33"/>
    <w:rsid w:val="00DE71C2"/>
    <w:rsid w:val="00DE7338"/>
    <w:rsid w:val="00DE743C"/>
    <w:rsid w:val="00DE74C6"/>
    <w:rsid w:val="00DE7596"/>
    <w:rsid w:val="00DE76D4"/>
    <w:rsid w:val="00DE7703"/>
    <w:rsid w:val="00DE79F2"/>
    <w:rsid w:val="00DF0271"/>
    <w:rsid w:val="00DF02D6"/>
    <w:rsid w:val="00DF02EF"/>
    <w:rsid w:val="00DF02F5"/>
    <w:rsid w:val="00DF0311"/>
    <w:rsid w:val="00DF0413"/>
    <w:rsid w:val="00DF0480"/>
    <w:rsid w:val="00DF058B"/>
    <w:rsid w:val="00DF068F"/>
    <w:rsid w:val="00DF0773"/>
    <w:rsid w:val="00DF07E5"/>
    <w:rsid w:val="00DF0850"/>
    <w:rsid w:val="00DF0BC8"/>
    <w:rsid w:val="00DF0DED"/>
    <w:rsid w:val="00DF1054"/>
    <w:rsid w:val="00DF1071"/>
    <w:rsid w:val="00DF11DC"/>
    <w:rsid w:val="00DF1376"/>
    <w:rsid w:val="00DF145E"/>
    <w:rsid w:val="00DF1781"/>
    <w:rsid w:val="00DF17C5"/>
    <w:rsid w:val="00DF17D6"/>
    <w:rsid w:val="00DF17E0"/>
    <w:rsid w:val="00DF1860"/>
    <w:rsid w:val="00DF18DF"/>
    <w:rsid w:val="00DF1A5B"/>
    <w:rsid w:val="00DF1AE4"/>
    <w:rsid w:val="00DF1D3A"/>
    <w:rsid w:val="00DF1D48"/>
    <w:rsid w:val="00DF1E52"/>
    <w:rsid w:val="00DF1E6D"/>
    <w:rsid w:val="00DF1F05"/>
    <w:rsid w:val="00DF1F52"/>
    <w:rsid w:val="00DF2054"/>
    <w:rsid w:val="00DF22BA"/>
    <w:rsid w:val="00DF232F"/>
    <w:rsid w:val="00DF2345"/>
    <w:rsid w:val="00DF2636"/>
    <w:rsid w:val="00DF276A"/>
    <w:rsid w:val="00DF2905"/>
    <w:rsid w:val="00DF292D"/>
    <w:rsid w:val="00DF2972"/>
    <w:rsid w:val="00DF2976"/>
    <w:rsid w:val="00DF29BE"/>
    <w:rsid w:val="00DF2A4C"/>
    <w:rsid w:val="00DF2D06"/>
    <w:rsid w:val="00DF2DC3"/>
    <w:rsid w:val="00DF2FED"/>
    <w:rsid w:val="00DF31DD"/>
    <w:rsid w:val="00DF3281"/>
    <w:rsid w:val="00DF3669"/>
    <w:rsid w:val="00DF36B1"/>
    <w:rsid w:val="00DF3726"/>
    <w:rsid w:val="00DF37BB"/>
    <w:rsid w:val="00DF37CB"/>
    <w:rsid w:val="00DF39DF"/>
    <w:rsid w:val="00DF3A9B"/>
    <w:rsid w:val="00DF3DC5"/>
    <w:rsid w:val="00DF3EB9"/>
    <w:rsid w:val="00DF3F60"/>
    <w:rsid w:val="00DF4050"/>
    <w:rsid w:val="00DF4133"/>
    <w:rsid w:val="00DF41E5"/>
    <w:rsid w:val="00DF442E"/>
    <w:rsid w:val="00DF4439"/>
    <w:rsid w:val="00DF4542"/>
    <w:rsid w:val="00DF4C49"/>
    <w:rsid w:val="00DF4DF0"/>
    <w:rsid w:val="00DF5007"/>
    <w:rsid w:val="00DF502E"/>
    <w:rsid w:val="00DF511D"/>
    <w:rsid w:val="00DF51B0"/>
    <w:rsid w:val="00DF5296"/>
    <w:rsid w:val="00DF539C"/>
    <w:rsid w:val="00DF5427"/>
    <w:rsid w:val="00DF55AB"/>
    <w:rsid w:val="00DF5865"/>
    <w:rsid w:val="00DF586D"/>
    <w:rsid w:val="00DF5918"/>
    <w:rsid w:val="00DF5949"/>
    <w:rsid w:val="00DF5AB0"/>
    <w:rsid w:val="00DF5B80"/>
    <w:rsid w:val="00DF5B8E"/>
    <w:rsid w:val="00DF5CC6"/>
    <w:rsid w:val="00DF5D28"/>
    <w:rsid w:val="00DF5D8B"/>
    <w:rsid w:val="00DF5EC0"/>
    <w:rsid w:val="00DF5EEA"/>
    <w:rsid w:val="00DF5F37"/>
    <w:rsid w:val="00DF5F58"/>
    <w:rsid w:val="00DF606C"/>
    <w:rsid w:val="00DF6234"/>
    <w:rsid w:val="00DF62D7"/>
    <w:rsid w:val="00DF6394"/>
    <w:rsid w:val="00DF6401"/>
    <w:rsid w:val="00DF6481"/>
    <w:rsid w:val="00DF64AB"/>
    <w:rsid w:val="00DF65D7"/>
    <w:rsid w:val="00DF66B0"/>
    <w:rsid w:val="00DF66F9"/>
    <w:rsid w:val="00DF67A2"/>
    <w:rsid w:val="00DF6809"/>
    <w:rsid w:val="00DF693D"/>
    <w:rsid w:val="00DF6BA1"/>
    <w:rsid w:val="00DF6BB6"/>
    <w:rsid w:val="00DF6C68"/>
    <w:rsid w:val="00DF6C75"/>
    <w:rsid w:val="00DF6D44"/>
    <w:rsid w:val="00DF7032"/>
    <w:rsid w:val="00DF705E"/>
    <w:rsid w:val="00DF71CE"/>
    <w:rsid w:val="00DF7272"/>
    <w:rsid w:val="00DF7599"/>
    <w:rsid w:val="00DF7688"/>
    <w:rsid w:val="00DF771B"/>
    <w:rsid w:val="00DF7825"/>
    <w:rsid w:val="00DF7842"/>
    <w:rsid w:val="00DF7AAC"/>
    <w:rsid w:val="00DF7B01"/>
    <w:rsid w:val="00DF7B1C"/>
    <w:rsid w:val="00DF7B61"/>
    <w:rsid w:val="00DF7BEF"/>
    <w:rsid w:val="00DF7BFE"/>
    <w:rsid w:val="00DF7CC8"/>
    <w:rsid w:val="00DF7D58"/>
    <w:rsid w:val="00DF7E43"/>
    <w:rsid w:val="00DF7F5A"/>
    <w:rsid w:val="00E00185"/>
    <w:rsid w:val="00E0033B"/>
    <w:rsid w:val="00E00351"/>
    <w:rsid w:val="00E004B3"/>
    <w:rsid w:val="00E00589"/>
    <w:rsid w:val="00E0059A"/>
    <w:rsid w:val="00E005B5"/>
    <w:rsid w:val="00E00632"/>
    <w:rsid w:val="00E0069C"/>
    <w:rsid w:val="00E006AA"/>
    <w:rsid w:val="00E0094B"/>
    <w:rsid w:val="00E00BE5"/>
    <w:rsid w:val="00E00C53"/>
    <w:rsid w:val="00E00C94"/>
    <w:rsid w:val="00E00CAF"/>
    <w:rsid w:val="00E00DDB"/>
    <w:rsid w:val="00E00DF5"/>
    <w:rsid w:val="00E00F5C"/>
    <w:rsid w:val="00E00FB9"/>
    <w:rsid w:val="00E01010"/>
    <w:rsid w:val="00E010FA"/>
    <w:rsid w:val="00E011F9"/>
    <w:rsid w:val="00E01214"/>
    <w:rsid w:val="00E014AE"/>
    <w:rsid w:val="00E0152E"/>
    <w:rsid w:val="00E015E8"/>
    <w:rsid w:val="00E0173F"/>
    <w:rsid w:val="00E01772"/>
    <w:rsid w:val="00E01890"/>
    <w:rsid w:val="00E018B1"/>
    <w:rsid w:val="00E018FC"/>
    <w:rsid w:val="00E01971"/>
    <w:rsid w:val="00E019D8"/>
    <w:rsid w:val="00E01A50"/>
    <w:rsid w:val="00E01B00"/>
    <w:rsid w:val="00E01B7F"/>
    <w:rsid w:val="00E01C69"/>
    <w:rsid w:val="00E01DB8"/>
    <w:rsid w:val="00E01DD8"/>
    <w:rsid w:val="00E01E19"/>
    <w:rsid w:val="00E01E30"/>
    <w:rsid w:val="00E01F7C"/>
    <w:rsid w:val="00E02252"/>
    <w:rsid w:val="00E02356"/>
    <w:rsid w:val="00E0239B"/>
    <w:rsid w:val="00E02428"/>
    <w:rsid w:val="00E02485"/>
    <w:rsid w:val="00E026E1"/>
    <w:rsid w:val="00E0286D"/>
    <w:rsid w:val="00E02AB1"/>
    <w:rsid w:val="00E02B21"/>
    <w:rsid w:val="00E02D98"/>
    <w:rsid w:val="00E02EB4"/>
    <w:rsid w:val="00E02FE6"/>
    <w:rsid w:val="00E0324C"/>
    <w:rsid w:val="00E032B4"/>
    <w:rsid w:val="00E032C6"/>
    <w:rsid w:val="00E03538"/>
    <w:rsid w:val="00E03672"/>
    <w:rsid w:val="00E039E1"/>
    <w:rsid w:val="00E039EA"/>
    <w:rsid w:val="00E03A1F"/>
    <w:rsid w:val="00E03BFB"/>
    <w:rsid w:val="00E03E8C"/>
    <w:rsid w:val="00E03EF7"/>
    <w:rsid w:val="00E03FD8"/>
    <w:rsid w:val="00E04113"/>
    <w:rsid w:val="00E04542"/>
    <w:rsid w:val="00E04706"/>
    <w:rsid w:val="00E0486A"/>
    <w:rsid w:val="00E048CB"/>
    <w:rsid w:val="00E0498A"/>
    <w:rsid w:val="00E04AA3"/>
    <w:rsid w:val="00E04AED"/>
    <w:rsid w:val="00E04BFF"/>
    <w:rsid w:val="00E04C23"/>
    <w:rsid w:val="00E04ED9"/>
    <w:rsid w:val="00E04FC5"/>
    <w:rsid w:val="00E05171"/>
    <w:rsid w:val="00E05226"/>
    <w:rsid w:val="00E05313"/>
    <w:rsid w:val="00E0532A"/>
    <w:rsid w:val="00E0534B"/>
    <w:rsid w:val="00E055F4"/>
    <w:rsid w:val="00E05832"/>
    <w:rsid w:val="00E05893"/>
    <w:rsid w:val="00E0590D"/>
    <w:rsid w:val="00E05916"/>
    <w:rsid w:val="00E059AF"/>
    <w:rsid w:val="00E05AB1"/>
    <w:rsid w:val="00E05BAB"/>
    <w:rsid w:val="00E05CE3"/>
    <w:rsid w:val="00E05EFD"/>
    <w:rsid w:val="00E063AC"/>
    <w:rsid w:val="00E0651F"/>
    <w:rsid w:val="00E065D7"/>
    <w:rsid w:val="00E06877"/>
    <w:rsid w:val="00E068DD"/>
    <w:rsid w:val="00E068EF"/>
    <w:rsid w:val="00E06A9A"/>
    <w:rsid w:val="00E06B32"/>
    <w:rsid w:val="00E06B88"/>
    <w:rsid w:val="00E06BC5"/>
    <w:rsid w:val="00E06C8A"/>
    <w:rsid w:val="00E06EB5"/>
    <w:rsid w:val="00E06F64"/>
    <w:rsid w:val="00E0713E"/>
    <w:rsid w:val="00E07159"/>
    <w:rsid w:val="00E071A1"/>
    <w:rsid w:val="00E071CD"/>
    <w:rsid w:val="00E076A3"/>
    <w:rsid w:val="00E076FF"/>
    <w:rsid w:val="00E07808"/>
    <w:rsid w:val="00E0782F"/>
    <w:rsid w:val="00E07849"/>
    <w:rsid w:val="00E07892"/>
    <w:rsid w:val="00E07975"/>
    <w:rsid w:val="00E07AD6"/>
    <w:rsid w:val="00E07CCA"/>
    <w:rsid w:val="00E07D32"/>
    <w:rsid w:val="00E07D67"/>
    <w:rsid w:val="00E07DBE"/>
    <w:rsid w:val="00E07DE9"/>
    <w:rsid w:val="00E07FCD"/>
    <w:rsid w:val="00E101CE"/>
    <w:rsid w:val="00E10210"/>
    <w:rsid w:val="00E10273"/>
    <w:rsid w:val="00E103C7"/>
    <w:rsid w:val="00E10503"/>
    <w:rsid w:val="00E1051E"/>
    <w:rsid w:val="00E10540"/>
    <w:rsid w:val="00E1055D"/>
    <w:rsid w:val="00E1079C"/>
    <w:rsid w:val="00E10830"/>
    <w:rsid w:val="00E108DD"/>
    <w:rsid w:val="00E10A0F"/>
    <w:rsid w:val="00E10A3D"/>
    <w:rsid w:val="00E10CA4"/>
    <w:rsid w:val="00E10D0F"/>
    <w:rsid w:val="00E10DAB"/>
    <w:rsid w:val="00E10DD4"/>
    <w:rsid w:val="00E111BB"/>
    <w:rsid w:val="00E11404"/>
    <w:rsid w:val="00E1142A"/>
    <w:rsid w:val="00E11B46"/>
    <w:rsid w:val="00E11CC1"/>
    <w:rsid w:val="00E11DA4"/>
    <w:rsid w:val="00E11DCD"/>
    <w:rsid w:val="00E11DDA"/>
    <w:rsid w:val="00E11E38"/>
    <w:rsid w:val="00E11E8F"/>
    <w:rsid w:val="00E11EE2"/>
    <w:rsid w:val="00E12070"/>
    <w:rsid w:val="00E123B7"/>
    <w:rsid w:val="00E12410"/>
    <w:rsid w:val="00E12631"/>
    <w:rsid w:val="00E1265B"/>
    <w:rsid w:val="00E12950"/>
    <w:rsid w:val="00E12BF3"/>
    <w:rsid w:val="00E12F64"/>
    <w:rsid w:val="00E12F96"/>
    <w:rsid w:val="00E130FE"/>
    <w:rsid w:val="00E13108"/>
    <w:rsid w:val="00E133CB"/>
    <w:rsid w:val="00E134FC"/>
    <w:rsid w:val="00E13594"/>
    <w:rsid w:val="00E13621"/>
    <w:rsid w:val="00E136C3"/>
    <w:rsid w:val="00E1391A"/>
    <w:rsid w:val="00E1393D"/>
    <w:rsid w:val="00E13B27"/>
    <w:rsid w:val="00E13B5B"/>
    <w:rsid w:val="00E13DBE"/>
    <w:rsid w:val="00E13F40"/>
    <w:rsid w:val="00E1406C"/>
    <w:rsid w:val="00E140CD"/>
    <w:rsid w:val="00E140E1"/>
    <w:rsid w:val="00E142C7"/>
    <w:rsid w:val="00E144AE"/>
    <w:rsid w:val="00E14865"/>
    <w:rsid w:val="00E14949"/>
    <w:rsid w:val="00E14998"/>
    <w:rsid w:val="00E14AEF"/>
    <w:rsid w:val="00E14CDD"/>
    <w:rsid w:val="00E14F56"/>
    <w:rsid w:val="00E150C4"/>
    <w:rsid w:val="00E15112"/>
    <w:rsid w:val="00E15204"/>
    <w:rsid w:val="00E15210"/>
    <w:rsid w:val="00E15212"/>
    <w:rsid w:val="00E154D1"/>
    <w:rsid w:val="00E158FD"/>
    <w:rsid w:val="00E15AE4"/>
    <w:rsid w:val="00E15AEF"/>
    <w:rsid w:val="00E15B62"/>
    <w:rsid w:val="00E15C3F"/>
    <w:rsid w:val="00E15D0D"/>
    <w:rsid w:val="00E15E3F"/>
    <w:rsid w:val="00E15FE6"/>
    <w:rsid w:val="00E16298"/>
    <w:rsid w:val="00E162F7"/>
    <w:rsid w:val="00E16543"/>
    <w:rsid w:val="00E16583"/>
    <w:rsid w:val="00E16605"/>
    <w:rsid w:val="00E16637"/>
    <w:rsid w:val="00E16715"/>
    <w:rsid w:val="00E1693D"/>
    <w:rsid w:val="00E169A6"/>
    <w:rsid w:val="00E169D1"/>
    <w:rsid w:val="00E16CF2"/>
    <w:rsid w:val="00E16D0D"/>
    <w:rsid w:val="00E17017"/>
    <w:rsid w:val="00E17220"/>
    <w:rsid w:val="00E1724F"/>
    <w:rsid w:val="00E173A7"/>
    <w:rsid w:val="00E1771B"/>
    <w:rsid w:val="00E17A45"/>
    <w:rsid w:val="00E17ADF"/>
    <w:rsid w:val="00E17AE3"/>
    <w:rsid w:val="00E17B22"/>
    <w:rsid w:val="00E17C14"/>
    <w:rsid w:val="00E17C70"/>
    <w:rsid w:val="00E17CBE"/>
    <w:rsid w:val="00E17ECB"/>
    <w:rsid w:val="00E17F4A"/>
    <w:rsid w:val="00E17F4D"/>
    <w:rsid w:val="00E2006D"/>
    <w:rsid w:val="00E2011A"/>
    <w:rsid w:val="00E20141"/>
    <w:rsid w:val="00E2045D"/>
    <w:rsid w:val="00E205FC"/>
    <w:rsid w:val="00E20617"/>
    <w:rsid w:val="00E2067A"/>
    <w:rsid w:val="00E206C5"/>
    <w:rsid w:val="00E20797"/>
    <w:rsid w:val="00E207DF"/>
    <w:rsid w:val="00E208CE"/>
    <w:rsid w:val="00E20A38"/>
    <w:rsid w:val="00E20BCB"/>
    <w:rsid w:val="00E21156"/>
    <w:rsid w:val="00E2124F"/>
    <w:rsid w:val="00E212E8"/>
    <w:rsid w:val="00E2136E"/>
    <w:rsid w:val="00E21553"/>
    <w:rsid w:val="00E2169B"/>
    <w:rsid w:val="00E21722"/>
    <w:rsid w:val="00E2189C"/>
    <w:rsid w:val="00E21905"/>
    <w:rsid w:val="00E21B70"/>
    <w:rsid w:val="00E21D5F"/>
    <w:rsid w:val="00E21D63"/>
    <w:rsid w:val="00E21EAF"/>
    <w:rsid w:val="00E21F7F"/>
    <w:rsid w:val="00E220AB"/>
    <w:rsid w:val="00E224DC"/>
    <w:rsid w:val="00E22568"/>
    <w:rsid w:val="00E22A10"/>
    <w:rsid w:val="00E22A51"/>
    <w:rsid w:val="00E22ABF"/>
    <w:rsid w:val="00E22B6A"/>
    <w:rsid w:val="00E22E21"/>
    <w:rsid w:val="00E230E1"/>
    <w:rsid w:val="00E233C8"/>
    <w:rsid w:val="00E2347F"/>
    <w:rsid w:val="00E23604"/>
    <w:rsid w:val="00E23675"/>
    <w:rsid w:val="00E2370D"/>
    <w:rsid w:val="00E2383E"/>
    <w:rsid w:val="00E2390E"/>
    <w:rsid w:val="00E23968"/>
    <w:rsid w:val="00E23A5D"/>
    <w:rsid w:val="00E23BC0"/>
    <w:rsid w:val="00E23C1F"/>
    <w:rsid w:val="00E23E75"/>
    <w:rsid w:val="00E23F67"/>
    <w:rsid w:val="00E23FC0"/>
    <w:rsid w:val="00E24064"/>
    <w:rsid w:val="00E24126"/>
    <w:rsid w:val="00E244E7"/>
    <w:rsid w:val="00E24CC3"/>
    <w:rsid w:val="00E24D71"/>
    <w:rsid w:val="00E24DF5"/>
    <w:rsid w:val="00E24E45"/>
    <w:rsid w:val="00E2509F"/>
    <w:rsid w:val="00E251CC"/>
    <w:rsid w:val="00E254B4"/>
    <w:rsid w:val="00E25823"/>
    <w:rsid w:val="00E258C0"/>
    <w:rsid w:val="00E25949"/>
    <w:rsid w:val="00E2597C"/>
    <w:rsid w:val="00E25A9D"/>
    <w:rsid w:val="00E25C29"/>
    <w:rsid w:val="00E25CAC"/>
    <w:rsid w:val="00E25CAF"/>
    <w:rsid w:val="00E260A9"/>
    <w:rsid w:val="00E260C3"/>
    <w:rsid w:val="00E260F1"/>
    <w:rsid w:val="00E2636D"/>
    <w:rsid w:val="00E263B6"/>
    <w:rsid w:val="00E2646A"/>
    <w:rsid w:val="00E2662D"/>
    <w:rsid w:val="00E26742"/>
    <w:rsid w:val="00E26954"/>
    <w:rsid w:val="00E26A80"/>
    <w:rsid w:val="00E26AD6"/>
    <w:rsid w:val="00E26BAB"/>
    <w:rsid w:val="00E26BCC"/>
    <w:rsid w:val="00E26BEE"/>
    <w:rsid w:val="00E26C39"/>
    <w:rsid w:val="00E26E0F"/>
    <w:rsid w:val="00E26F4E"/>
    <w:rsid w:val="00E26FED"/>
    <w:rsid w:val="00E2708E"/>
    <w:rsid w:val="00E2715C"/>
    <w:rsid w:val="00E271B1"/>
    <w:rsid w:val="00E27285"/>
    <w:rsid w:val="00E27298"/>
    <w:rsid w:val="00E27324"/>
    <w:rsid w:val="00E27391"/>
    <w:rsid w:val="00E27462"/>
    <w:rsid w:val="00E274EA"/>
    <w:rsid w:val="00E2767A"/>
    <w:rsid w:val="00E276A5"/>
    <w:rsid w:val="00E277A8"/>
    <w:rsid w:val="00E27A49"/>
    <w:rsid w:val="00E27DE2"/>
    <w:rsid w:val="00E27E32"/>
    <w:rsid w:val="00E27E6E"/>
    <w:rsid w:val="00E27ED7"/>
    <w:rsid w:val="00E30065"/>
    <w:rsid w:val="00E3028C"/>
    <w:rsid w:val="00E302FC"/>
    <w:rsid w:val="00E30383"/>
    <w:rsid w:val="00E304E3"/>
    <w:rsid w:val="00E3059C"/>
    <w:rsid w:val="00E30648"/>
    <w:rsid w:val="00E30734"/>
    <w:rsid w:val="00E307C2"/>
    <w:rsid w:val="00E309FC"/>
    <w:rsid w:val="00E30A45"/>
    <w:rsid w:val="00E30ADF"/>
    <w:rsid w:val="00E30C14"/>
    <w:rsid w:val="00E30CBB"/>
    <w:rsid w:val="00E30D00"/>
    <w:rsid w:val="00E30DD1"/>
    <w:rsid w:val="00E30E88"/>
    <w:rsid w:val="00E31050"/>
    <w:rsid w:val="00E310A1"/>
    <w:rsid w:val="00E31371"/>
    <w:rsid w:val="00E31388"/>
    <w:rsid w:val="00E3146C"/>
    <w:rsid w:val="00E3151A"/>
    <w:rsid w:val="00E315C9"/>
    <w:rsid w:val="00E3166C"/>
    <w:rsid w:val="00E317C9"/>
    <w:rsid w:val="00E3186C"/>
    <w:rsid w:val="00E31896"/>
    <w:rsid w:val="00E31980"/>
    <w:rsid w:val="00E319BD"/>
    <w:rsid w:val="00E31F20"/>
    <w:rsid w:val="00E31FA8"/>
    <w:rsid w:val="00E320BE"/>
    <w:rsid w:val="00E320FC"/>
    <w:rsid w:val="00E32163"/>
    <w:rsid w:val="00E322DA"/>
    <w:rsid w:val="00E32C6C"/>
    <w:rsid w:val="00E32CBC"/>
    <w:rsid w:val="00E32E39"/>
    <w:rsid w:val="00E32F6A"/>
    <w:rsid w:val="00E33239"/>
    <w:rsid w:val="00E332EC"/>
    <w:rsid w:val="00E33305"/>
    <w:rsid w:val="00E33347"/>
    <w:rsid w:val="00E33380"/>
    <w:rsid w:val="00E33476"/>
    <w:rsid w:val="00E334B8"/>
    <w:rsid w:val="00E33589"/>
    <w:rsid w:val="00E337B0"/>
    <w:rsid w:val="00E339AF"/>
    <w:rsid w:val="00E33A72"/>
    <w:rsid w:val="00E33ADC"/>
    <w:rsid w:val="00E33CD1"/>
    <w:rsid w:val="00E33D3F"/>
    <w:rsid w:val="00E33E3C"/>
    <w:rsid w:val="00E33FB5"/>
    <w:rsid w:val="00E34112"/>
    <w:rsid w:val="00E34193"/>
    <w:rsid w:val="00E343F1"/>
    <w:rsid w:val="00E344FC"/>
    <w:rsid w:val="00E3476A"/>
    <w:rsid w:val="00E34817"/>
    <w:rsid w:val="00E3495D"/>
    <w:rsid w:val="00E34A61"/>
    <w:rsid w:val="00E34A89"/>
    <w:rsid w:val="00E34B6B"/>
    <w:rsid w:val="00E34D21"/>
    <w:rsid w:val="00E34D7E"/>
    <w:rsid w:val="00E34E1D"/>
    <w:rsid w:val="00E34F04"/>
    <w:rsid w:val="00E34FCE"/>
    <w:rsid w:val="00E3504B"/>
    <w:rsid w:val="00E350E7"/>
    <w:rsid w:val="00E35106"/>
    <w:rsid w:val="00E35363"/>
    <w:rsid w:val="00E355C2"/>
    <w:rsid w:val="00E3564F"/>
    <w:rsid w:val="00E3572B"/>
    <w:rsid w:val="00E357E6"/>
    <w:rsid w:val="00E359A8"/>
    <w:rsid w:val="00E35A02"/>
    <w:rsid w:val="00E35A7B"/>
    <w:rsid w:val="00E35AA2"/>
    <w:rsid w:val="00E35AAD"/>
    <w:rsid w:val="00E35C8C"/>
    <w:rsid w:val="00E35CCD"/>
    <w:rsid w:val="00E35CE4"/>
    <w:rsid w:val="00E35DF6"/>
    <w:rsid w:val="00E35EB3"/>
    <w:rsid w:val="00E35F12"/>
    <w:rsid w:val="00E360B7"/>
    <w:rsid w:val="00E36194"/>
    <w:rsid w:val="00E362B7"/>
    <w:rsid w:val="00E36356"/>
    <w:rsid w:val="00E3642E"/>
    <w:rsid w:val="00E36477"/>
    <w:rsid w:val="00E36659"/>
    <w:rsid w:val="00E367BB"/>
    <w:rsid w:val="00E368E1"/>
    <w:rsid w:val="00E36A0E"/>
    <w:rsid w:val="00E36A48"/>
    <w:rsid w:val="00E36B2A"/>
    <w:rsid w:val="00E36C37"/>
    <w:rsid w:val="00E36E40"/>
    <w:rsid w:val="00E37047"/>
    <w:rsid w:val="00E37061"/>
    <w:rsid w:val="00E3706C"/>
    <w:rsid w:val="00E37132"/>
    <w:rsid w:val="00E3716D"/>
    <w:rsid w:val="00E371C2"/>
    <w:rsid w:val="00E371C4"/>
    <w:rsid w:val="00E3722F"/>
    <w:rsid w:val="00E37364"/>
    <w:rsid w:val="00E373F9"/>
    <w:rsid w:val="00E37656"/>
    <w:rsid w:val="00E3775E"/>
    <w:rsid w:val="00E3790B"/>
    <w:rsid w:val="00E37C16"/>
    <w:rsid w:val="00E37F45"/>
    <w:rsid w:val="00E37F83"/>
    <w:rsid w:val="00E401C0"/>
    <w:rsid w:val="00E40412"/>
    <w:rsid w:val="00E40610"/>
    <w:rsid w:val="00E406D8"/>
    <w:rsid w:val="00E40703"/>
    <w:rsid w:val="00E4076C"/>
    <w:rsid w:val="00E4095C"/>
    <w:rsid w:val="00E40C8E"/>
    <w:rsid w:val="00E40D78"/>
    <w:rsid w:val="00E40EA1"/>
    <w:rsid w:val="00E410D4"/>
    <w:rsid w:val="00E4122C"/>
    <w:rsid w:val="00E41305"/>
    <w:rsid w:val="00E41494"/>
    <w:rsid w:val="00E415C4"/>
    <w:rsid w:val="00E416CF"/>
    <w:rsid w:val="00E417A0"/>
    <w:rsid w:val="00E4185B"/>
    <w:rsid w:val="00E419F7"/>
    <w:rsid w:val="00E41A56"/>
    <w:rsid w:val="00E41AA4"/>
    <w:rsid w:val="00E41BF6"/>
    <w:rsid w:val="00E41D5D"/>
    <w:rsid w:val="00E41D94"/>
    <w:rsid w:val="00E41DEC"/>
    <w:rsid w:val="00E41F7A"/>
    <w:rsid w:val="00E420C2"/>
    <w:rsid w:val="00E42134"/>
    <w:rsid w:val="00E42136"/>
    <w:rsid w:val="00E42227"/>
    <w:rsid w:val="00E422E4"/>
    <w:rsid w:val="00E424B2"/>
    <w:rsid w:val="00E42757"/>
    <w:rsid w:val="00E42A15"/>
    <w:rsid w:val="00E42AA9"/>
    <w:rsid w:val="00E42BF7"/>
    <w:rsid w:val="00E42C4C"/>
    <w:rsid w:val="00E42EE0"/>
    <w:rsid w:val="00E43143"/>
    <w:rsid w:val="00E43280"/>
    <w:rsid w:val="00E433A5"/>
    <w:rsid w:val="00E434E9"/>
    <w:rsid w:val="00E434EB"/>
    <w:rsid w:val="00E43570"/>
    <w:rsid w:val="00E436AF"/>
    <w:rsid w:val="00E43A3E"/>
    <w:rsid w:val="00E43B65"/>
    <w:rsid w:val="00E43C9E"/>
    <w:rsid w:val="00E43D70"/>
    <w:rsid w:val="00E43EF4"/>
    <w:rsid w:val="00E44017"/>
    <w:rsid w:val="00E44083"/>
    <w:rsid w:val="00E44275"/>
    <w:rsid w:val="00E442D4"/>
    <w:rsid w:val="00E44444"/>
    <w:rsid w:val="00E4454A"/>
    <w:rsid w:val="00E44558"/>
    <w:rsid w:val="00E44564"/>
    <w:rsid w:val="00E44678"/>
    <w:rsid w:val="00E44741"/>
    <w:rsid w:val="00E44766"/>
    <w:rsid w:val="00E4485C"/>
    <w:rsid w:val="00E448BC"/>
    <w:rsid w:val="00E44941"/>
    <w:rsid w:val="00E449ED"/>
    <w:rsid w:val="00E44A6D"/>
    <w:rsid w:val="00E44AB9"/>
    <w:rsid w:val="00E44AD0"/>
    <w:rsid w:val="00E44C62"/>
    <w:rsid w:val="00E44CD9"/>
    <w:rsid w:val="00E44E62"/>
    <w:rsid w:val="00E4516D"/>
    <w:rsid w:val="00E4568B"/>
    <w:rsid w:val="00E4585E"/>
    <w:rsid w:val="00E45970"/>
    <w:rsid w:val="00E45B9C"/>
    <w:rsid w:val="00E45D8B"/>
    <w:rsid w:val="00E45DA4"/>
    <w:rsid w:val="00E45E9B"/>
    <w:rsid w:val="00E45EE2"/>
    <w:rsid w:val="00E45F1D"/>
    <w:rsid w:val="00E460F8"/>
    <w:rsid w:val="00E4616A"/>
    <w:rsid w:val="00E46176"/>
    <w:rsid w:val="00E46197"/>
    <w:rsid w:val="00E461EA"/>
    <w:rsid w:val="00E462B0"/>
    <w:rsid w:val="00E462ED"/>
    <w:rsid w:val="00E463CB"/>
    <w:rsid w:val="00E46562"/>
    <w:rsid w:val="00E46583"/>
    <w:rsid w:val="00E465C4"/>
    <w:rsid w:val="00E46652"/>
    <w:rsid w:val="00E46679"/>
    <w:rsid w:val="00E46682"/>
    <w:rsid w:val="00E4678C"/>
    <w:rsid w:val="00E468A1"/>
    <w:rsid w:val="00E468CF"/>
    <w:rsid w:val="00E469C4"/>
    <w:rsid w:val="00E46AE2"/>
    <w:rsid w:val="00E46C1A"/>
    <w:rsid w:val="00E4704A"/>
    <w:rsid w:val="00E475DF"/>
    <w:rsid w:val="00E47AD2"/>
    <w:rsid w:val="00E47AE0"/>
    <w:rsid w:val="00E47B36"/>
    <w:rsid w:val="00E47C0E"/>
    <w:rsid w:val="00E47CAD"/>
    <w:rsid w:val="00E47D99"/>
    <w:rsid w:val="00E47ECE"/>
    <w:rsid w:val="00E50184"/>
    <w:rsid w:val="00E50187"/>
    <w:rsid w:val="00E5020A"/>
    <w:rsid w:val="00E50257"/>
    <w:rsid w:val="00E502C7"/>
    <w:rsid w:val="00E503DA"/>
    <w:rsid w:val="00E50513"/>
    <w:rsid w:val="00E506B0"/>
    <w:rsid w:val="00E50720"/>
    <w:rsid w:val="00E508A7"/>
    <w:rsid w:val="00E5094A"/>
    <w:rsid w:val="00E50A99"/>
    <w:rsid w:val="00E50B1C"/>
    <w:rsid w:val="00E50C3B"/>
    <w:rsid w:val="00E50C71"/>
    <w:rsid w:val="00E50E85"/>
    <w:rsid w:val="00E50EA2"/>
    <w:rsid w:val="00E5127E"/>
    <w:rsid w:val="00E514F7"/>
    <w:rsid w:val="00E51520"/>
    <w:rsid w:val="00E51522"/>
    <w:rsid w:val="00E51649"/>
    <w:rsid w:val="00E518AF"/>
    <w:rsid w:val="00E51D79"/>
    <w:rsid w:val="00E51DF0"/>
    <w:rsid w:val="00E51E4E"/>
    <w:rsid w:val="00E51EAA"/>
    <w:rsid w:val="00E52354"/>
    <w:rsid w:val="00E52479"/>
    <w:rsid w:val="00E524FC"/>
    <w:rsid w:val="00E52930"/>
    <w:rsid w:val="00E531F5"/>
    <w:rsid w:val="00E53452"/>
    <w:rsid w:val="00E5367D"/>
    <w:rsid w:val="00E53738"/>
    <w:rsid w:val="00E53AFB"/>
    <w:rsid w:val="00E53E85"/>
    <w:rsid w:val="00E53F1B"/>
    <w:rsid w:val="00E53FA4"/>
    <w:rsid w:val="00E5403A"/>
    <w:rsid w:val="00E5408E"/>
    <w:rsid w:val="00E5428A"/>
    <w:rsid w:val="00E5445C"/>
    <w:rsid w:val="00E54497"/>
    <w:rsid w:val="00E54644"/>
    <w:rsid w:val="00E547EA"/>
    <w:rsid w:val="00E548AF"/>
    <w:rsid w:val="00E5499A"/>
    <w:rsid w:val="00E54C1F"/>
    <w:rsid w:val="00E54D99"/>
    <w:rsid w:val="00E54DAA"/>
    <w:rsid w:val="00E54F0C"/>
    <w:rsid w:val="00E54FAC"/>
    <w:rsid w:val="00E54FBF"/>
    <w:rsid w:val="00E54FDA"/>
    <w:rsid w:val="00E551A5"/>
    <w:rsid w:val="00E55297"/>
    <w:rsid w:val="00E5532B"/>
    <w:rsid w:val="00E5536F"/>
    <w:rsid w:val="00E553B2"/>
    <w:rsid w:val="00E5547B"/>
    <w:rsid w:val="00E55513"/>
    <w:rsid w:val="00E55881"/>
    <w:rsid w:val="00E55CAA"/>
    <w:rsid w:val="00E55D3A"/>
    <w:rsid w:val="00E55D5A"/>
    <w:rsid w:val="00E55DBA"/>
    <w:rsid w:val="00E5601D"/>
    <w:rsid w:val="00E560AB"/>
    <w:rsid w:val="00E5611C"/>
    <w:rsid w:val="00E56281"/>
    <w:rsid w:val="00E562B4"/>
    <w:rsid w:val="00E56304"/>
    <w:rsid w:val="00E56365"/>
    <w:rsid w:val="00E56393"/>
    <w:rsid w:val="00E563D1"/>
    <w:rsid w:val="00E56402"/>
    <w:rsid w:val="00E565F4"/>
    <w:rsid w:val="00E566C0"/>
    <w:rsid w:val="00E566D6"/>
    <w:rsid w:val="00E5675D"/>
    <w:rsid w:val="00E567E8"/>
    <w:rsid w:val="00E5684A"/>
    <w:rsid w:val="00E568C8"/>
    <w:rsid w:val="00E56ADF"/>
    <w:rsid w:val="00E56E50"/>
    <w:rsid w:val="00E56E79"/>
    <w:rsid w:val="00E56EF3"/>
    <w:rsid w:val="00E56F40"/>
    <w:rsid w:val="00E56FE5"/>
    <w:rsid w:val="00E57058"/>
    <w:rsid w:val="00E57221"/>
    <w:rsid w:val="00E57284"/>
    <w:rsid w:val="00E574E1"/>
    <w:rsid w:val="00E576A2"/>
    <w:rsid w:val="00E5773F"/>
    <w:rsid w:val="00E57812"/>
    <w:rsid w:val="00E57931"/>
    <w:rsid w:val="00E57A2E"/>
    <w:rsid w:val="00E57BDE"/>
    <w:rsid w:val="00E57C8C"/>
    <w:rsid w:val="00E57CFB"/>
    <w:rsid w:val="00E57DAD"/>
    <w:rsid w:val="00E57E6A"/>
    <w:rsid w:val="00E6024E"/>
    <w:rsid w:val="00E60367"/>
    <w:rsid w:val="00E60553"/>
    <w:rsid w:val="00E605B2"/>
    <w:rsid w:val="00E605E9"/>
    <w:rsid w:val="00E60614"/>
    <w:rsid w:val="00E60674"/>
    <w:rsid w:val="00E60B81"/>
    <w:rsid w:val="00E60B83"/>
    <w:rsid w:val="00E60C30"/>
    <w:rsid w:val="00E60E29"/>
    <w:rsid w:val="00E61098"/>
    <w:rsid w:val="00E6118A"/>
    <w:rsid w:val="00E6126E"/>
    <w:rsid w:val="00E612AB"/>
    <w:rsid w:val="00E61323"/>
    <w:rsid w:val="00E61363"/>
    <w:rsid w:val="00E6138D"/>
    <w:rsid w:val="00E61512"/>
    <w:rsid w:val="00E61621"/>
    <w:rsid w:val="00E6167E"/>
    <w:rsid w:val="00E61796"/>
    <w:rsid w:val="00E61841"/>
    <w:rsid w:val="00E61986"/>
    <w:rsid w:val="00E61A9D"/>
    <w:rsid w:val="00E61B6C"/>
    <w:rsid w:val="00E61B9C"/>
    <w:rsid w:val="00E61BA8"/>
    <w:rsid w:val="00E61C83"/>
    <w:rsid w:val="00E61E07"/>
    <w:rsid w:val="00E61E3E"/>
    <w:rsid w:val="00E6214C"/>
    <w:rsid w:val="00E62286"/>
    <w:rsid w:val="00E622AE"/>
    <w:rsid w:val="00E62329"/>
    <w:rsid w:val="00E623A1"/>
    <w:rsid w:val="00E62572"/>
    <w:rsid w:val="00E62717"/>
    <w:rsid w:val="00E6280E"/>
    <w:rsid w:val="00E629ED"/>
    <w:rsid w:val="00E62C35"/>
    <w:rsid w:val="00E62D37"/>
    <w:rsid w:val="00E62DA5"/>
    <w:rsid w:val="00E62EB4"/>
    <w:rsid w:val="00E62EBC"/>
    <w:rsid w:val="00E62F7F"/>
    <w:rsid w:val="00E63271"/>
    <w:rsid w:val="00E632C2"/>
    <w:rsid w:val="00E633F4"/>
    <w:rsid w:val="00E6349A"/>
    <w:rsid w:val="00E6355A"/>
    <w:rsid w:val="00E635B5"/>
    <w:rsid w:val="00E636A9"/>
    <w:rsid w:val="00E637B2"/>
    <w:rsid w:val="00E637E8"/>
    <w:rsid w:val="00E6393E"/>
    <w:rsid w:val="00E63958"/>
    <w:rsid w:val="00E63D47"/>
    <w:rsid w:val="00E63DF8"/>
    <w:rsid w:val="00E63EAB"/>
    <w:rsid w:val="00E64023"/>
    <w:rsid w:val="00E64093"/>
    <w:rsid w:val="00E640FC"/>
    <w:rsid w:val="00E640FE"/>
    <w:rsid w:val="00E6427F"/>
    <w:rsid w:val="00E64328"/>
    <w:rsid w:val="00E6449C"/>
    <w:rsid w:val="00E645DF"/>
    <w:rsid w:val="00E64752"/>
    <w:rsid w:val="00E64912"/>
    <w:rsid w:val="00E64C2A"/>
    <w:rsid w:val="00E64CD3"/>
    <w:rsid w:val="00E64D20"/>
    <w:rsid w:val="00E64E38"/>
    <w:rsid w:val="00E65101"/>
    <w:rsid w:val="00E652F0"/>
    <w:rsid w:val="00E6535E"/>
    <w:rsid w:val="00E653B9"/>
    <w:rsid w:val="00E65694"/>
    <w:rsid w:val="00E656C6"/>
    <w:rsid w:val="00E65948"/>
    <w:rsid w:val="00E65D29"/>
    <w:rsid w:val="00E65DB5"/>
    <w:rsid w:val="00E661BB"/>
    <w:rsid w:val="00E6624C"/>
    <w:rsid w:val="00E666DA"/>
    <w:rsid w:val="00E66842"/>
    <w:rsid w:val="00E66AE8"/>
    <w:rsid w:val="00E66B19"/>
    <w:rsid w:val="00E66E94"/>
    <w:rsid w:val="00E66EB9"/>
    <w:rsid w:val="00E66F94"/>
    <w:rsid w:val="00E6704F"/>
    <w:rsid w:val="00E67184"/>
    <w:rsid w:val="00E675F8"/>
    <w:rsid w:val="00E6766E"/>
    <w:rsid w:val="00E67686"/>
    <w:rsid w:val="00E676C7"/>
    <w:rsid w:val="00E676DF"/>
    <w:rsid w:val="00E6778B"/>
    <w:rsid w:val="00E677F3"/>
    <w:rsid w:val="00E67853"/>
    <w:rsid w:val="00E67860"/>
    <w:rsid w:val="00E67A4D"/>
    <w:rsid w:val="00E67A8E"/>
    <w:rsid w:val="00E67AC3"/>
    <w:rsid w:val="00E67AC7"/>
    <w:rsid w:val="00E67B6C"/>
    <w:rsid w:val="00E67CF6"/>
    <w:rsid w:val="00E67F3F"/>
    <w:rsid w:val="00E67FC9"/>
    <w:rsid w:val="00E701EE"/>
    <w:rsid w:val="00E7028C"/>
    <w:rsid w:val="00E703B0"/>
    <w:rsid w:val="00E70554"/>
    <w:rsid w:val="00E70748"/>
    <w:rsid w:val="00E7094E"/>
    <w:rsid w:val="00E70992"/>
    <w:rsid w:val="00E70A5F"/>
    <w:rsid w:val="00E70C2A"/>
    <w:rsid w:val="00E70E4C"/>
    <w:rsid w:val="00E70EEF"/>
    <w:rsid w:val="00E71023"/>
    <w:rsid w:val="00E71037"/>
    <w:rsid w:val="00E71154"/>
    <w:rsid w:val="00E71300"/>
    <w:rsid w:val="00E7143E"/>
    <w:rsid w:val="00E71701"/>
    <w:rsid w:val="00E7172D"/>
    <w:rsid w:val="00E71786"/>
    <w:rsid w:val="00E71797"/>
    <w:rsid w:val="00E717E3"/>
    <w:rsid w:val="00E718B5"/>
    <w:rsid w:val="00E71984"/>
    <w:rsid w:val="00E71B25"/>
    <w:rsid w:val="00E71BB5"/>
    <w:rsid w:val="00E71D78"/>
    <w:rsid w:val="00E71D82"/>
    <w:rsid w:val="00E71DE4"/>
    <w:rsid w:val="00E71E34"/>
    <w:rsid w:val="00E71F14"/>
    <w:rsid w:val="00E7212B"/>
    <w:rsid w:val="00E721EB"/>
    <w:rsid w:val="00E72296"/>
    <w:rsid w:val="00E72349"/>
    <w:rsid w:val="00E723D5"/>
    <w:rsid w:val="00E7240D"/>
    <w:rsid w:val="00E72559"/>
    <w:rsid w:val="00E725BB"/>
    <w:rsid w:val="00E72684"/>
    <w:rsid w:val="00E729B3"/>
    <w:rsid w:val="00E72BEF"/>
    <w:rsid w:val="00E72BFC"/>
    <w:rsid w:val="00E72C32"/>
    <w:rsid w:val="00E72EE6"/>
    <w:rsid w:val="00E72F94"/>
    <w:rsid w:val="00E72F97"/>
    <w:rsid w:val="00E73002"/>
    <w:rsid w:val="00E73016"/>
    <w:rsid w:val="00E7303F"/>
    <w:rsid w:val="00E733C9"/>
    <w:rsid w:val="00E7347F"/>
    <w:rsid w:val="00E7368B"/>
    <w:rsid w:val="00E7369E"/>
    <w:rsid w:val="00E738B5"/>
    <w:rsid w:val="00E73961"/>
    <w:rsid w:val="00E7398F"/>
    <w:rsid w:val="00E73BE5"/>
    <w:rsid w:val="00E73CA9"/>
    <w:rsid w:val="00E73FA8"/>
    <w:rsid w:val="00E74174"/>
    <w:rsid w:val="00E742A5"/>
    <w:rsid w:val="00E74368"/>
    <w:rsid w:val="00E7436B"/>
    <w:rsid w:val="00E74424"/>
    <w:rsid w:val="00E745DF"/>
    <w:rsid w:val="00E74694"/>
    <w:rsid w:val="00E74718"/>
    <w:rsid w:val="00E7476A"/>
    <w:rsid w:val="00E74B7C"/>
    <w:rsid w:val="00E74E1C"/>
    <w:rsid w:val="00E74E8B"/>
    <w:rsid w:val="00E74F35"/>
    <w:rsid w:val="00E7508D"/>
    <w:rsid w:val="00E7519B"/>
    <w:rsid w:val="00E754D0"/>
    <w:rsid w:val="00E75551"/>
    <w:rsid w:val="00E75573"/>
    <w:rsid w:val="00E75700"/>
    <w:rsid w:val="00E759B3"/>
    <w:rsid w:val="00E759F8"/>
    <w:rsid w:val="00E75A87"/>
    <w:rsid w:val="00E75B3F"/>
    <w:rsid w:val="00E75D6B"/>
    <w:rsid w:val="00E75E72"/>
    <w:rsid w:val="00E75EA1"/>
    <w:rsid w:val="00E75F32"/>
    <w:rsid w:val="00E7610F"/>
    <w:rsid w:val="00E761B8"/>
    <w:rsid w:val="00E76238"/>
    <w:rsid w:val="00E76258"/>
    <w:rsid w:val="00E763B1"/>
    <w:rsid w:val="00E76441"/>
    <w:rsid w:val="00E7672F"/>
    <w:rsid w:val="00E767EC"/>
    <w:rsid w:val="00E7683C"/>
    <w:rsid w:val="00E76843"/>
    <w:rsid w:val="00E76898"/>
    <w:rsid w:val="00E7689B"/>
    <w:rsid w:val="00E768D6"/>
    <w:rsid w:val="00E76943"/>
    <w:rsid w:val="00E76A78"/>
    <w:rsid w:val="00E76B8A"/>
    <w:rsid w:val="00E76BD9"/>
    <w:rsid w:val="00E76DDF"/>
    <w:rsid w:val="00E7731D"/>
    <w:rsid w:val="00E773B3"/>
    <w:rsid w:val="00E773DC"/>
    <w:rsid w:val="00E77647"/>
    <w:rsid w:val="00E7764C"/>
    <w:rsid w:val="00E776A7"/>
    <w:rsid w:val="00E777A9"/>
    <w:rsid w:val="00E777AF"/>
    <w:rsid w:val="00E77A38"/>
    <w:rsid w:val="00E77C0C"/>
    <w:rsid w:val="00E77D18"/>
    <w:rsid w:val="00E77D4F"/>
    <w:rsid w:val="00E77DAD"/>
    <w:rsid w:val="00E77E17"/>
    <w:rsid w:val="00E77F4A"/>
    <w:rsid w:val="00E77FDC"/>
    <w:rsid w:val="00E801A1"/>
    <w:rsid w:val="00E80410"/>
    <w:rsid w:val="00E80518"/>
    <w:rsid w:val="00E807D8"/>
    <w:rsid w:val="00E808A3"/>
    <w:rsid w:val="00E808E9"/>
    <w:rsid w:val="00E8091F"/>
    <w:rsid w:val="00E80977"/>
    <w:rsid w:val="00E809A7"/>
    <w:rsid w:val="00E809F9"/>
    <w:rsid w:val="00E80B22"/>
    <w:rsid w:val="00E80DCD"/>
    <w:rsid w:val="00E81119"/>
    <w:rsid w:val="00E81140"/>
    <w:rsid w:val="00E811A8"/>
    <w:rsid w:val="00E811FC"/>
    <w:rsid w:val="00E81261"/>
    <w:rsid w:val="00E81402"/>
    <w:rsid w:val="00E8146F"/>
    <w:rsid w:val="00E81492"/>
    <w:rsid w:val="00E814CB"/>
    <w:rsid w:val="00E81546"/>
    <w:rsid w:val="00E81570"/>
    <w:rsid w:val="00E8166E"/>
    <w:rsid w:val="00E81863"/>
    <w:rsid w:val="00E8187C"/>
    <w:rsid w:val="00E8190D"/>
    <w:rsid w:val="00E8195F"/>
    <w:rsid w:val="00E81987"/>
    <w:rsid w:val="00E81A06"/>
    <w:rsid w:val="00E81CC7"/>
    <w:rsid w:val="00E81D89"/>
    <w:rsid w:val="00E81DD0"/>
    <w:rsid w:val="00E81EAD"/>
    <w:rsid w:val="00E81F25"/>
    <w:rsid w:val="00E820D7"/>
    <w:rsid w:val="00E82100"/>
    <w:rsid w:val="00E821B8"/>
    <w:rsid w:val="00E82313"/>
    <w:rsid w:val="00E823E7"/>
    <w:rsid w:val="00E828CF"/>
    <w:rsid w:val="00E82957"/>
    <w:rsid w:val="00E829E9"/>
    <w:rsid w:val="00E82A0A"/>
    <w:rsid w:val="00E82A1F"/>
    <w:rsid w:val="00E82B65"/>
    <w:rsid w:val="00E82C46"/>
    <w:rsid w:val="00E82D6D"/>
    <w:rsid w:val="00E82DD1"/>
    <w:rsid w:val="00E82EA0"/>
    <w:rsid w:val="00E82F09"/>
    <w:rsid w:val="00E83023"/>
    <w:rsid w:val="00E830F5"/>
    <w:rsid w:val="00E833C0"/>
    <w:rsid w:val="00E833D4"/>
    <w:rsid w:val="00E84096"/>
    <w:rsid w:val="00E84102"/>
    <w:rsid w:val="00E84191"/>
    <w:rsid w:val="00E843F7"/>
    <w:rsid w:val="00E84433"/>
    <w:rsid w:val="00E844E0"/>
    <w:rsid w:val="00E84506"/>
    <w:rsid w:val="00E845D6"/>
    <w:rsid w:val="00E84734"/>
    <w:rsid w:val="00E847FC"/>
    <w:rsid w:val="00E84933"/>
    <w:rsid w:val="00E8499B"/>
    <w:rsid w:val="00E849BF"/>
    <w:rsid w:val="00E84A4C"/>
    <w:rsid w:val="00E84B8F"/>
    <w:rsid w:val="00E84C08"/>
    <w:rsid w:val="00E84FFD"/>
    <w:rsid w:val="00E85019"/>
    <w:rsid w:val="00E850EE"/>
    <w:rsid w:val="00E8510B"/>
    <w:rsid w:val="00E85372"/>
    <w:rsid w:val="00E85428"/>
    <w:rsid w:val="00E85462"/>
    <w:rsid w:val="00E85487"/>
    <w:rsid w:val="00E854BD"/>
    <w:rsid w:val="00E854CA"/>
    <w:rsid w:val="00E854FD"/>
    <w:rsid w:val="00E85675"/>
    <w:rsid w:val="00E8582E"/>
    <w:rsid w:val="00E85882"/>
    <w:rsid w:val="00E8589E"/>
    <w:rsid w:val="00E85A43"/>
    <w:rsid w:val="00E85C7D"/>
    <w:rsid w:val="00E85DC3"/>
    <w:rsid w:val="00E85DF5"/>
    <w:rsid w:val="00E85E14"/>
    <w:rsid w:val="00E85E18"/>
    <w:rsid w:val="00E8617A"/>
    <w:rsid w:val="00E86238"/>
    <w:rsid w:val="00E862A8"/>
    <w:rsid w:val="00E86350"/>
    <w:rsid w:val="00E863F0"/>
    <w:rsid w:val="00E86548"/>
    <w:rsid w:val="00E86575"/>
    <w:rsid w:val="00E86763"/>
    <w:rsid w:val="00E86ABF"/>
    <w:rsid w:val="00E86C7C"/>
    <w:rsid w:val="00E86C94"/>
    <w:rsid w:val="00E86E18"/>
    <w:rsid w:val="00E86E58"/>
    <w:rsid w:val="00E86EE4"/>
    <w:rsid w:val="00E870B8"/>
    <w:rsid w:val="00E87109"/>
    <w:rsid w:val="00E8722E"/>
    <w:rsid w:val="00E8742D"/>
    <w:rsid w:val="00E8765F"/>
    <w:rsid w:val="00E876BE"/>
    <w:rsid w:val="00E87983"/>
    <w:rsid w:val="00E879EE"/>
    <w:rsid w:val="00E87A56"/>
    <w:rsid w:val="00E87A97"/>
    <w:rsid w:val="00E87B0F"/>
    <w:rsid w:val="00E87B8F"/>
    <w:rsid w:val="00E87C49"/>
    <w:rsid w:val="00E87C4F"/>
    <w:rsid w:val="00E87E85"/>
    <w:rsid w:val="00E87ECC"/>
    <w:rsid w:val="00E90166"/>
    <w:rsid w:val="00E9017C"/>
    <w:rsid w:val="00E9018B"/>
    <w:rsid w:val="00E9029A"/>
    <w:rsid w:val="00E90369"/>
    <w:rsid w:val="00E903AB"/>
    <w:rsid w:val="00E903FA"/>
    <w:rsid w:val="00E90440"/>
    <w:rsid w:val="00E90588"/>
    <w:rsid w:val="00E9061F"/>
    <w:rsid w:val="00E9074A"/>
    <w:rsid w:val="00E90A61"/>
    <w:rsid w:val="00E90D02"/>
    <w:rsid w:val="00E90DB1"/>
    <w:rsid w:val="00E90DD2"/>
    <w:rsid w:val="00E90DF1"/>
    <w:rsid w:val="00E91065"/>
    <w:rsid w:val="00E910C8"/>
    <w:rsid w:val="00E911DC"/>
    <w:rsid w:val="00E911F8"/>
    <w:rsid w:val="00E9132A"/>
    <w:rsid w:val="00E91387"/>
    <w:rsid w:val="00E91417"/>
    <w:rsid w:val="00E9169E"/>
    <w:rsid w:val="00E916AD"/>
    <w:rsid w:val="00E91AE4"/>
    <w:rsid w:val="00E91D41"/>
    <w:rsid w:val="00E91F7A"/>
    <w:rsid w:val="00E92250"/>
    <w:rsid w:val="00E92389"/>
    <w:rsid w:val="00E923E1"/>
    <w:rsid w:val="00E924E4"/>
    <w:rsid w:val="00E9250C"/>
    <w:rsid w:val="00E92589"/>
    <w:rsid w:val="00E925DA"/>
    <w:rsid w:val="00E925DE"/>
    <w:rsid w:val="00E9295D"/>
    <w:rsid w:val="00E929AE"/>
    <w:rsid w:val="00E929B7"/>
    <w:rsid w:val="00E92AF6"/>
    <w:rsid w:val="00E92BA1"/>
    <w:rsid w:val="00E92C22"/>
    <w:rsid w:val="00E92C70"/>
    <w:rsid w:val="00E92CDD"/>
    <w:rsid w:val="00E92D49"/>
    <w:rsid w:val="00E92D4C"/>
    <w:rsid w:val="00E92D68"/>
    <w:rsid w:val="00E92DB9"/>
    <w:rsid w:val="00E92DCD"/>
    <w:rsid w:val="00E92EC9"/>
    <w:rsid w:val="00E92F9F"/>
    <w:rsid w:val="00E9307C"/>
    <w:rsid w:val="00E9307F"/>
    <w:rsid w:val="00E93315"/>
    <w:rsid w:val="00E933EA"/>
    <w:rsid w:val="00E933FB"/>
    <w:rsid w:val="00E934E0"/>
    <w:rsid w:val="00E93562"/>
    <w:rsid w:val="00E93587"/>
    <w:rsid w:val="00E937A6"/>
    <w:rsid w:val="00E938A6"/>
    <w:rsid w:val="00E93A02"/>
    <w:rsid w:val="00E93A66"/>
    <w:rsid w:val="00E93BD2"/>
    <w:rsid w:val="00E93CD7"/>
    <w:rsid w:val="00E93E04"/>
    <w:rsid w:val="00E93E0F"/>
    <w:rsid w:val="00E93FC1"/>
    <w:rsid w:val="00E9400A"/>
    <w:rsid w:val="00E940E0"/>
    <w:rsid w:val="00E94343"/>
    <w:rsid w:val="00E94380"/>
    <w:rsid w:val="00E943A1"/>
    <w:rsid w:val="00E944C9"/>
    <w:rsid w:val="00E947EC"/>
    <w:rsid w:val="00E94810"/>
    <w:rsid w:val="00E9483D"/>
    <w:rsid w:val="00E94895"/>
    <w:rsid w:val="00E9491C"/>
    <w:rsid w:val="00E949B8"/>
    <w:rsid w:val="00E94BD7"/>
    <w:rsid w:val="00E94C4F"/>
    <w:rsid w:val="00E94CA0"/>
    <w:rsid w:val="00E94F42"/>
    <w:rsid w:val="00E94F99"/>
    <w:rsid w:val="00E9514F"/>
    <w:rsid w:val="00E95609"/>
    <w:rsid w:val="00E957D0"/>
    <w:rsid w:val="00E9580E"/>
    <w:rsid w:val="00E9584F"/>
    <w:rsid w:val="00E95869"/>
    <w:rsid w:val="00E9596C"/>
    <w:rsid w:val="00E95A53"/>
    <w:rsid w:val="00E95B35"/>
    <w:rsid w:val="00E95B46"/>
    <w:rsid w:val="00E95BC1"/>
    <w:rsid w:val="00E95D21"/>
    <w:rsid w:val="00E95F02"/>
    <w:rsid w:val="00E95F44"/>
    <w:rsid w:val="00E962B0"/>
    <w:rsid w:val="00E96358"/>
    <w:rsid w:val="00E963A0"/>
    <w:rsid w:val="00E96693"/>
    <w:rsid w:val="00E966F1"/>
    <w:rsid w:val="00E967C3"/>
    <w:rsid w:val="00E9698E"/>
    <w:rsid w:val="00E96DC8"/>
    <w:rsid w:val="00E96E25"/>
    <w:rsid w:val="00E96ED7"/>
    <w:rsid w:val="00E96EFB"/>
    <w:rsid w:val="00E97099"/>
    <w:rsid w:val="00E970D1"/>
    <w:rsid w:val="00E972DB"/>
    <w:rsid w:val="00E9731A"/>
    <w:rsid w:val="00E9741A"/>
    <w:rsid w:val="00E975F2"/>
    <w:rsid w:val="00E9768E"/>
    <w:rsid w:val="00E9770A"/>
    <w:rsid w:val="00E9779B"/>
    <w:rsid w:val="00E977CD"/>
    <w:rsid w:val="00E97820"/>
    <w:rsid w:val="00E978DA"/>
    <w:rsid w:val="00E97B0B"/>
    <w:rsid w:val="00E97BE8"/>
    <w:rsid w:val="00E97C16"/>
    <w:rsid w:val="00E97D85"/>
    <w:rsid w:val="00E97F69"/>
    <w:rsid w:val="00EA018B"/>
    <w:rsid w:val="00EA02A8"/>
    <w:rsid w:val="00EA0309"/>
    <w:rsid w:val="00EA05A0"/>
    <w:rsid w:val="00EA05B7"/>
    <w:rsid w:val="00EA05ED"/>
    <w:rsid w:val="00EA07B3"/>
    <w:rsid w:val="00EA0824"/>
    <w:rsid w:val="00EA0965"/>
    <w:rsid w:val="00EA0BBE"/>
    <w:rsid w:val="00EA0C1F"/>
    <w:rsid w:val="00EA0D0E"/>
    <w:rsid w:val="00EA0DA7"/>
    <w:rsid w:val="00EA0E7E"/>
    <w:rsid w:val="00EA0F34"/>
    <w:rsid w:val="00EA1060"/>
    <w:rsid w:val="00EA10BE"/>
    <w:rsid w:val="00EA11A8"/>
    <w:rsid w:val="00EA126F"/>
    <w:rsid w:val="00EA1280"/>
    <w:rsid w:val="00EA1489"/>
    <w:rsid w:val="00EA15D8"/>
    <w:rsid w:val="00EA1BF4"/>
    <w:rsid w:val="00EA1E68"/>
    <w:rsid w:val="00EA1ED7"/>
    <w:rsid w:val="00EA1F37"/>
    <w:rsid w:val="00EA229B"/>
    <w:rsid w:val="00EA22C8"/>
    <w:rsid w:val="00EA234C"/>
    <w:rsid w:val="00EA235E"/>
    <w:rsid w:val="00EA23D8"/>
    <w:rsid w:val="00EA24BA"/>
    <w:rsid w:val="00EA24D5"/>
    <w:rsid w:val="00EA251F"/>
    <w:rsid w:val="00EA2523"/>
    <w:rsid w:val="00EA25A3"/>
    <w:rsid w:val="00EA25F6"/>
    <w:rsid w:val="00EA2711"/>
    <w:rsid w:val="00EA281F"/>
    <w:rsid w:val="00EA2B8B"/>
    <w:rsid w:val="00EA2C6A"/>
    <w:rsid w:val="00EA2D29"/>
    <w:rsid w:val="00EA2F42"/>
    <w:rsid w:val="00EA3171"/>
    <w:rsid w:val="00EA3304"/>
    <w:rsid w:val="00EA3319"/>
    <w:rsid w:val="00EA3499"/>
    <w:rsid w:val="00EA34CB"/>
    <w:rsid w:val="00EA3670"/>
    <w:rsid w:val="00EA3751"/>
    <w:rsid w:val="00EA3763"/>
    <w:rsid w:val="00EA3810"/>
    <w:rsid w:val="00EA3969"/>
    <w:rsid w:val="00EA39A2"/>
    <w:rsid w:val="00EA39D3"/>
    <w:rsid w:val="00EA3AA1"/>
    <w:rsid w:val="00EA3B5B"/>
    <w:rsid w:val="00EA3C06"/>
    <w:rsid w:val="00EA3EB1"/>
    <w:rsid w:val="00EA4031"/>
    <w:rsid w:val="00EA43E1"/>
    <w:rsid w:val="00EA44B3"/>
    <w:rsid w:val="00EA469E"/>
    <w:rsid w:val="00EA47CE"/>
    <w:rsid w:val="00EA4819"/>
    <w:rsid w:val="00EA4853"/>
    <w:rsid w:val="00EA4887"/>
    <w:rsid w:val="00EA48D7"/>
    <w:rsid w:val="00EA4A31"/>
    <w:rsid w:val="00EA4ABE"/>
    <w:rsid w:val="00EA4B62"/>
    <w:rsid w:val="00EA4BF5"/>
    <w:rsid w:val="00EA4BFD"/>
    <w:rsid w:val="00EA4D0F"/>
    <w:rsid w:val="00EA4D1B"/>
    <w:rsid w:val="00EA4DAB"/>
    <w:rsid w:val="00EA4F11"/>
    <w:rsid w:val="00EA4F5C"/>
    <w:rsid w:val="00EA4F6F"/>
    <w:rsid w:val="00EA51E9"/>
    <w:rsid w:val="00EA542F"/>
    <w:rsid w:val="00EA545C"/>
    <w:rsid w:val="00EA54D3"/>
    <w:rsid w:val="00EA5518"/>
    <w:rsid w:val="00EA5548"/>
    <w:rsid w:val="00EA5580"/>
    <w:rsid w:val="00EA5716"/>
    <w:rsid w:val="00EA573C"/>
    <w:rsid w:val="00EA57AF"/>
    <w:rsid w:val="00EA5911"/>
    <w:rsid w:val="00EA5935"/>
    <w:rsid w:val="00EA5B7A"/>
    <w:rsid w:val="00EA5D6B"/>
    <w:rsid w:val="00EA5DBA"/>
    <w:rsid w:val="00EA5F23"/>
    <w:rsid w:val="00EA5F62"/>
    <w:rsid w:val="00EA5F83"/>
    <w:rsid w:val="00EA5FA5"/>
    <w:rsid w:val="00EA6038"/>
    <w:rsid w:val="00EA6190"/>
    <w:rsid w:val="00EA619D"/>
    <w:rsid w:val="00EA6289"/>
    <w:rsid w:val="00EA63DF"/>
    <w:rsid w:val="00EA6412"/>
    <w:rsid w:val="00EA641F"/>
    <w:rsid w:val="00EA652D"/>
    <w:rsid w:val="00EA6585"/>
    <w:rsid w:val="00EA66FE"/>
    <w:rsid w:val="00EA6899"/>
    <w:rsid w:val="00EA6A4A"/>
    <w:rsid w:val="00EA6AA8"/>
    <w:rsid w:val="00EA6AD7"/>
    <w:rsid w:val="00EA6BB9"/>
    <w:rsid w:val="00EA6E1A"/>
    <w:rsid w:val="00EA6EAC"/>
    <w:rsid w:val="00EA717F"/>
    <w:rsid w:val="00EA722D"/>
    <w:rsid w:val="00EA7243"/>
    <w:rsid w:val="00EA74DE"/>
    <w:rsid w:val="00EA75D1"/>
    <w:rsid w:val="00EA765A"/>
    <w:rsid w:val="00EA76D8"/>
    <w:rsid w:val="00EA7863"/>
    <w:rsid w:val="00EA787B"/>
    <w:rsid w:val="00EA788A"/>
    <w:rsid w:val="00EA78CC"/>
    <w:rsid w:val="00EA7969"/>
    <w:rsid w:val="00EA7AC4"/>
    <w:rsid w:val="00EA7ACE"/>
    <w:rsid w:val="00EA7C42"/>
    <w:rsid w:val="00EA7C58"/>
    <w:rsid w:val="00EA7C7B"/>
    <w:rsid w:val="00EA7DE8"/>
    <w:rsid w:val="00EA7E01"/>
    <w:rsid w:val="00EA7F04"/>
    <w:rsid w:val="00EB0021"/>
    <w:rsid w:val="00EB0125"/>
    <w:rsid w:val="00EB020E"/>
    <w:rsid w:val="00EB038F"/>
    <w:rsid w:val="00EB0611"/>
    <w:rsid w:val="00EB0878"/>
    <w:rsid w:val="00EB08E5"/>
    <w:rsid w:val="00EB0951"/>
    <w:rsid w:val="00EB096E"/>
    <w:rsid w:val="00EB0AF5"/>
    <w:rsid w:val="00EB0B85"/>
    <w:rsid w:val="00EB0C18"/>
    <w:rsid w:val="00EB0CE7"/>
    <w:rsid w:val="00EB0CEB"/>
    <w:rsid w:val="00EB0D53"/>
    <w:rsid w:val="00EB0E0D"/>
    <w:rsid w:val="00EB0F7C"/>
    <w:rsid w:val="00EB10E7"/>
    <w:rsid w:val="00EB138D"/>
    <w:rsid w:val="00EB13E6"/>
    <w:rsid w:val="00EB1461"/>
    <w:rsid w:val="00EB14D2"/>
    <w:rsid w:val="00EB17E0"/>
    <w:rsid w:val="00EB1A25"/>
    <w:rsid w:val="00EB1A67"/>
    <w:rsid w:val="00EB1A8B"/>
    <w:rsid w:val="00EB1CFE"/>
    <w:rsid w:val="00EB1DC5"/>
    <w:rsid w:val="00EB1F2E"/>
    <w:rsid w:val="00EB1F41"/>
    <w:rsid w:val="00EB1FCD"/>
    <w:rsid w:val="00EB1FED"/>
    <w:rsid w:val="00EB2061"/>
    <w:rsid w:val="00EB2110"/>
    <w:rsid w:val="00EB22C0"/>
    <w:rsid w:val="00EB233E"/>
    <w:rsid w:val="00EB2397"/>
    <w:rsid w:val="00EB24DD"/>
    <w:rsid w:val="00EB25A8"/>
    <w:rsid w:val="00EB2680"/>
    <w:rsid w:val="00EB27A1"/>
    <w:rsid w:val="00EB2A3C"/>
    <w:rsid w:val="00EB2B09"/>
    <w:rsid w:val="00EB2BCE"/>
    <w:rsid w:val="00EB2CBF"/>
    <w:rsid w:val="00EB2E73"/>
    <w:rsid w:val="00EB2F5C"/>
    <w:rsid w:val="00EB30DA"/>
    <w:rsid w:val="00EB3316"/>
    <w:rsid w:val="00EB3503"/>
    <w:rsid w:val="00EB3642"/>
    <w:rsid w:val="00EB367D"/>
    <w:rsid w:val="00EB37C5"/>
    <w:rsid w:val="00EB3906"/>
    <w:rsid w:val="00EB3A49"/>
    <w:rsid w:val="00EB3D09"/>
    <w:rsid w:val="00EB3D0D"/>
    <w:rsid w:val="00EB3F47"/>
    <w:rsid w:val="00EB3FF6"/>
    <w:rsid w:val="00EB4083"/>
    <w:rsid w:val="00EB43D4"/>
    <w:rsid w:val="00EB44F0"/>
    <w:rsid w:val="00EB4640"/>
    <w:rsid w:val="00EB4892"/>
    <w:rsid w:val="00EB4903"/>
    <w:rsid w:val="00EB494C"/>
    <w:rsid w:val="00EB4A9F"/>
    <w:rsid w:val="00EB4C86"/>
    <w:rsid w:val="00EB4CAE"/>
    <w:rsid w:val="00EB4D77"/>
    <w:rsid w:val="00EB53AA"/>
    <w:rsid w:val="00EB5654"/>
    <w:rsid w:val="00EB56DB"/>
    <w:rsid w:val="00EB56FE"/>
    <w:rsid w:val="00EB57B9"/>
    <w:rsid w:val="00EB582E"/>
    <w:rsid w:val="00EB5839"/>
    <w:rsid w:val="00EB5A36"/>
    <w:rsid w:val="00EB5E19"/>
    <w:rsid w:val="00EB5F63"/>
    <w:rsid w:val="00EB5FC1"/>
    <w:rsid w:val="00EB6266"/>
    <w:rsid w:val="00EB630C"/>
    <w:rsid w:val="00EB63EB"/>
    <w:rsid w:val="00EB6550"/>
    <w:rsid w:val="00EB65BB"/>
    <w:rsid w:val="00EB66E1"/>
    <w:rsid w:val="00EB67B1"/>
    <w:rsid w:val="00EB6904"/>
    <w:rsid w:val="00EB69C8"/>
    <w:rsid w:val="00EB6A48"/>
    <w:rsid w:val="00EB6A85"/>
    <w:rsid w:val="00EB6ABF"/>
    <w:rsid w:val="00EB6BED"/>
    <w:rsid w:val="00EB6BFA"/>
    <w:rsid w:val="00EB6D2A"/>
    <w:rsid w:val="00EB6E7C"/>
    <w:rsid w:val="00EB6EA6"/>
    <w:rsid w:val="00EB6EE7"/>
    <w:rsid w:val="00EB74D0"/>
    <w:rsid w:val="00EB7611"/>
    <w:rsid w:val="00EB7937"/>
    <w:rsid w:val="00EB79F8"/>
    <w:rsid w:val="00EB7B14"/>
    <w:rsid w:val="00EB7B86"/>
    <w:rsid w:val="00EB7E91"/>
    <w:rsid w:val="00EB7F00"/>
    <w:rsid w:val="00EB7FA5"/>
    <w:rsid w:val="00EB7FFC"/>
    <w:rsid w:val="00EC0170"/>
    <w:rsid w:val="00EC026B"/>
    <w:rsid w:val="00EC07A2"/>
    <w:rsid w:val="00EC0B1E"/>
    <w:rsid w:val="00EC0D4C"/>
    <w:rsid w:val="00EC0E7F"/>
    <w:rsid w:val="00EC0F92"/>
    <w:rsid w:val="00EC1110"/>
    <w:rsid w:val="00EC1119"/>
    <w:rsid w:val="00EC114B"/>
    <w:rsid w:val="00EC11A5"/>
    <w:rsid w:val="00EC125E"/>
    <w:rsid w:val="00EC13B9"/>
    <w:rsid w:val="00EC13F1"/>
    <w:rsid w:val="00EC142D"/>
    <w:rsid w:val="00EC169F"/>
    <w:rsid w:val="00EC16BA"/>
    <w:rsid w:val="00EC1AEA"/>
    <w:rsid w:val="00EC1B0C"/>
    <w:rsid w:val="00EC1C81"/>
    <w:rsid w:val="00EC1E31"/>
    <w:rsid w:val="00EC1E3D"/>
    <w:rsid w:val="00EC1FB8"/>
    <w:rsid w:val="00EC2380"/>
    <w:rsid w:val="00EC2495"/>
    <w:rsid w:val="00EC24CE"/>
    <w:rsid w:val="00EC26D0"/>
    <w:rsid w:val="00EC26D4"/>
    <w:rsid w:val="00EC270C"/>
    <w:rsid w:val="00EC27E4"/>
    <w:rsid w:val="00EC2962"/>
    <w:rsid w:val="00EC2A8C"/>
    <w:rsid w:val="00EC2AB7"/>
    <w:rsid w:val="00EC2AD2"/>
    <w:rsid w:val="00EC2CBF"/>
    <w:rsid w:val="00EC2D31"/>
    <w:rsid w:val="00EC32EC"/>
    <w:rsid w:val="00EC3399"/>
    <w:rsid w:val="00EC33D8"/>
    <w:rsid w:val="00EC35E3"/>
    <w:rsid w:val="00EC3626"/>
    <w:rsid w:val="00EC3635"/>
    <w:rsid w:val="00EC36E3"/>
    <w:rsid w:val="00EC375A"/>
    <w:rsid w:val="00EC37F0"/>
    <w:rsid w:val="00EC3F6C"/>
    <w:rsid w:val="00EC41A9"/>
    <w:rsid w:val="00EC4299"/>
    <w:rsid w:val="00EC42EB"/>
    <w:rsid w:val="00EC46F4"/>
    <w:rsid w:val="00EC47C4"/>
    <w:rsid w:val="00EC4A3A"/>
    <w:rsid w:val="00EC4B50"/>
    <w:rsid w:val="00EC4C5A"/>
    <w:rsid w:val="00EC4CDC"/>
    <w:rsid w:val="00EC4D68"/>
    <w:rsid w:val="00EC4E0B"/>
    <w:rsid w:val="00EC4E2D"/>
    <w:rsid w:val="00EC4F4B"/>
    <w:rsid w:val="00EC52C2"/>
    <w:rsid w:val="00EC5363"/>
    <w:rsid w:val="00EC53C2"/>
    <w:rsid w:val="00EC5625"/>
    <w:rsid w:val="00EC574D"/>
    <w:rsid w:val="00EC57B6"/>
    <w:rsid w:val="00EC595B"/>
    <w:rsid w:val="00EC59DE"/>
    <w:rsid w:val="00EC5BFB"/>
    <w:rsid w:val="00EC5D8C"/>
    <w:rsid w:val="00EC5EDF"/>
    <w:rsid w:val="00EC5F12"/>
    <w:rsid w:val="00EC5F4F"/>
    <w:rsid w:val="00EC60C0"/>
    <w:rsid w:val="00EC60CC"/>
    <w:rsid w:val="00EC60D2"/>
    <w:rsid w:val="00EC614A"/>
    <w:rsid w:val="00EC6358"/>
    <w:rsid w:val="00EC63E9"/>
    <w:rsid w:val="00EC64BE"/>
    <w:rsid w:val="00EC6668"/>
    <w:rsid w:val="00EC66DC"/>
    <w:rsid w:val="00EC6783"/>
    <w:rsid w:val="00EC67A5"/>
    <w:rsid w:val="00EC6934"/>
    <w:rsid w:val="00EC69B7"/>
    <w:rsid w:val="00EC6AFE"/>
    <w:rsid w:val="00EC6B8C"/>
    <w:rsid w:val="00EC6F3E"/>
    <w:rsid w:val="00EC73C0"/>
    <w:rsid w:val="00EC7483"/>
    <w:rsid w:val="00EC74BE"/>
    <w:rsid w:val="00EC77C9"/>
    <w:rsid w:val="00EC783C"/>
    <w:rsid w:val="00EC78DA"/>
    <w:rsid w:val="00EC791B"/>
    <w:rsid w:val="00EC7975"/>
    <w:rsid w:val="00EC7E5A"/>
    <w:rsid w:val="00EC7F62"/>
    <w:rsid w:val="00ED005F"/>
    <w:rsid w:val="00ED015A"/>
    <w:rsid w:val="00ED0325"/>
    <w:rsid w:val="00ED03F9"/>
    <w:rsid w:val="00ED0559"/>
    <w:rsid w:val="00ED0565"/>
    <w:rsid w:val="00ED06DA"/>
    <w:rsid w:val="00ED0A73"/>
    <w:rsid w:val="00ED0B0B"/>
    <w:rsid w:val="00ED0B6B"/>
    <w:rsid w:val="00ED0BF7"/>
    <w:rsid w:val="00ED0C5E"/>
    <w:rsid w:val="00ED0C79"/>
    <w:rsid w:val="00ED0CC4"/>
    <w:rsid w:val="00ED0CF3"/>
    <w:rsid w:val="00ED0D77"/>
    <w:rsid w:val="00ED0DB3"/>
    <w:rsid w:val="00ED0E58"/>
    <w:rsid w:val="00ED0E73"/>
    <w:rsid w:val="00ED0E99"/>
    <w:rsid w:val="00ED0ED8"/>
    <w:rsid w:val="00ED1043"/>
    <w:rsid w:val="00ED106D"/>
    <w:rsid w:val="00ED1108"/>
    <w:rsid w:val="00ED1198"/>
    <w:rsid w:val="00ED1505"/>
    <w:rsid w:val="00ED15FF"/>
    <w:rsid w:val="00ED1621"/>
    <w:rsid w:val="00ED1734"/>
    <w:rsid w:val="00ED1743"/>
    <w:rsid w:val="00ED179A"/>
    <w:rsid w:val="00ED1D8B"/>
    <w:rsid w:val="00ED1E7C"/>
    <w:rsid w:val="00ED1F80"/>
    <w:rsid w:val="00ED2048"/>
    <w:rsid w:val="00ED20F2"/>
    <w:rsid w:val="00ED21EA"/>
    <w:rsid w:val="00ED2267"/>
    <w:rsid w:val="00ED2295"/>
    <w:rsid w:val="00ED238D"/>
    <w:rsid w:val="00ED24CA"/>
    <w:rsid w:val="00ED2616"/>
    <w:rsid w:val="00ED2729"/>
    <w:rsid w:val="00ED2AB7"/>
    <w:rsid w:val="00ED2AE5"/>
    <w:rsid w:val="00ED2B82"/>
    <w:rsid w:val="00ED2BE5"/>
    <w:rsid w:val="00ED2CB6"/>
    <w:rsid w:val="00ED2D98"/>
    <w:rsid w:val="00ED2DC5"/>
    <w:rsid w:val="00ED3086"/>
    <w:rsid w:val="00ED3203"/>
    <w:rsid w:val="00ED331A"/>
    <w:rsid w:val="00ED33BF"/>
    <w:rsid w:val="00ED38AC"/>
    <w:rsid w:val="00ED39CF"/>
    <w:rsid w:val="00ED39E4"/>
    <w:rsid w:val="00ED3B2D"/>
    <w:rsid w:val="00ED3B4D"/>
    <w:rsid w:val="00ED3C48"/>
    <w:rsid w:val="00ED3EA3"/>
    <w:rsid w:val="00ED3EFD"/>
    <w:rsid w:val="00ED3FE0"/>
    <w:rsid w:val="00ED4019"/>
    <w:rsid w:val="00ED42E6"/>
    <w:rsid w:val="00ED44AA"/>
    <w:rsid w:val="00ED4644"/>
    <w:rsid w:val="00ED46B0"/>
    <w:rsid w:val="00ED49BC"/>
    <w:rsid w:val="00ED4ACA"/>
    <w:rsid w:val="00ED4B02"/>
    <w:rsid w:val="00ED4BDD"/>
    <w:rsid w:val="00ED4CF8"/>
    <w:rsid w:val="00ED4D79"/>
    <w:rsid w:val="00ED4F30"/>
    <w:rsid w:val="00ED509E"/>
    <w:rsid w:val="00ED519A"/>
    <w:rsid w:val="00ED51A5"/>
    <w:rsid w:val="00ED5248"/>
    <w:rsid w:val="00ED52AD"/>
    <w:rsid w:val="00ED54C8"/>
    <w:rsid w:val="00ED54EE"/>
    <w:rsid w:val="00ED5891"/>
    <w:rsid w:val="00ED5CE1"/>
    <w:rsid w:val="00ED5CFF"/>
    <w:rsid w:val="00ED5DFA"/>
    <w:rsid w:val="00ED5E8B"/>
    <w:rsid w:val="00ED5EA9"/>
    <w:rsid w:val="00ED6071"/>
    <w:rsid w:val="00ED634F"/>
    <w:rsid w:val="00ED6605"/>
    <w:rsid w:val="00ED6734"/>
    <w:rsid w:val="00ED6985"/>
    <w:rsid w:val="00ED6999"/>
    <w:rsid w:val="00ED6AA0"/>
    <w:rsid w:val="00ED6ED6"/>
    <w:rsid w:val="00ED7072"/>
    <w:rsid w:val="00ED70CC"/>
    <w:rsid w:val="00ED7251"/>
    <w:rsid w:val="00ED727F"/>
    <w:rsid w:val="00ED729C"/>
    <w:rsid w:val="00ED72F9"/>
    <w:rsid w:val="00ED74A9"/>
    <w:rsid w:val="00ED7511"/>
    <w:rsid w:val="00ED75C3"/>
    <w:rsid w:val="00ED75F7"/>
    <w:rsid w:val="00ED77FB"/>
    <w:rsid w:val="00ED78DF"/>
    <w:rsid w:val="00ED793C"/>
    <w:rsid w:val="00ED7987"/>
    <w:rsid w:val="00ED7A15"/>
    <w:rsid w:val="00ED7A68"/>
    <w:rsid w:val="00ED7A77"/>
    <w:rsid w:val="00ED7A93"/>
    <w:rsid w:val="00ED7AB1"/>
    <w:rsid w:val="00ED7B3E"/>
    <w:rsid w:val="00ED7B7E"/>
    <w:rsid w:val="00ED7BA7"/>
    <w:rsid w:val="00ED7BF4"/>
    <w:rsid w:val="00ED7CF6"/>
    <w:rsid w:val="00ED7DC7"/>
    <w:rsid w:val="00ED7DEB"/>
    <w:rsid w:val="00EE003B"/>
    <w:rsid w:val="00EE0092"/>
    <w:rsid w:val="00EE01B3"/>
    <w:rsid w:val="00EE0266"/>
    <w:rsid w:val="00EE028B"/>
    <w:rsid w:val="00EE02B6"/>
    <w:rsid w:val="00EE03CD"/>
    <w:rsid w:val="00EE03D0"/>
    <w:rsid w:val="00EE0410"/>
    <w:rsid w:val="00EE04AB"/>
    <w:rsid w:val="00EE05D0"/>
    <w:rsid w:val="00EE0740"/>
    <w:rsid w:val="00EE08E5"/>
    <w:rsid w:val="00EE0905"/>
    <w:rsid w:val="00EE0913"/>
    <w:rsid w:val="00EE0B49"/>
    <w:rsid w:val="00EE0E1B"/>
    <w:rsid w:val="00EE0F01"/>
    <w:rsid w:val="00EE1379"/>
    <w:rsid w:val="00EE1511"/>
    <w:rsid w:val="00EE1674"/>
    <w:rsid w:val="00EE1680"/>
    <w:rsid w:val="00EE176A"/>
    <w:rsid w:val="00EE180A"/>
    <w:rsid w:val="00EE18C7"/>
    <w:rsid w:val="00EE1B9B"/>
    <w:rsid w:val="00EE1C81"/>
    <w:rsid w:val="00EE1D4D"/>
    <w:rsid w:val="00EE1FD9"/>
    <w:rsid w:val="00EE1FFD"/>
    <w:rsid w:val="00EE20A4"/>
    <w:rsid w:val="00EE23AB"/>
    <w:rsid w:val="00EE247C"/>
    <w:rsid w:val="00EE2589"/>
    <w:rsid w:val="00EE2691"/>
    <w:rsid w:val="00EE2719"/>
    <w:rsid w:val="00EE2776"/>
    <w:rsid w:val="00EE298E"/>
    <w:rsid w:val="00EE2A7F"/>
    <w:rsid w:val="00EE2BB5"/>
    <w:rsid w:val="00EE2C7E"/>
    <w:rsid w:val="00EE2E80"/>
    <w:rsid w:val="00EE30F5"/>
    <w:rsid w:val="00EE3217"/>
    <w:rsid w:val="00EE322B"/>
    <w:rsid w:val="00EE3267"/>
    <w:rsid w:val="00EE343D"/>
    <w:rsid w:val="00EE348A"/>
    <w:rsid w:val="00EE3580"/>
    <w:rsid w:val="00EE3957"/>
    <w:rsid w:val="00EE3A87"/>
    <w:rsid w:val="00EE3C88"/>
    <w:rsid w:val="00EE3CF7"/>
    <w:rsid w:val="00EE3D8A"/>
    <w:rsid w:val="00EE3F0A"/>
    <w:rsid w:val="00EE3F91"/>
    <w:rsid w:val="00EE40D2"/>
    <w:rsid w:val="00EE4425"/>
    <w:rsid w:val="00EE44C7"/>
    <w:rsid w:val="00EE4500"/>
    <w:rsid w:val="00EE4541"/>
    <w:rsid w:val="00EE4565"/>
    <w:rsid w:val="00EE4631"/>
    <w:rsid w:val="00EE4799"/>
    <w:rsid w:val="00EE4951"/>
    <w:rsid w:val="00EE49F5"/>
    <w:rsid w:val="00EE4B1C"/>
    <w:rsid w:val="00EE4B5A"/>
    <w:rsid w:val="00EE4D40"/>
    <w:rsid w:val="00EE4F82"/>
    <w:rsid w:val="00EE5105"/>
    <w:rsid w:val="00EE5130"/>
    <w:rsid w:val="00EE522A"/>
    <w:rsid w:val="00EE5247"/>
    <w:rsid w:val="00EE539D"/>
    <w:rsid w:val="00EE572D"/>
    <w:rsid w:val="00EE57BF"/>
    <w:rsid w:val="00EE5978"/>
    <w:rsid w:val="00EE5A2C"/>
    <w:rsid w:val="00EE5B03"/>
    <w:rsid w:val="00EE5B24"/>
    <w:rsid w:val="00EE5B6D"/>
    <w:rsid w:val="00EE5B78"/>
    <w:rsid w:val="00EE5E23"/>
    <w:rsid w:val="00EE5F1E"/>
    <w:rsid w:val="00EE60D4"/>
    <w:rsid w:val="00EE6237"/>
    <w:rsid w:val="00EE6287"/>
    <w:rsid w:val="00EE63D0"/>
    <w:rsid w:val="00EE63D2"/>
    <w:rsid w:val="00EE6458"/>
    <w:rsid w:val="00EE647F"/>
    <w:rsid w:val="00EE648C"/>
    <w:rsid w:val="00EE6585"/>
    <w:rsid w:val="00EE658A"/>
    <w:rsid w:val="00EE65F6"/>
    <w:rsid w:val="00EE6650"/>
    <w:rsid w:val="00EE676B"/>
    <w:rsid w:val="00EE689F"/>
    <w:rsid w:val="00EE6A05"/>
    <w:rsid w:val="00EE6A0B"/>
    <w:rsid w:val="00EE6AE4"/>
    <w:rsid w:val="00EE6B03"/>
    <w:rsid w:val="00EE6B23"/>
    <w:rsid w:val="00EE6B97"/>
    <w:rsid w:val="00EE6C66"/>
    <w:rsid w:val="00EE6D71"/>
    <w:rsid w:val="00EE6DD7"/>
    <w:rsid w:val="00EE6E6A"/>
    <w:rsid w:val="00EE6EBC"/>
    <w:rsid w:val="00EE747F"/>
    <w:rsid w:val="00EE749C"/>
    <w:rsid w:val="00EE7542"/>
    <w:rsid w:val="00EE7599"/>
    <w:rsid w:val="00EE76E4"/>
    <w:rsid w:val="00EE794C"/>
    <w:rsid w:val="00EE7BFD"/>
    <w:rsid w:val="00EE7DEA"/>
    <w:rsid w:val="00EE7FF9"/>
    <w:rsid w:val="00EF000C"/>
    <w:rsid w:val="00EF0030"/>
    <w:rsid w:val="00EF01C0"/>
    <w:rsid w:val="00EF02B6"/>
    <w:rsid w:val="00EF0328"/>
    <w:rsid w:val="00EF04CD"/>
    <w:rsid w:val="00EF078E"/>
    <w:rsid w:val="00EF081A"/>
    <w:rsid w:val="00EF08DB"/>
    <w:rsid w:val="00EF08F5"/>
    <w:rsid w:val="00EF0910"/>
    <w:rsid w:val="00EF0B30"/>
    <w:rsid w:val="00EF0BAA"/>
    <w:rsid w:val="00EF0C86"/>
    <w:rsid w:val="00EF0D3A"/>
    <w:rsid w:val="00EF10C3"/>
    <w:rsid w:val="00EF10D3"/>
    <w:rsid w:val="00EF1308"/>
    <w:rsid w:val="00EF144F"/>
    <w:rsid w:val="00EF15C4"/>
    <w:rsid w:val="00EF1619"/>
    <w:rsid w:val="00EF16C3"/>
    <w:rsid w:val="00EF170C"/>
    <w:rsid w:val="00EF18C7"/>
    <w:rsid w:val="00EF1929"/>
    <w:rsid w:val="00EF1992"/>
    <w:rsid w:val="00EF1B20"/>
    <w:rsid w:val="00EF1BEB"/>
    <w:rsid w:val="00EF1C88"/>
    <w:rsid w:val="00EF1E2D"/>
    <w:rsid w:val="00EF1FC4"/>
    <w:rsid w:val="00EF2110"/>
    <w:rsid w:val="00EF2470"/>
    <w:rsid w:val="00EF24C3"/>
    <w:rsid w:val="00EF24ED"/>
    <w:rsid w:val="00EF25DA"/>
    <w:rsid w:val="00EF27D1"/>
    <w:rsid w:val="00EF27E3"/>
    <w:rsid w:val="00EF29BA"/>
    <w:rsid w:val="00EF2C77"/>
    <w:rsid w:val="00EF2D1E"/>
    <w:rsid w:val="00EF2E17"/>
    <w:rsid w:val="00EF2E8C"/>
    <w:rsid w:val="00EF2E8F"/>
    <w:rsid w:val="00EF2F8D"/>
    <w:rsid w:val="00EF3165"/>
    <w:rsid w:val="00EF31BD"/>
    <w:rsid w:val="00EF32D1"/>
    <w:rsid w:val="00EF32FE"/>
    <w:rsid w:val="00EF3372"/>
    <w:rsid w:val="00EF3491"/>
    <w:rsid w:val="00EF3558"/>
    <w:rsid w:val="00EF3581"/>
    <w:rsid w:val="00EF362B"/>
    <w:rsid w:val="00EF37E8"/>
    <w:rsid w:val="00EF37EB"/>
    <w:rsid w:val="00EF38EB"/>
    <w:rsid w:val="00EF3AC5"/>
    <w:rsid w:val="00EF3E80"/>
    <w:rsid w:val="00EF40D8"/>
    <w:rsid w:val="00EF41F4"/>
    <w:rsid w:val="00EF4211"/>
    <w:rsid w:val="00EF4316"/>
    <w:rsid w:val="00EF431E"/>
    <w:rsid w:val="00EF43D7"/>
    <w:rsid w:val="00EF4614"/>
    <w:rsid w:val="00EF468B"/>
    <w:rsid w:val="00EF46D5"/>
    <w:rsid w:val="00EF48C3"/>
    <w:rsid w:val="00EF4999"/>
    <w:rsid w:val="00EF4D57"/>
    <w:rsid w:val="00EF4D65"/>
    <w:rsid w:val="00EF50A2"/>
    <w:rsid w:val="00EF50C5"/>
    <w:rsid w:val="00EF51C8"/>
    <w:rsid w:val="00EF523D"/>
    <w:rsid w:val="00EF5286"/>
    <w:rsid w:val="00EF53E4"/>
    <w:rsid w:val="00EF541A"/>
    <w:rsid w:val="00EF57DC"/>
    <w:rsid w:val="00EF581E"/>
    <w:rsid w:val="00EF5849"/>
    <w:rsid w:val="00EF59C5"/>
    <w:rsid w:val="00EF5B0A"/>
    <w:rsid w:val="00EF5B2F"/>
    <w:rsid w:val="00EF5B8B"/>
    <w:rsid w:val="00EF5C4C"/>
    <w:rsid w:val="00EF5F20"/>
    <w:rsid w:val="00EF61C7"/>
    <w:rsid w:val="00EF6319"/>
    <w:rsid w:val="00EF6397"/>
    <w:rsid w:val="00EF63AA"/>
    <w:rsid w:val="00EF6575"/>
    <w:rsid w:val="00EF65A1"/>
    <w:rsid w:val="00EF680E"/>
    <w:rsid w:val="00EF6940"/>
    <w:rsid w:val="00EF6AF3"/>
    <w:rsid w:val="00EF6AFA"/>
    <w:rsid w:val="00EF6DB4"/>
    <w:rsid w:val="00EF6F06"/>
    <w:rsid w:val="00EF6F72"/>
    <w:rsid w:val="00EF7037"/>
    <w:rsid w:val="00EF706A"/>
    <w:rsid w:val="00EF71A4"/>
    <w:rsid w:val="00EF71BB"/>
    <w:rsid w:val="00EF73EF"/>
    <w:rsid w:val="00EF74AC"/>
    <w:rsid w:val="00EF76CC"/>
    <w:rsid w:val="00EF77E5"/>
    <w:rsid w:val="00EF786B"/>
    <w:rsid w:val="00EF7875"/>
    <w:rsid w:val="00EF7A67"/>
    <w:rsid w:val="00EF7B4F"/>
    <w:rsid w:val="00EF7B7B"/>
    <w:rsid w:val="00EF7CE9"/>
    <w:rsid w:val="00EF7E00"/>
    <w:rsid w:val="00EF7EA5"/>
    <w:rsid w:val="00EF7F9D"/>
    <w:rsid w:val="00F00246"/>
    <w:rsid w:val="00F00554"/>
    <w:rsid w:val="00F006C8"/>
    <w:rsid w:val="00F00C7F"/>
    <w:rsid w:val="00F00C9A"/>
    <w:rsid w:val="00F00CC3"/>
    <w:rsid w:val="00F00CD1"/>
    <w:rsid w:val="00F00EE0"/>
    <w:rsid w:val="00F01004"/>
    <w:rsid w:val="00F0106D"/>
    <w:rsid w:val="00F011D7"/>
    <w:rsid w:val="00F0127F"/>
    <w:rsid w:val="00F01317"/>
    <w:rsid w:val="00F017DF"/>
    <w:rsid w:val="00F01816"/>
    <w:rsid w:val="00F01861"/>
    <w:rsid w:val="00F01A18"/>
    <w:rsid w:val="00F01BD7"/>
    <w:rsid w:val="00F01D9C"/>
    <w:rsid w:val="00F01FBD"/>
    <w:rsid w:val="00F02029"/>
    <w:rsid w:val="00F02182"/>
    <w:rsid w:val="00F0232A"/>
    <w:rsid w:val="00F0237A"/>
    <w:rsid w:val="00F0266A"/>
    <w:rsid w:val="00F02727"/>
    <w:rsid w:val="00F028CB"/>
    <w:rsid w:val="00F028E8"/>
    <w:rsid w:val="00F02904"/>
    <w:rsid w:val="00F029C8"/>
    <w:rsid w:val="00F02A9B"/>
    <w:rsid w:val="00F02B36"/>
    <w:rsid w:val="00F02BF1"/>
    <w:rsid w:val="00F02D11"/>
    <w:rsid w:val="00F02D45"/>
    <w:rsid w:val="00F02F85"/>
    <w:rsid w:val="00F0348F"/>
    <w:rsid w:val="00F0350C"/>
    <w:rsid w:val="00F036C4"/>
    <w:rsid w:val="00F0374C"/>
    <w:rsid w:val="00F037C6"/>
    <w:rsid w:val="00F037EA"/>
    <w:rsid w:val="00F039DB"/>
    <w:rsid w:val="00F03A24"/>
    <w:rsid w:val="00F03A9C"/>
    <w:rsid w:val="00F03B65"/>
    <w:rsid w:val="00F03BCC"/>
    <w:rsid w:val="00F03D15"/>
    <w:rsid w:val="00F03D55"/>
    <w:rsid w:val="00F04083"/>
    <w:rsid w:val="00F0413A"/>
    <w:rsid w:val="00F041D4"/>
    <w:rsid w:val="00F043F9"/>
    <w:rsid w:val="00F04500"/>
    <w:rsid w:val="00F0466D"/>
    <w:rsid w:val="00F04889"/>
    <w:rsid w:val="00F04E9C"/>
    <w:rsid w:val="00F04F02"/>
    <w:rsid w:val="00F04F59"/>
    <w:rsid w:val="00F04FDC"/>
    <w:rsid w:val="00F051D0"/>
    <w:rsid w:val="00F052B8"/>
    <w:rsid w:val="00F052C0"/>
    <w:rsid w:val="00F05343"/>
    <w:rsid w:val="00F055AB"/>
    <w:rsid w:val="00F0593B"/>
    <w:rsid w:val="00F0599C"/>
    <w:rsid w:val="00F059BC"/>
    <w:rsid w:val="00F05A30"/>
    <w:rsid w:val="00F05B09"/>
    <w:rsid w:val="00F05B75"/>
    <w:rsid w:val="00F05BE9"/>
    <w:rsid w:val="00F05CE7"/>
    <w:rsid w:val="00F05DDB"/>
    <w:rsid w:val="00F05EEB"/>
    <w:rsid w:val="00F05EF3"/>
    <w:rsid w:val="00F05F00"/>
    <w:rsid w:val="00F05F0D"/>
    <w:rsid w:val="00F060BA"/>
    <w:rsid w:val="00F06198"/>
    <w:rsid w:val="00F06721"/>
    <w:rsid w:val="00F067C9"/>
    <w:rsid w:val="00F06946"/>
    <w:rsid w:val="00F06A1E"/>
    <w:rsid w:val="00F06BA7"/>
    <w:rsid w:val="00F06BAE"/>
    <w:rsid w:val="00F06D05"/>
    <w:rsid w:val="00F06D92"/>
    <w:rsid w:val="00F06FB5"/>
    <w:rsid w:val="00F07116"/>
    <w:rsid w:val="00F0726B"/>
    <w:rsid w:val="00F073F0"/>
    <w:rsid w:val="00F0752E"/>
    <w:rsid w:val="00F0769D"/>
    <w:rsid w:val="00F0776E"/>
    <w:rsid w:val="00F07848"/>
    <w:rsid w:val="00F079AD"/>
    <w:rsid w:val="00F07B10"/>
    <w:rsid w:val="00F07B50"/>
    <w:rsid w:val="00F07D6D"/>
    <w:rsid w:val="00F07E40"/>
    <w:rsid w:val="00F10194"/>
    <w:rsid w:val="00F1025C"/>
    <w:rsid w:val="00F10512"/>
    <w:rsid w:val="00F10531"/>
    <w:rsid w:val="00F1054F"/>
    <w:rsid w:val="00F10576"/>
    <w:rsid w:val="00F105A1"/>
    <w:rsid w:val="00F1060F"/>
    <w:rsid w:val="00F1073E"/>
    <w:rsid w:val="00F10AFC"/>
    <w:rsid w:val="00F10B0E"/>
    <w:rsid w:val="00F10B43"/>
    <w:rsid w:val="00F10B53"/>
    <w:rsid w:val="00F10C24"/>
    <w:rsid w:val="00F10C75"/>
    <w:rsid w:val="00F10CA2"/>
    <w:rsid w:val="00F10D9C"/>
    <w:rsid w:val="00F10DC4"/>
    <w:rsid w:val="00F10DFF"/>
    <w:rsid w:val="00F10ECF"/>
    <w:rsid w:val="00F10F2F"/>
    <w:rsid w:val="00F10FDC"/>
    <w:rsid w:val="00F1120B"/>
    <w:rsid w:val="00F113E4"/>
    <w:rsid w:val="00F114F2"/>
    <w:rsid w:val="00F11575"/>
    <w:rsid w:val="00F116F6"/>
    <w:rsid w:val="00F119F4"/>
    <w:rsid w:val="00F11A2D"/>
    <w:rsid w:val="00F11A73"/>
    <w:rsid w:val="00F11B5C"/>
    <w:rsid w:val="00F11DD2"/>
    <w:rsid w:val="00F11E14"/>
    <w:rsid w:val="00F11F1C"/>
    <w:rsid w:val="00F11F6B"/>
    <w:rsid w:val="00F11FCA"/>
    <w:rsid w:val="00F1221A"/>
    <w:rsid w:val="00F122DB"/>
    <w:rsid w:val="00F12396"/>
    <w:rsid w:val="00F1241D"/>
    <w:rsid w:val="00F1250D"/>
    <w:rsid w:val="00F12595"/>
    <w:rsid w:val="00F1259C"/>
    <w:rsid w:val="00F1263B"/>
    <w:rsid w:val="00F12719"/>
    <w:rsid w:val="00F1274F"/>
    <w:rsid w:val="00F127D7"/>
    <w:rsid w:val="00F127EF"/>
    <w:rsid w:val="00F128F1"/>
    <w:rsid w:val="00F12A1C"/>
    <w:rsid w:val="00F12CB4"/>
    <w:rsid w:val="00F12CD8"/>
    <w:rsid w:val="00F12D01"/>
    <w:rsid w:val="00F12D0E"/>
    <w:rsid w:val="00F12DEA"/>
    <w:rsid w:val="00F12FF0"/>
    <w:rsid w:val="00F13178"/>
    <w:rsid w:val="00F1346F"/>
    <w:rsid w:val="00F136B3"/>
    <w:rsid w:val="00F139D3"/>
    <w:rsid w:val="00F13AD2"/>
    <w:rsid w:val="00F13C62"/>
    <w:rsid w:val="00F13D05"/>
    <w:rsid w:val="00F13D33"/>
    <w:rsid w:val="00F13E9D"/>
    <w:rsid w:val="00F13EB0"/>
    <w:rsid w:val="00F13FEC"/>
    <w:rsid w:val="00F14043"/>
    <w:rsid w:val="00F141F2"/>
    <w:rsid w:val="00F142BC"/>
    <w:rsid w:val="00F14515"/>
    <w:rsid w:val="00F14552"/>
    <w:rsid w:val="00F147A2"/>
    <w:rsid w:val="00F1481C"/>
    <w:rsid w:val="00F149B2"/>
    <w:rsid w:val="00F14B1D"/>
    <w:rsid w:val="00F14BF0"/>
    <w:rsid w:val="00F14C91"/>
    <w:rsid w:val="00F14E43"/>
    <w:rsid w:val="00F14EC7"/>
    <w:rsid w:val="00F14ED7"/>
    <w:rsid w:val="00F14F88"/>
    <w:rsid w:val="00F14FD5"/>
    <w:rsid w:val="00F151F3"/>
    <w:rsid w:val="00F15275"/>
    <w:rsid w:val="00F1527E"/>
    <w:rsid w:val="00F1541C"/>
    <w:rsid w:val="00F15793"/>
    <w:rsid w:val="00F15812"/>
    <w:rsid w:val="00F15A9B"/>
    <w:rsid w:val="00F15BD3"/>
    <w:rsid w:val="00F15F72"/>
    <w:rsid w:val="00F160E3"/>
    <w:rsid w:val="00F1614F"/>
    <w:rsid w:val="00F16176"/>
    <w:rsid w:val="00F16349"/>
    <w:rsid w:val="00F1667F"/>
    <w:rsid w:val="00F1677B"/>
    <w:rsid w:val="00F1688B"/>
    <w:rsid w:val="00F16B03"/>
    <w:rsid w:val="00F16B57"/>
    <w:rsid w:val="00F16C3B"/>
    <w:rsid w:val="00F16C42"/>
    <w:rsid w:val="00F16CF1"/>
    <w:rsid w:val="00F16D2F"/>
    <w:rsid w:val="00F16D46"/>
    <w:rsid w:val="00F1713A"/>
    <w:rsid w:val="00F1731D"/>
    <w:rsid w:val="00F17381"/>
    <w:rsid w:val="00F173DB"/>
    <w:rsid w:val="00F173F1"/>
    <w:rsid w:val="00F1740A"/>
    <w:rsid w:val="00F178A7"/>
    <w:rsid w:val="00F17AF0"/>
    <w:rsid w:val="00F17B1B"/>
    <w:rsid w:val="00F17C33"/>
    <w:rsid w:val="00F17E32"/>
    <w:rsid w:val="00F17EFF"/>
    <w:rsid w:val="00F17F26"/>
    <w:rsid w:val="00F2007D"/>
    <w:rsid w:val="00F202E7"/>
    <w:rsid w:val="00F208A4"/>
    <w:rsid w:val="00F20A02"/>
    <w:rsid w:val="00F20AD8"/>
    <w:rsid w:val="00F20DE2"/>
    <w:rsid w:val="00F20E76"/>
    <w:rsid w:val="00F20FF4"/>
    <w:rsid w:val="00F21062"/>
    <w:rsid w:val="00F21091"/>
    <w:rsid w:val="00F2117F"/>
    <w:rsid w:val="00F21309"/>
    <w:rsid w:val="00F21372"/>
    <w:rsid w:val="00F214D1"/>
    <w:rsid w:val="00F215CC"/>
    <w:rsid w:val="00F216B6"/>
    <w:rsid w:val="00F21864"/>
    <w:rsid w:val="00F21A13"/>
    <w:rsid w:val="00F21ADC"/>
    <w:rsid w:val="00F21BF9"/>
    <w:rsid w:val="00F21D92"/>
    <w:rsid w:val="00F21F1A"/>
    <w:rsid w:val="00F21FFE"/>
    <w:rsid w:val="00F22360"/>
    <w:rsid w:val="00F223BA"/>
    <w:rsid w:val="00F223C3"/>
    <w:rsid w:val="00F22442"/>
    <w:rsid w:val="00F224ED"/>
    <w:rsid w:val="00F225B5"/>
    <w:rsid w:val="00F22721"/>
    <w:rsid w:val="00F22768"/>
    <w:rsid w:val="00F227D5"/>
    <w:rsid w:val="00F2281E"/>
    <w:rsid w:val="00F229AA"/>
    <w:rsid w:val="00F22A6B"/>
    <w:rsid w:val="00F22AD6"/>
    <w:rsid w:val="00F22AD8"/>
    <w:rsid w:val="00F22BAA"/>
    <w:rsid w:val="00F22CBD"/>
    <w:rsid w:val="00F22D01"/>
    <w:rsid w:val="00F22D5B"/>
    <w:rsid w:val="00F22DFF"/>
    <w:rsid w:val="00F22E31"/>
    <w:rsid w:val="00F2306F"/>
    <w:rsid w:val="00F2326D"/>
    <w:rsid w:val="00F2336A"/>
    <w:rsid w:val="00F233B3"/>
    <w:rsid w:val="00F235B5"/>
    <w:rsid w:val="00F235E3"/>
    <w:rsid w:val="00F238D5"/>
    <w:rsid w:val="00F2392B"/>
    <w:rsid w:val="00F239B1"/>
    <w:rsid w:val="00F23CA6"/>
    <w:rsid w:val="00F23CED"/>
    <w:rsid w:val="00F23E3D"/>
    <w:rsid w:val="00F23E69"/>
    <w:rsid w:val="00F23EBA"/>
    <w:rsid w:val="00F23F5F"/>
    <w:rsid w:val="00F24020"/>
    <w:rsid w:val="00F24034"/>
    <w:rsid w:val="00F24036"/>
    <w:rsid w:val="00F2420C"/>
    <w:rsid w:val="00F2439E"/>
    <w:rsid w:val="00F2449C"/>
    <w:rsid w:val="00F2449F"/>
    <w:rsid w:val="00F24780"/>
    <w:rsid w:val="00F2492B"/>
    <w:rsid w:val="00F24A2D"/>
    <w:rsid w:val="00F24AAE"/>
    <w:rsid w:val="00F24D6F"/>
    <w:rsid w:val="00F24EAC"/>
    <w:rsid w:val="00F24EAF"/>
    <w:rsid w:val="00F24EEB"/>
    <w:rsid w:val="00F24F05"/>
    <w:rsid w:val="00F250C0"/>
    <w:rsid w:val="00F251AC"/>
    <w:rsid w:val="00F25422"/>
    <w:rsid w:val="00F25468"/>
    <w:rsid w:val="00F2570C"/>
    <w:rsid w:val="00F258FA"/>
    <w:rsid w:val="00F2597C"/>
    <w:rsid w:val="00F259CE"/>
    <w:rsid w:val="00F259D3"/>
    <w:rsid w:val="00F259E0"/>
    <w:rsid w:val="00F25A44"/>
    <w:rsid w:val="00F25AA7"/>
    <w:rsid w:val="00F25B48"/>
    <w:rsid w:val="00F25BAC"/>
    <w:rsid w:val="00F25D23"/>
    <w:rsid w:val="00F25E36"/>
    <w:rsid w:val="00F25F36"/>
    <w:rsid w:val="00F25F7C"/>
    <w:rsid w:val="00F2605E"/>
    <w:rsid w:val="00F26126"/>
    <w:rsid w:val="00F2618D"/>
    <w:rsid w:val="00F263FD"/>
    <w:rsid w:val="00F26611"/>
    <w:rsid w:val="00F2668C"/>
    <w:rsid w:val="00F268B0"/>
    <w:rsid w:val="00F2696B"/>
    <w:rsid w:val="00F26A90"/>
    <w:rsid w:val="00F26A9A"/>
    <w:rsid w:val="00F26B5F"/>
    <w:rsid w:val="00F26BAA"/>
    <w:rsid w:val="00F26BB8"/>
    <w:rsid w:val="00F26DBB"/>
    <w:rsid w:val="00F26F68"/>
    <w:rsid w:val="00F27255"/>
    <w:rsid w:val="00F274AF"/>
    <w:rsid w:val="00F276C1"/>
    <w:rsid w:val="00F276CF"/>
    <w:rsid w:val="00F27987"/>
    <w:rsid w:val="00F27BEA"/>
    <w:rsid w:val="00F27C92"/>
    <w:rsid w:val="00F27E18"/>
    <w:rsid w:val="00F27E5D"/>
    <w:rsid w:val="00F27ED0"/>
    <w:rsid w:val="00F27FAC"/>
    <w:rsid w:val="00F30175"/>
    <w:rsid w:val="00F30386"/>
    <w:rsid w:val="00F30410"/>
    <w:rsid w:val="00F30458"/>
    <w:rsid w:val="00F304DF"/>
    <w:rsid w:val="00F30802"/>
    <w:rsid w:val="00F309F4"/>
    <w:rsid w:val="00F30BB3"/>
    <w:rsid w:val="00F30BCE"/>
    <w:rsid w:val="00F3104E"/>
    <w:rsid w:val="00F310D3"/>
    <w:rsid w:val="00F31108"/>
    <w:rsid w:val="00F31124"/>
    <w:rsid w:val="00F31284"/>
    <w:rsid w:val="00F312DD"/>
    <w:rsid w:val="00F3137D"/>
    <w:rsid w:val="00F3140A"/>
    <w:rsid w:val="00F314E7"/>
    <w:rsid w:val="00F31540"/>
    <w:rsid w:val="00F31583"/>
    <w:rsid w:val="00F316AB"/>
    <w:rsid w:val="00F318A1"/>
    <w:rsid w:val="00F319D3"/>
    <w:rsid w:val="00F31ABB"/>
    <w:rsid w:val="00F31AD4"/>
    <w:rsid w:val="00F31B02"/>
    <w:rsid w:val="00F31B24"/>
    <w:rsid w:val="00F31C55"/>
    <w:rsid w:val="00F31CEC"/>
    <w:rsid w:val="00F31E2F"/>
    <w:rsid w:val="00F31E68"/>
    <w:rsid w:val="00F31ED4"/>
    <w:rsid w:val="00F32169"/>
    <w:rsid w:val="00F3221E"/>
    <w:rsid w:val="00F3241B"/>
    <w:rsid w:val="00F3243F"/>
    <w:rsid w:val="00F32506"/>
    <w:rsid w:val="00F32558"/>
    <w:rsid w:val="00F3256B"/>
    <w:rsid w:val="00F325D7"/>
    <w:rsid w:val="00F3266D"/>
    <w:rsid w:val="00F3286D"/>
    <w:rsid w:val="00F32A4F"/>
    <w:rsid w:val="00F32B45"/>
    <w:rsid w:val="00F32D58"/>
    <w:rsid w:val="00F32FD3"/>
    <w:rsid w:val="00F3305B"/>
    <w:rsid w:val="00F3313E"/>
    <w:rsid w:val="00F332D2"/>
    <w:rsid w:val="00F3343A"/>
    <w:rsid w:val="00F3364A"/>
    <w:rsid w:val="00F33651"/>
    <w:rsid w:val="00F33657"/>
    <w:rsid w:val="00F3366B"/>
    <w:rsid w:val="00F3367F"/>
    <w:rsid w:val="00F336B0"/>
    <w:rsid w:val="00F33787"/>
    <w:rsid w:val="00F33845"/>
    <w:rsid w:val="00F3384F"/>
    <w:rsid w:val="00F33A9A"/>
    <w:rsid w:val="00F33AD1"/>
    <w:rsid w:val="00F33B9F"/>
    <w:rsid w:val="00F33DE0"/>
    <w:rsid w:val="00F33E69"/>
    <w:rsid w:val="00F33FE0"/>
    <w:rsid w:val="00F34114"/>
    <w:rsid w:val="00F34151"/>
    <w:rsid w:val="00F34293"/>
    <w:rsid w:val="00F34295"/>
    <w:rsid w:val="00F34308"/>
    <w:rsid w:val="00F3439C"/>
    <w:rsid w:val="00F3472B"/>
    <w:rsid w:val="00F34749"/>
    <w:rsid w:val="00F34867"/>
    <w:rsid w:val="00F34876"/>
    <w:rsid w:val="00F349E2"/>
    <w:rsid w:val="00F34AF0"/>
    <w:rsid w:val="00F34B8B"/>
    <w:rsid w:val="00F34E1B"/>
    <w:rsid w:val="00F34F06"/>
    <w:rsid w:val="00F34F27"/>
    <w:rsid w:val="00F3505B"/>
    <w:rsid w:val="00F3508C"/>
    <w:rsid w:val="00F35096"/>
    <w:rsid w:val="00F3518A"/>
    <w:rsid w:val="00F351B8"/>
    <w:rsid w:val="00F3529E"/>
    <w:rsid w:val="00F3541E"/>
    <w:rsid w:val="00F35792"/>
    <w:rsid w:val="00F3588F"/>
    <w:rsid w:val="00F35A1D"/>
    <w:rsid w:val="00F35BC2"/>
    <w:rsid w:val="00F35C0E"/>
    <w:rsid w:val="00F35D06"/>
    <w:rsid w:val="00F35DD9"/>
    <w:rsid w:val="00F35EA8"/>
    <w:rsid w:val="00F35EC2"/>
    <w:rsid w:val="00F35FF4"/>
    <w:rsid w:val="00F36297"/>
    <w:rsid w:val="00F367B2"/>
    <w:rsid w:val="00F368EE"/>
    <w:rsid w:val="00F369B0"/>
    <w:rsid w:val="00F36A19"/>
    <w:rsid w:val="00F36AAA"/>
    <w:rsid w:val="00F36B86"/>
    <w:rsid w:val="00F36CD6"/>
    <w:rsid w:val="00F36E5C"/>
    <w:rsid w:val="00F3732C"/>
    <w:rsid w:val="00F3733C"/>
    <w:rsid w:val="00F37397"/>
    <w:rsid w:val="00F374A3"/>
    <w:rsid w:val="00F37582"/>
    <w:rsid w:val="00F37592"/>
    <w:rsid w:val="00F37665"/>
    <w:rsid w:val="00F37973"/>
    <w:rsid w:val="00F37AB0"/>
    <w:rsid w:val="00F37C87"/>
    <w:rsid w:val="00F37DC4"/>
    <w:rsid w:val="00F37E0F"/>
    <w:rsid w:val="00F37F1B"/>
    <w:rsid w:val="00F37F3D"/>
    <w:rsid w:val="00F400F5"/>
    <w:rsid w:val="00F401CD"/>
    <w:rsid w:val="00F401DC"/>
    <w:rsid w:val="00F402D1"/>
    <w:rsid w:val="00F402DC"/>
    <w:rsid w:val="00F403DA"/>
    <w:rsid w:val="00F4067E"/>
    <w:rsid w:val="00F407A4"/>
    <w:rsid w:val="00F40A91"/>
    <w:rsid w:val="00F40AC2"/>
    <w:rsid w:val="00F40B66"/>
    <w:rsid w:val="00F40D4C"/>
    <w:rsid w:val="00F40D87"/>
    <w:rsid w:val="00F40DA5"/>
    <w:rsid w:val="00F40EA5"/>
    <w:rsid w:val="00F41092"/>
    <w:rsid w:val="00F41098"/>
    <w:rsid w:val="00F411BD"/>
    <w:rsid w:val="00F41247"/>
    <w:rsid w:val="00F412EE"/>
    <w:rsid w:val="00F4157F"/>
    <w:rsid w:val="00F415B9"/>
    <w:rsid w:val="00F416F5"/>
    <w:rsid w:val="00F419A9"/>
    <w:rsid w:val="00F41AF0"/>
    <w:rsid w:val="00F41B5F"/>
    <w:rsid w:val="00F41B91"/>
    <w:rsid w:val="00F41EAF"/>
    <w:rsid w:val="00F4200C"/>
    <w:rsid w:val="00F42036"/>
    <w:rsid w:val="00F4209C"/>
    <w:rsid w:val="00F420C2"/>
    <w:rsid w:val="00F4237F"/>
    <w:rsid w:val="00F4256E"/>
    <w:rsid w:val="00F425DD"/>
    <w:rsid w:val="00F42819"/>
    <w:rsid w:val="00F42883"/>
    <w:rsid w:val="00F42A28"/>
    <w:rsid w:val="00F42C18"/>
    <w:rsid w:val="00F42EC8"/>
    <w:rsid w:val="00F42F0B"/>
    <w:rsid w:val="00F43127"/>
    <w:rsid w:val="00F43493"/>
    <w:rsid w:val="00F4349D"/>
    <w:rsid w:val="00F436C0"/>
    <w:rsid w:val="00F437A2"/>
    <w:rsid w:val="00F438A6"/>
    <w:rsid w:val="00F439A3"/>
    <w:rsid w:val="00F439F4"/>
    <w:rsid w:val="00F43D02"/>
    <w:rsid w:val="00F43E3C"/>
    <w:rsid w:val="00F43E42"/>
    <w:rsid w:val="00F440B7"/>
    <w:rsid w:val="00F44201"/>
    <w:rsid w:val="00F44289"/>
    <w:rsid w:val="00F442AF"/>
    <w:rsid w:val="00F442E1"/>
    <w:rsid w:val="00F4436D"/>
    <w:rsid w:val="00F44401"/>
    <w:rsid w:val="00F44468"/>
    <w:rsid w:val="00F444B7"/>
    <w:rsid w:val="00F444D6"/>
    <w:rsid w:val="00F445C1"/>
    <w:rsid w:val="00F44640"/>
    <w:rsid w:val="00F44642"/>
    <w:rsid w:val="00F4469A"/>
    <w:rsid w:val="00F44749"/>
    <w:rsid w:val="00F447FE"/>
    <w:rsid w:val="00F4483A"/>
    <w:rsid w:val="00F448B6"/>
    <w:rsid w:val="00F448D6"/>
    <w:rsid w:val="00F4499C"/>
    <w:rsid w:val="00F44AC4"/>
    <w:rsid w:val="00F44B36"/>
    <w:rsid w:val="00F44B54"/>
    <w:rsid w:val="00F44DBD"/>
    <w:rsid w:val="00F44DE3"/>
    <w:rsid w:val="00F44F2F"/>
    <w:rsid w:val="00F44F54"/>
    <w:rsid w:val="00F450DD"/>
    <w:rsid w:val="00F45483"/>
    <w:rsid w:val="00F45704"/>
    <w:rsid w:val="00F45712"/>
    <w:rsid w:val="00F45776"/>
    <w:rsid w:val="00F45803"/>
    <w:rsid w:val="00F45965"/>
    <w:rsid w:val="00F4598B"/>
    <w:rsid w:val="00F45AB1"/>
    <w:rsid w:val="00F45B10"/>
    <w:rsid w:val="00F45BDE"/>
    <w:rsid w:val="00F45BF9"/>
    <w:rsid w:val="00F45C9A"/>
    <w:rsid w:val="00F45E0A"/>
    <w:rsid w:val="00F45E97"/>
    <w:rsid w:val="00F45F28"/>
    <w:rsid w:val="00F4600F"/>
    <w:rsid w:val="00F4604B"/>
    <w:rsid w:val="00F460CB"/>
    <w:rsid w:val="00F461E9"/>
    <w:rsid w:val="00F4650F"/>
    <w:rsid w:val="00F46694"/>
    <w:rsid w:val="00F466E6"/>
    <w:rsid w:val="00F46706"/>
    <w:rsid w:val="00F46758"/>
    <w:rsid w:val="00F46767"/>
    <w:rsid w:val="00F46809"/>
    <w:rsid w:val="00F46888"/>
    <w:rsid w:val="00F4690A"/>
    <w:rsid w:val="00F4690C"/>
    <w:rsid w:val="00F469FD"/>
    <w:rsid w:val="00F46C26"/>
    <w:rsid w:val="00F46CE9"/>
    <w:rsid w:val="00F46ED8"/>
    <w:rsid w:val="00F46F82"/>
    <w:rsid w:val="00F46F98"/>
    <w:rsid w:val="00F47300"/>
    <w:rsid w:val="00F4741A"/>
    <w:rsid w:val="00F474BD"/>
    <w:rsid w:val="00F474DD"/>
    <w:rsid w:val="00F47674"/>
    <w:rsid w:val="00F4767A"/>
    <w:rsid w:val="00F477F6"/>
    <w:rsid w:val="00F478A1"/>
    <w:rsid w:val="00F47CBD"/>
    <w:rsid w:val="00F47CFD"/>
    <w:rsid w:val="00F47DCF"/>
    <w:rsid w:val="00F500F5"/>
    <w:rsid w:val="00F5026E"/>
    <w:rsid w:val="00F50292"/>
    <w:rsid w:val="00F502C1"/>
    <w:rsid w:val="00F50380"/>
    <w:rsid w:val="00F50692"/>
    <w:rsid w:val="00F5072F"/>
    <w:rsid w:val="00F50737"/>
    <w:rsid w:val="00F50770"/>
    <w:rsid w:val="00F507E1"/>
    <w:rsid w:val="00F5086D"/>
    <w:rsid w:val="00F50A1A"/>
    <w:rsid w:val="00F50C0D"/>
    <w:rsid w:val="00F50C83"/>
    <w:rsid w:val="00F50D2E"/>
    <w:rsid w:val="00F50DAC"/>
    <w:rsid w:val="00F50E41"/>
    <w:rsid w:val="00F50F45"/>
    <w:rsid w:val="00F50F7B"/>
    <w:rsid w:val="00F5104B"/>
    <w:rsid w:val="00F51358"/>
    <w:rsid w:val="00F515DD"/>
    <w:rsid w:val="00F517B7"/>
    <w:rsid w:val="00F51911"/>
    <w:rsid w:val="00F51972"/>
    <w:rsid w:val="00F51A6A"/>
    <w:rsid w:val="00F51AB5"/>
    <w:rsid w:val="00F51B79"/>
    <w:rsid w:val="00F51C48"/>
    <w:rsid w:val="00F51C83"/>
    <w:rsid w:val="00F51F44"/>
    <w:rsid w:val="00F520BB"/>
    <w:rsid w:val="00F520D3"/>
    <w:rsid w:val="00F524C4"/>
    <w:rsid w:val="00F525DA"/>
    <w:rsid w:val="00F52734"/>
    <w:rsid w:val="00F528CA"/>
    <w:rsid w:val="00F52938"/>
    <w:rsid w:val="00F52A0B"/>
    <w:rsid w:val="00F52AD2"/>
    <w:rsid w:val="00F52BB7"/>
    <w:rsid w:val="00F52C43"/>
    <w:rsid w:val="00F52C55"/>
    <w:rsid w:val="00F52C85"/>
    <w:rsid w:val="00F52CBA"/>
    <w:rsid w:val="00F52DBF"/>
    <w:rsid w:val="00F52ECF"/>
    <w:rsid w:val="00F52EFC"/>
    <w:rsid w:val="00F52F30"/>
    <w:rsid w:val="00F53020"/>
    <w:rsid w:val="00F530A5"/>
    <w:rsid w:val="00F53415"/>
    <w:rsid w:val="00F53488"/>
    <w:rsid w:val="00F53672"/>
    <w:rsid w:val="00F536DE"/>
    <w:rsid w:val="00F53AE9"/>
    <w:rsid w:val="00F53D17"/>
    <w:rsid w:val="00F53DB5"/>
    <w:rsid w:val="00F53FBF"/>
    <w:rsid w:val="00F54059"/>
    <w:rsid w:val="00F5418B"/>
    <w:rsid w:val="00F5428A"/>
    <w:rsid w:val="00F54290"/>
    <w:rsid w:val="00F543B1"/>
    <w:rsid w:val="00F54576"/>
    <w:rsid w:val="00F54584"/>
    <w:rsid w:val="00F54749"/>
    <w:rsid w:val="00F5475C"/>
    <w:rsid w:val="00F5489C"/>
    <w:rsid w:val="00F548AB"/>
    <w:rsid w:val="00F54A4C"/>
    <w:rsid w:val="00F54A5F"/>
    <w:rsid w:val="00F54F0E"/>
    <w:rsid w:val="00F55070"/>
    <w:rsid w:val="00F550E7"/>
    <w:rsid w:val="00F55116"/>
    <w:rsid w:val="00F55138"/>
    <w:rsid w:val="00F5523F"/>
    <w:rsid w:val="00F55258"/>
    <w:rsid w:val="00F55280"/>
    <w:rsid w:val="00F552A7"/>
    <w:rsid w:val="00F552C3"/>
    <w:rsid w:val="00F55399"/>
    <w:rsid w:val="00F55515"/>
    <w:rsid w:val="00F555DE"/>
    <w:rsid w:val="00F55634"/>
    <w:rsid w:val="00F556B9"/>
    <w:rsid w:val="00F55759"/>
    <w:rsid w:val="00F559AA"/>
    <w:rsid w:val="00F559C9"/>
    <w:rsid w:val="00F55BDC"/>
    <w:rsid w:val="00F5607E"/>
    <w:rsid w:val="00F56113"/>
    <w:rsid w:val="00F561D7"/>
    <w:rsid w:val="00F563F8"/>
    <w:rsid w:val="00F56486"/>
    <w:rsid w:val="00F56495"/>
    <w:rsid w:val="00F56528"/>
    <w:rsid w:val="00F56570"/>
    <w:rsid w:val="00F566AA"/>
    <w:rsid w:val="00F56793"/>
    <w:rsid w:val="00F568D5"/>
    <w:rsid w:val="00F56A86"/>
    <w:rsid w:val="00F56ACB"/>
    <w:rsid w:val="00F56B53"/>
    <w:rsid w:val="00F56F4E"/>
    <w:rsid w:val="00F56F91"/>
    <w:rsid w:val="00F57085"/>
    <w:rsid w:val="00F5716F"/>
    <w:rsid w:val="00F57226"/>
    <w:rsid w:val="00F57250"/>
    <w:rsid w:val="00F5729F"/>
    <w:rsid w:val="00F572EB"/>
    <w:rsid w:val="00F572F0"/>
    <w:rsid w:val="00F57436"/>
    <w:rsid w:val="00F576B5"/>
    <w:rsid w:val="00F5777F"/>
    <w:rsid w:val="00F5787E"/>
    <w:rsid w:val="00F578A3"/>
    <w:rsid w:val="00F57AB5"/>
    <w:rsid w:val="00F57B11"/>
    <w:rsid w:val="00F57BA9"/>
    <w:rsid w:val="00F57D18"/>
    <w:rsid w:val="00F57DDF"/>
    <w:rsid w:val="00F57EB1"/>
    <w:rsid w:val="00F57EBB"/>
    <w:rsid w:val="00F600A1"/>
    <w:rsid w:val="00F600BA"/>
    <w:rsid w:val="00F601C3"/>
    <w:rsid w:val="00F6028F"/>
    <w:rsid w:val="00F602C1"/>
    <w:rsid w:val="00F60432"/>
    <w:rsid w:val="00F604A6"/>
    <w:rsid w:val="00F606DC"/>
    <w:rsid w:val="00F606F1"/>
    <w:rsid w:val="00F606F4"/>
    <w:rsid w:val="00F60937"/>
    <w:rsid w:val="00F609C2"/>
    <w:rsid w:val="00F60A4A"/>
    <w:rsid w:val="00F6101B"/>
    <w:rsid w:val="00F611B2"/>
    <w:rsid w:val="00F611D8"/>
    <w:rsid w:val="00F61279"/>
    <w:rsid w:val="00F61356"/>
    <w:rsid w:val="00F6144E"/>
    <w:rsid w:val="00F615A1"/>
    <w:rsid w:val="00F61742"/>
    <w:rsid w:val="00F617EA"/>
    <w:rsid w:val="00F618BC"/>
    <w:rsid w:val="00F61A8C"/>
    <w:rsid w:val="00F61CC5"/>
    <w:rsid w:val="00F61D9B"/>
    <w:rsid w:val="00F6205F"/>
    <w:rsid w:val="00F6222A"/>
    <w:rsid w:val="00F6237F"/>
    <w:rsid w:val="00F626F4"/>
    <w:rsid w:val="00F6287B"/>
    <w:rsid w:val="00F6291E"/>
    <w:rsid w:val="00F62C72"/>
    <w:rsid w:val="00F62D0B"/>
    <w:rsid w:val="00F62D13"/>
    <w:rsid w:val="00F62DB2"/>
    <w:rsid w:val="00F62E42"/>
    <w:rsid w:val="00F62FFE"/>
    <w:rsid w:val="00F6308F"/>
    <w:rsid w:val="00F630B9"/>
    <w:rsid w:val="00F630E2"/>
    <w:rsid w:val="00F63215"/>
    <w:rsid w:val="00F63237"/>
    <w:rsid w:val="00F633B4"/>
    <w:rsid w:val="00F6360E"/>
    <w:rsid w:val="00F6364A"/>
    <w:rsid w:val="00F63674"/>
    <w:rsid w:val="00F6370B"/>
    <w:rsid w:val="00F638CE"/>
    <w:rsid w:val="00F639D7"/>
    <w:rsid w:val="00F63B4F"/>
    <w:rsid w:val="00F63C31"/>
    <w:rsid w:val="00F64131"/>
    <w:rsid w:val="00F6436D"/>
    <w:rsid w:val="00F64407"/>
    <w:rsid w:val="00F6457D"/>
    <w:rsid w:val="00F645BE"/>
    <w:rsid w:val="00F64A8B"/>
    <w:rsid w:val="00F64AA0"/>
    <w:rsid w:val="00F64D08"/>
    <w:rsid w:val="00F64DCD"/>
    <w:rsid w:val="00F64F0D"/>
    <w:rsid w:val="00F65099"/>
    <w:rsid w:val="00F6516F"/>
    <w:rsid w:val="00F651FB"/>
    <w:rsid w:val="00F652AC"/>
    <w:rsid w:val="00F65348"/>
    <w:rsid w:val="00F65522"/>
    <w:rsid w:val="00F655EA"/>
    <w:rsid w:val="00F656FB"/>
    <w:rsid w:val="00F65751"/>
    <w:rsid w:val="00F659C5"/>
    <w:rsid w:val="00F659D8"/>
    <w:rsid w:val="00F65ABD"/>
    <w:rsid w:val="00F65C33"/>
    <w:rsid w:val="00F65DFA"/>
    <w:rsid w:val="00F65EF6"/>
    <w:rsid w:val="00F65F51"/>
    <w:rsid w:val="00F65F9D"/>
    <w:rsid w:val="00F6608A"/>
    <w:rsid w:val="00F66220"/>
    <w:rsid w:val="00F66289"/>
    <w:rsid w:val="00F663B3"/>
    <w:rsid w:val="00F66504"/>
    <w:rsid w:val="00F66512"/>
    <w:rsid w:val="00F665E3"/>
    <w:rsid w:val="00F6681E"/>
    <w:rsid w:val="00F66834"/>
    <w:rsid w:val="00F6687B"/>
    <w:rsid w:val="00F668A0"/>
    <w:rsid w:val="00F6695A"/>
    <w:rsid w:val="00F6699B"/>
    <w:rsid w:val="00F669D4"/>
    <w:rsid w:val="00F66AED"/>
    <w:rsid w:val="00F66B05"/>
    <w:rsid w:val="00F66EDC"/>
    <w:rsid w:val="00F66FF0"/>
    <w:rsid w:val="00F670B6"/>
    <w:rsid w:val="00F6710E"/>
    <w:rsid w:val="00F67134"/>
    <w:rsid w:val="00F67166"/>
    <w:rsid w:val="00F67387"/>
    <w:rsid w:val="00F67392"/>
    <w:rsid w:val="00F6745B"/>
    <w:rsid w:val="00F6750A"/>
    <w:rsid w:val="00F677AE"/>
    <w:rsid w:val="00F678EA"/>
    <w:rsid w:val="00F6790D"/>
    <w:rsid w:val="00F67B27"/>
    <w:rsid w:val="00F67D55"/>
    <w:rsid w:val="00F700A2"/>
    <w:rsid w:val="00F70111"/>
    <w:rsid w:val="00F701AA"/>
    <w:rsid w:val="00F7025C"/>
    <w:rsid w:val="00F702E5"/>
    <w:rsid w:val="00F707CB"/>
    <w:rsid w:val="00F70A1F"/>
    <w:rsid w:val="00F70A43"/>
    <w:rsid w:val="00F70ACC"/>
    <w:rsid w:val="00F70B21"/>
    <w:rsid w:val="00F70C2C"/>
    <w:rsid w:val="00F70D5B"/>
    <w:rsid w:val="00F70DFC"/>
    <w:rsid w:val="00F70E59"/>
    <w:rsid w:val="00F70E6C"/>
    <w:rsid w:val="00F70F22"/>
    <w:rsid w:val="00F7106C"/>
    <w:rsid w:val="00F710E9"/>
    <w:rsid w:val="00F711B5"/>
    <w:rsid w:val="00F7121D"/>
    <w:rsid w:val="00F71225"/>
    <w:rsid w:val="00F712D8"/>
    <w:rsid w:val="00F712DF"/>
    <w:rsid w:val="00F71498"/>
    <w:rsid w:val="00F7159D"/>
    <w:rsid w:val="00F71642"/>
    <w:rsid w:val="00F7164B"/>
    <w:rsid w:val="00F716EE"/>
    <w:rsid w:val="00F717FF"/>
    <w:rsid w:val="00F719EE"/>
    <w:rsid w:val="00F71C96"/>
    <w:rsid w:val="00F71CFF"/>
    <w:rsid w:val="00F71D75"/>
    <w:rsid w:val="00F71D89"/>
    <w:rsid w:val="00F71E8C"/>
    <w:rsid w:val="00F7205B"/>
    <w:rsid w:val="00F72080"/>
    <w:rsid w:val="00F7216F"/>
    <w:rsid w:val="00F721C2"/>
    <w:rsid w:val="00F7220A"/>
    <w:rsid w:val="00F72483"/>
    <w:rsid w:val="00F72528"/>
    <w:rsid w:val="00F725EE"/>
    <w:rsid w:val="00F727A8"/>
    <w:rsid w:val="00F72811"/>
    <w:rsid w:val="00F7298D"/>
    <w:rsid w:val="00F72A16"/>
    <w:rsid w:val="00F72A58"/>
    <w:rsid w:val="00F72B7E"/>
    <w:rsid w:val="00F72BCA"/>
    <w:rsid w:val="00F72C46"/>
    <w:rsid w:val="00F72C9F"/>
    <w:rsid w:val="00F72DA0"/>
    <w:rsid w:val="00F72DED"/>
    <w:rsid w:val="00F72EAE"/>
    <w:rsid w:val="00F72F3A"/>
    <w:rsid w:val="00F730A7"/>
    <w:rsid w:val="00F730CA"/>
    <w:rsid w:val="00F733CB"/>
    <w:rsid w:val="00F733D6"/>
    <w:rsid w:val="00F73540"/>
    <w:rsid w:val="00F735B0"/>
    <w:rsid w:val="00F73658"/>
    <w:rsid w:val="00F736C9"/>
    <w:rsid w:val="00F736CE"/>
    <w:rsid w:val="00F7372B"/>
    <w:rsid w:val="00F7384C"/>
    <w:rsid w:val="00F738B6"/>
    <w:rsid w:val="00F73965"/>
    <w:rsid w:val="00F73AA8"/>
    <w:rsid w:val="00F73DBE"/>
    <w:rsid w:val="00F73EAD"/>
    <w:rsid w:val="00F7404A"/>
    <w:rsid w:val="00F7415F"/>
    <w:rsid w:val="00F74163"/>
    <w:rsid w:val="00F74398"/>
    <w:rsid w:val="00F7442F"/>
    <w:rsid w:val="00F744EF"/>
    <w:rsid w:val="00F7452B"/>
    <w:rsid w:val="00F745DE"/>
    <w:rsid w:val="00F746D2"/>
    <w:rsid w:val="00F74877"/>
    <w:rsid w:val="00F748CD"/>
    <w:rsid w:val="00F749CA"/>
    <w:rsid w:val="00F74A48"/>
    <w:rsid w:val="00F74CAF"/>
    <w:rsid w:val="00F74D9C"/>
    <w:rsid w:val="00F74DB2"/>
    <w:rsid w:val="00F74EE6"/>
    <w:rsid w:val="00F74F06"/>
    <w:rsid w:val="00F74F64"/>
    <w:rsid w:val="00F74F8C"/>
    <w:rsid w:val="00F75011"/>
    <w:rsid w:val="00F751E6"/>
    <w:rsid w:val="00F753CC"/>
    <w:rsid w:val="00F753E0"/>
    <w:rsid w:val="00F7541E"/>
    <w:rsid w:val="00F75431"/>
    <w:rsid w:val="00F755AF"/>
    <w:rsid w:val="00F756B1"/>
    <w:rsid w:val="00F756D3"/>
    <w:rsid w:val="00F758C6"/>
    <w:rsid w:val="00F75910"/>
    <w:rsid w:val="00F759E0"/>
    <w:rsid w:val="00F75A6D"/>
    <w:rsid w:val="00F75B97"/>
    <w:rsid w:val="00F75C51"/>
    <w:rsid w:val="00F75C96"/>
    <w:rsid w:val="00F75CE6"/>
    <w:rsid w:val="00F75D39"/>
    <w:rsid w:val="00F75E4C"/>
    <w:rsid w:val="00F76110"/>
    <w:rsid w:val="00F762E5"/>
    <w:rsid w:val="00F7634C"/>
    <w:rsid w:val="00F76510"/>
    <w:rsid w:val="00F765C0"/>
    <w:rsid w:val="00F765C1"/>
    <w:rsid w:val="00F7699A"/>
    <w:rsid w:val="00F76BD3"/>
    <w:rsid w:val="00F76BD7"/>
    <w:rsid w:val="00F76D90"/>
    <w:rsid w:val="00F76DF9"/>
    <w:rsid w:val="00F76E95"/>
    <w:rsid w:val="00F76ECB"/>
    <w:rsid w:val="00F76F9C"/>
    <w:rsid w:val="00F774D3"/>
    <w:rsid w:val="00F774F9"/>
    <w:rsid w:val="00F775A2"/>
    <w:rsid w:val="00F77689"/>
    <w:rsid w:val="00F776B0"/>
    <w:rsid w:val="00F778E2"/>
    <w:rsid w:val="00F779B7"/>
    <w:rsid w:val="00F77BFF"/>
    <w:rsid w:val="00F77C1E"/>
    <w:rsid w:val="00F77CF2"/>
    <w:rsid w:val="00F77D97"/>
    <w:rsid w:val="00F77DB0"/>
    <w:rsid w:val="00F77DD3"/>
    <w:rsid w:val="00F77E68"/>
    <w:rsid w:val="00F80287"/>
    <w:rsid w:val="00F804D1"/>
    <w:rsid w:val="00F804E8"/>
    <w:rsid w:val="00F805D4"/>
    <w:rsid w:val="00F80670"/>
    <w:rsid w:val="00F80DFA"/>
    <w:rsid w:val="00F80E3D"/>
    <w:rsid w:val="00F80EF7"/>
    <w:rsid w:val="00F811D6"/>
    <w:rsid w:val="00F811EF"/>
    <w:rsid w:val="00F81236"/>
    <w:rsid w:val="00F81313"/>
    <w:rsid w:val="00F8142B"/>
    <w:rsid w:val="00F8153B"/>
    <w:rsid w:val="00F81607"/>
    <w:rsid w:val="00F818A6"/>
    <w:rsid w:val="00F8190C"/>
    <w:rsid w:val="00F81971"/>
    <w:rsid w:val="00F81A21"/>
    <w:rsid w:val="00F81A49"/>
    <w:rsid w:val="00F81A99"/>
    <w:rsid w:val="00F81AB6"/>
    <w:rsid w:val="00F81C16"/>
    <w:rsid w:val="00F81E9D"/>
    <w:rsid w:val="00F81F90"/>
    <w:rsid w:val="00F81FDE"/>
    <w:rsid w:val="00F8216B"/>
    <w:rsid w:val="00F82434"/>
    <w:rsid w:val="00F82493"/>
    <w:rsid w:val="00F82569"/>
    <w:rsid w:val="00F82587"/>
    <w:rsid w:val="00F827BB"/>
    <w:rsid w:val="00F82860"/>
    <w:rsid w:val="00F82868"/>
    <w:rsid w:val="00F828F9"/>
    <w:rsid w:val="00F82982"/>
    <w:rsid w:val="00F82CD2"/>
    <w:rsid w:val="00F83214"/>
    <w:rsid w:val="00F83225"/>
    <w:rsid w:val="00F8325D"/>
    <w:rsid w:val="00F83482"/>
    <w:rsid w:val="00F83677"/>
    <w:rsid w:val="00F83862"/>
    <w:rsid w:val="00F83BC8"/>
    <w:rsid w:val="00F83BFA"/>
    <w:rsid w:val="00F83C9D"/>
    <w:rsid w:val="00F83D8D"/>
    <w:rsid w:val="00F83E0C"/>
    <w:rsid w:val="00F84055"/>
    <w:rsid w:val="00F84091"/>
    <w:rsid w:val="00F841E3"/>
    <w:rsid w:val="00F845A2"/>
    <w:rsid w:val="00F8463E"/>
    <w:rsid w:val="00F848D3"/>
    <w:rsid w:val="00F8492F"/>
    <w:rsid w:val="00F849C7"/>
    <w:rsid w:val="00F84BFB"/>
    <w:rsid w:val="00F84DD2"/>
    <w:rsid w:val="00F84F5F"/>
    <w:rsid w:val="00F84FC7"/>
    <w:rsid w:val="00F84FF6"/>
    <w:rsid w:val="00F8505D"/>
    <w:rsid w:val="00F850B2"/>
    <w:rsid w:val="00F85247"/>
    <w:rsid w:val="00F85642"/>
    <w:rsid w:val="00F85649"/>
    <w:rsid w:val="00F85727"/>
    <w:rsid w:val="00F85884"/>
    <w:rsid w:val="00F85A57"/>
    <w:rsid w:val="00F85D37"/>
    <w:rsid w:val="00F85FCA"/>
    <w:rsid w:val="00F8604E"/>
    <w:rsid w:val="00F86065"/>
    <w:rsid w:val="00F86310"/>
    <w:rsid w:val="00F86702"/>
    <w:rsid w:val="00F868D8"/>
    <w:rsid w:val="00F8690E"/>
    <w:rsid w:val="00F86AB1"/>
    <w:rsid w:val="00F86AED"/>
    <w:rsid w:val="00F86DEF"/>
    <w:rsid w:val="00F86E79"/>
    <w:rsid w:val="00F86E8E"/>
    <w:rsid w:val="00F8705D"/>
    <w:rsid w:val="00F8710C"/>
    <w:rsid w:val="00F87263"/>
    <w:rsid w:val="00F8728A"/>
    <w:rsid w:val="00F872B2"/>
    <w:rsid w:val="00F872ED"/>
    <w:rsid w:val="00F874C5"/>
    <w:rsid w:val="00F875A1"/>
    <w:rsid w:val="00F8779B"/>
    <w:rsid w:val="00F879B2"/>
    <w:rsid w:val="00F87AF6"/>
    <w:rsid w:val="00F87C83"/>
    <w:rsid w:val="00F87F4A"/>
    <w:rsid w:val="00F87FD4"/>
    <w:rsid w:val="00F9000E"/>
    <w:rsid w:val="00F900D9"/>
    <w:rsid w:val="00F90128"/>
    <w:rsid w:val="00F90597"/>
    <w:rsid w:val="00F90789"/>
    <w:rsid w:val="00F9087A"/>
    <w:rsid w:val="00F90888"/>
    <w:rsid w:val="00F9092A"/>
    <w:rsid w:val="00F90AC3"/>
    <w:rsid w:val="00F90B18"/>
    <w:rsid w:val="00F90E78"/>
    <w:rsid w:val="00F90EA9"/>
    <w:rsid w:val="00F90EC3"/>
    <w:rsid w:val="00F90ED2"/>
    <w:rsid w:val="00F910B2"/>
    <w:rsid w:val="00F911B2"/>
    <w:rsid w:val="00F911BE"/>
    <w:rsid w:val="00F9129D"/>
    <w:rsid w:val="00F9129F"/>
    <w:rsid w:val="00F913EE"/>
    <w:rsid w:val="00F91480"/>
    <w:rsid w:val="00F914C7"/>
    <w:rsid w:val="00F9157A"/>
    <w:rsid w:val="00F91646"/>
    <w:rsid w:val="00F916B0"/>
    <w:rsid w:val="00F917F8"/>
    <w:rsid w:val="00F9182A"/>
    <w:rsid w:val="00F918B4"/>
    <w:rsid w:val="00F918D4"/>
    <w:rsid w:val="00F91C67"/>
    <w:rsid w:val="00F91CA6"/>
    <w:rsid w:val="00F91F5A"/>
    <w:rsid w:val="00F91FAB"/>
    <w:rsid w:val="00F920E0"/>
    <w:rsid w:val="00F9212E"/>
    <w:rsid w:val="00F923C1"/>
    <w:rsid w:val="00F92442"/>
    <w:rsid w:val="00F92466"/>
    <w:rsid w:val="00F9262D"/>
    <w:rsid w:val="00F926AC"/>
    <w:rsid w:val="00F92830"/>
    <w:rsid w:val="00F928EE"/>
    <w:rsid w:val="00F92A08"/>
    <w:rsid w:val="00F92C33"/>
    <w:rsid w:val="00F92D04"/>
    <w:rsid w:val="00F92EC3"/>
    <w:rsid w:val="00F93028"/>
    <w:rsid w:val="00F93266"/>
    <w:rsid w:val="00F9340F"/>
    <w:rsid w:val="00F9344D"/>
    <w:rsid w:val="00F93729"/>
    <w:rsid w:val="00F93741"/>
    <w:rsid w:val="00F93978"/>
    <w:rsid w:val="00F9397F"/>
    <w:rsid w:val="00F93A3B"/>
    <w:rsid w:val="00F93AA4"/>
    <w:rsid w:val="00F93B4D"/>
    <w:rsid w:val="00F93D19"/>
    <w:rsid w:val="00F940D5"/>
    <w:rsid w:val="00F940E7"/>
    <w:rsid w:val="00F941E7"/>
    <w:rsid w:val="00F942B8"/>
    <w:rsid w:val="00F9436B"/>
    <w:rsid w:val="00F94484"/>
    <w:rsid w:val="00F947EF"/>
    <w:rsid w:val="00F9487A"/>
    <w:rsid w:val="00F94CF6"/>
    <w:rsid w:val="00F94DD3"/>
    <w:rsid w:val="00F94F85"/>
    <w:rsid w:val="00F95024"/>
    <w:rsid w:val="00F95143"/>
    <w:rsid w:val="00F95366"/>
    <w:rsid w:val="00F953BF"/>
    <w:rsid w:val="00F953EB"/>
    <w:rsid w:val="00F9549E"/>
    <w:rsid w:val="00F955CF"/>
    <w:rsid w:val="00F956B7"/>
    <w:rsid w:val="00F95779"/>
    <w:rsid w:val="00F95893"/>
    <w:rsid w:val="00F958C5"/>
    <w:rsid w:val="00F95915"/>
    <w:rsid w:val="00F95A0B"/>
    <w:rsid w:val="00F95A4D"/>
    <w:rsid w:val="00F95BA8"/>
    <w:rsid w:val="00F95BD0"/>
    <w:rsid w:val="00F95D77"/>
    <w:rsid w:val="00F95DE2"/>
    <w:rsid w:val="00F95EAC"/>
    <w:rsid w:val="00F95F34"/>
    <w:rsid w:val="00F95F81"/>
    <w:rsid w:val="00F960EE"/>
    <w:rsid w:val="00F96205"/>
    <w:rsid w:val="00F96307"/>
    <w:rsid w:val="00F96413"/>
    <w:rsid w:val="00F9647E"/>
    <w:rsid w:val="00F965AB"/>
    <w:rsid w:val="00F96668"/>
    <w:rsid w:val="00F96674"/>
    <w:rsid w:val="00F96940"/>
    <w:rsid w:val="00F96A5D"/>
    <w:rsid w:val="00F96A88"/>
    <w:rsid w:val="00F96AE0"/>
    <w:rsid w:val="00F96D1B"/>
    <w:rsid w:val="00F96D57"/>
    <w:rsid w:val="00F96DD1"/>
    <w:rsid w:val="00F96F8C"/>
    <w:rsid w:val="00F96FE4"/>
    <w:rsid w:val="00F97049"/>
    <w:rsid w:val="00F97085"/>
    <w:rsid w:val="00F970C0"/>
    <w:rsid w:val="00F972DB"/>
    <w:rsid w:val="00F972E4"/>
    <w:rsid w:val="00F9763F"/>
    <w:rsid w:val="00F97656"/>
    <w:rsid w:val="00F97841"/>
    <w:rsid w:val="00F978CC"/>
    <w:rsid w:val="00F9793F"/>
    <w:rsid w:val="00F9797E"/>
    <w:rsid w:val="00F97AD2"/>
    <w:rsid w:val="00F97CAD"/>
    <w:rsid w:val="00F97CB0"/>
    <w:rsid w:val="00F97F1D"/>
    <w:rsid w:val="00FA029D"/>
    <w:rsid w:val="00FA032E"/>
    <w:rsid w:val="00FA04E2"/>
    <w:rsid w:val="00FA04F5"/>
    <w:rsid w:val="00FA0515"/>
    <w:rsid w:val="00FA056D"/>
    <w:rsid w:val="00FA060F"/>
    <w:rsid w:val="00FA06F5"/>
    <w:rsid w:val="00FA07DD"/>
    <w:rsid w:val="00FA07EC"/>
    <w:rsid w:val="00FA0844"/>
    <w:rsid w:val="00FA085E"/>
    <w:rsid w:val="00FA0940"/>
    <w:rsid w:val="00FA0A27"/>
    <w:rsid w:val="00FA0ABC"/>
    <w:rsid w:val="00FA0AEF"/>
    <w:rsid w:val="00FA0CB6"/>
    <w:rsid w:val="00FA11B9"/>
    <w:rsid w:val="00FA1572"/>
    <w:rsid w:val="00FA1582"/>
    <w:rsid w:val="00FA1704"/>
    <w:rsid w:val="00FA1718"/>
    <w:rsid w:val="00FA1854"/>
    <w:rsid w:val="00FA19BB"/>
    <w:rsid w:val="00FA1C26"/>
    <w:rsid w:val="00FA1D2B"/>
    <w:rsid w:val="00FA1ED8"/>
    <w:rsid w:val="00FA1F68"/>
    <w:rsid w:val="00FA200B"/>
    <w:rsid w:val="00FA225F"/>
    <w:rsid w:val="00FA22BC"/>
    <w:rsid w:val="00FA2311"/>
    <w:rsid w:val="00FA2313"/>
    <w:rsid w:val="00FA2360"/>
    <w:rsid w:val="00FA2449"/>
    <w:rsid w:val="00FA255C"/>
    <w:rsid w:val="00FA263D"/>
    <w:rsid w:val="00FA26AD"/>
    <w:rsid w:val="00FA2C80"/>
    <w:rsid w:val="00FA2CEC"/>
    <w:rsid w:val="00FA2F90"/>
    <w:rsid w:val="00FA301B"/>
    <w:rsid w:val="00FA3041"/>
    <w:rsid w:val="00FA3053"/>
    <w:rsid w:val="00FA30AA"/>
    <w:rsid w:val="00FA331D"/>
    <w:rsid w:val="00FA357E"/>
    <w:rsid w:val="00FA35F3"/>
    <w:rsid w:val="00FA3769"/>
    <w:rsid w:val="00FA377C"/>
    <w:rsid w:val="00FA38A0"/>
    <w:rsid w:val="00FA3911"/>
    <w:rsid w:val="00FA396C"/>
    <w:rsid w:val="00FA3BC7"/>
    <w:rsid w:val="00FA3DBA"/>
    <w:rsid w:val="00FA3E37"/>
    <w:rsid w:val="00FA3E9B"/>
    <w:rsid w:val="00FA3EB9"/>
    <w:rsid w:val="00FA3EF0"/>
    <w:rsid w:val="00FA3F49"/>
    <w:rsid w:val="00FA3F4C"/>
    <w:rsid w:val="00FA3F64"/>
    <w:rsid w:val="00FA3F6F"/>
    <w:rsid w:val="00FA4013"/>
    <w:rsid w:val="00FA41DF"/>
    <w:rsid w:val="00FA43B8"/>
    <w:rsid w:val="00FA4531"/>
    <w:rsid w:val="00FA454C"/>
    <w:rsid w:val="00FA46CC"/>
    <w:rsid w:val="00FA499C"/>
    <w:rsid w:val="00FA4A0F"/>
    <w:rsid w:val="00FA4A21"/>
    <w:rsid w:val="00FA4ACA"/>
    <w:rsid w:val="00FA4AD8"/>
    <w:rsid w:val="00FA4B88"/>
    <w:rsid w:val="00FA4D4B"/>
    <w:rsid w:val="00FA4DCE"/>
    <w:rsid w:val="00FA4F23"/>
    <w:rsid w:val="00FA4FC5"/>
    <w:rsid w:val="00FA5008"/>
    <w:rsid w:val="00FA5159"/>
    <w:rsid w:val="00FA5217"/>
    <w:rsid w:val="00FA539D"/>
    <w:rsid w:val="00FA54C4"/>
    <w:rsid w:val="00FA56FA"/>
    <w:rsid w:val="00FA5B03"/>
    <w:rsid w:val="00FA5CD2"/>
    <w:rsid w:val="00FA5E88"/>
    <w:rsid w:val="00FA5FA8"/>
    <w:rsid w:val="00FA5FDF"/>
    <w:rsid w:val="00FA61B5"/>
    <w:rsid w:val="00FA61ED"/>
    <w:rsid w:val="00FA6254"/>
    <w:rsid w:val="00FA6720"/>
    <w:rsid w:val="00FA6768"/>
    <w:rsid w:val="00FA6772"/>
    <w:rsid w:val="00FA68DB"/>
    <w:rsid w:val="00FA69BA"/>
    <w:rsid w:val="00FA6A24"/>
    <w:rsid w:val="00FA6C0E"/>
    <w:rsid w:val="00FA6C91"/>
    <w:rsid w:val="00FA6D0F"/>
    <w:rsid w:val="00FA6E3A"/>
    <w:rsid w:val="00FA7133"/>
    <w:rsid w:val="00FA72FE"/>
    <w:rsid w:val="00FA73B3"/>
    <w:rsid w:val="00FA7467"/>
    <w:rsid w:val="00FA74ED"/>
    <w:rsid w:val="00FA7653"/>
    <w:rsid w:val="00FA76AA"/>
    <w:rsid w:val="00FA776E"/>
    <w:rsid w:val="00FA783F"/>
    <w:rsid w:val="00FA79D5"/>
    <w:rsid w:val="00FA79F1"/>
    <w:rsid w:val="00FA7B2A"/>
    <w:rsid w:val="00FA7D11"/>
    <w:rsid w:val="00FA7D1B"/>
    <w:rsid w:val="00FA7D42"/>
    <w:rsid w:val="00FA7D4C"/>
    <w:rsid w:val="00FA7D69"/>
    <w:rsid w:val="00FA7DB4"/>
    <w:rsid w:val="00FA7DEC"/>
    <w:rsid w:val="00FA7F75"/>
    <w:rsid w:val="00FA7F9C"/>
    <w:rsid w:val="00FB002B"/>
    <w:rsid w:val="00FB008F"/>
    <w:rsid w:val="00FB0380"/>
    <w:rsid w:val="00FB03F1"/>
    <w:rsid w:val="00FB04BE"/>
    <w:rsid w:val="00FB0574"/>
    <w:rsid w:val="00FB0595"/>
    <w:rsid w:val="00FB07C0"/>
    <w:rsid w:val="00FB087A"/>
    <w:rsid w:val="00FB08DD"/>
    <w:rsid w:val="00FB08FE"/>
    <w:rsid w:val="00FB094A"/>
    <w:rsid w:val="00FB09F2"/>
    <w:rsid w:val="00FB0BFB"/>
    <w:rsid w:val="00FB0E96"/>
    <w:rsid w:val="00FB1098"/>
    <w:rsid w:val="00FB1294"/>
    <w:rsid w:val="00FB12FA"/>
    <w:rsid w:val="00FB134F"/>
    <w:rsid w:val="00FB1501"/>
    <w:rsid w:val="00FB167B"/>
    <w:rsid w:val="00FB170A"/>
    <w:rsid w:val="00FB1926"/>
    <w:rsid w:val="00FB1A24"/>
    <w:rsid w:val="00FB1D14"/>
    <w:rsid w:val="00FB1FE8"/>
    <w:rsid w:val="00FB2252"/>
    <w:rsid w:val="00FB22ED"/>
    <w:rsid w:val="00FB234A"/>
    <w:rsid w:val="00FB23CA"/>
    <w:rsid w:val="00FB27BD"/>
    <w:rsid w:val="00FB2DA5"/>
    <w:rsid w:val="00FB2DAD"/>
    <w:rsid w:val="00FB2F00"/>
    <w:rsid w:val="00FB314D"/>
    <w:rsid w:val="00FB3328"/>
    <w:rsid w:val="00FB33D5"/>
    <w:rsid w:val="00FB3588"/>
    <w:rsid w:val="00FB35A9"/>
    <w:rsid w:val="00FB366F"/>
    <w:rsid w:val="00FB3698"/>
    <w:rsid w:val="00FB3C31"/>
    <w:rsid w:val="00FB3C91"/>
    <w:rsid w:val="00FB3DAC"/>
    <w:rsid w:val="00FB3E4C"/>
    <w:rsid w:val="00FB3ED0"/>
    <w:rsid w:val="00FB3F0F"/>
    <w:rsid w:val="00FB4111"/>
    <w:rsid w:val="00FB428E"/>
    <w:rsid w:val="00FB4328"/>
    <w:rsid w:val="00FB4351"/>
    <w:rsid w:val="00FB4381"/>
    <w:rsid w:val="00FB4484"/>
    <w:rsid w:val="00FB44E1"/>
    <w:rsid w:val="00FB44E5"/>
    <w:rsid w:val="00FB44F4"/>
    <w:rsid w:val="00FB4530"/>
    <w:rsid w:val="00FB45D3"/>
    <w:rsid w:val="00FB4632"/>
    <w:rsid w:val="00FB4636"/>
    <w:rsid w:val="00FB485B"/>
    <w:rsid w:val="00FB4875"/>
    <w:rsid w:val="00FB4957"/>
    <w:rsid w:val="00FB4C4D"/>
    <w:rsid w:val="00FB4CA6"/>
    <w:rsid w:val="00FB4DBE"/>
    <w:rsid w:val="00FB4DCE"/>
    <w:rsid w:val="00FB4FB5"/>
    <w:rsid w:val="00FB50F6"/>
    <w:rsid w:val="00FB510E"/>
    <w:rsid w:val="00FB516B"/>
    <w:rsid w:val="00FB52FA"/>
    <w:rsid w:val="00FB537D"/>
    <w:rsid w:val="00FB5624"/>
    <w:rsid w:val="00FB5661"/>
    <w:rsid w:val="00FB594A"/>
    <w:rsid w:val="00FB5965"/>
    <w:rsid w:val="00FB5DAF"/>
    <w:rsid w:val="00FB6142"/>
    <w:rsid w:val="00FB61FB"/>
    <w:rsid w:val="00FB6613"/>
    <w:rsid w:val="00FB6690"/>
    <w:rsid w:val="00FB66DC"/>
    <w:rsid w:val="00FB6976"/>
    <w:rsid w:val="00FB6ABC"/>
    <w:rsid w:val="00FB6D2C"/>
    <w:rsid w:val="00FB6D69"/>
    <w:rsid w:val="00FB6D6F"/>
    <w:rsid w:val="00FB71DA"/>
    <w:rsid w:val="00FB71F3"/>
    <w:rsid w:val="00FB7270"/>
    <w:rsid w:val="00FB727E"/>
    <w:rsid w:val="00FB79BF"/>
    <w:rsid w:val="00FB7A9C"/>
    <w:rsid w:val="00FB7CC8"/>
    <w:rsid w:val="00FB7D1A"/>
    <w:rsid w:val="00FB7D24"/>
    <w:rsid w:val="00FB7D71"/>
    <w:rsid w:val="00FC0125"/>
    <w:rsid w:val="00FC0718"/>
    <w:rsid w:val="00FC0722"/>
    <w:rsid w:val="00FC07DC"/>
    <w:rsid w:val="00FC08FC"/>
    <w:rsid w:val="00FC09EB"/>
    <w:rsid w:val="00FC0B1E"/>
    <w:rsid w:val="00FC0CFC"/>
    <w:rsid w:val="00FC0D92"/>
    <w:rsid w:val="00FC0F8F"/>
    <w:rsid w:val="00FC10D8"/>
    <w:rsid w:val="00FC1201"/>
    <w:rsid w:val="00FC1296"/>
    <w:rsid w:val="00FC12F1"/>
    <w:rsid w:val="00FC14BA"/>
    <w:rsid w:val="00FC1727"/>
    <w:rsid w:val="00FC194A"/>
    <w:rsid w:val="00FC19E9"/>
    <w:rsid w:val="00FC19F4"/>
    <w:rsid w:val="00FC1A28"/>
    <w:rsid w:val="00FC1A5A"/>
    <w:rsid w:val="00FC1A9B"/>
    <w:rsid w:val="00FC1C45"/>
    <w:rsid w:val="00FC1EE6"/>
    <w:rsid w:val="00FC1FA1"/>
    <w:rsid w:val="00FC2047"/>
    <w:rsid w:val="00FC2113"/>
    <w:rsid w:val="00FC2311"/>
    <w:rsid w:val="00FC2405"/>
    <w:rsid w:val="00FC2498"/>
    <w:rsid w:val="00FC2974"/>
    <w:rsid w:val="00FC2B08"/>
    <w:rsid w:val="00FC2B24"/>
    <w:rsid w:val="00FC2FDB"/>
    <w:rsid w:val="00FC3055"/>
    <w:rsid w:val="00FC3120"/>
    <w:rsid w:val="00FC3273"/>
    <w:rsid w:val="00FC3349"/>
    <w:rsid w:val="00FC33F4"/>
    <w:rsid w:val="00FC349D"/>
    <w:rsid w:val="00FC36D6"/>
    <w:rsid w:val="00FC3794"/>
    <w:rsid w:val="00FC37B4"/>
    <w:rsid w:val="00FC3894"/>
    <w:rsid w:val="00FC3985"/>
    <w:rsid w:val="00FC3A03"/>
    <w:rsid w:val="00FC3A33"/>
    <w:rsid w:val="00FC3C9D"/>
    <w:rsid w:val="00FC3D7C"/>
    <w:rsid w:val="00FC3F70"/>
    <w:rsid w:val="00FC3FB3"/>
    <w:rsid w:val="00FC41C6"/>
    <w:rsid w:val="00FC41FB"/>
    <w:rsid w:val="00FC426C"/>
    <w:rsid w:val="00FC4318"/>
    <w:rsid w:val="00FC44C0"/>
    <w:rsid w:val="00FC458E"/>
    <w:rsid w:val="00FC48A4"/>
    <w:rsid w:val="00FC4A25"/>
    <w:rsid w:val="00FC4BD7"/>
    <w:rsid w:val="00FC4D85"/>
    <w:rsid w:val="00FC4F92"/>
    <w:rsid w:val="00FC5094"/>
    <w:rsid w:val="00FC539C"/>
    <w:rsid w:val="00FC5576"/>
    <w:rsid w:val="00FC56BF"/>
    <w:rsid w:val="00FC586F"/>
    <w:rsid w:val="00FC58B0"/>
    <w:rsid w:val="00FC5996"/>
    <w:rsid w:val="00FC5A0B"/>
    <w:rsid w:val="00FC5B07"/>
    <w:rsid w:val="00FC5B3A"/>
    <w:rsid w:val="00FC5BA1"/>
    <w:rsid w:val="00FC5D7E"/>
    <w:rsid w:val="00FC5E1B"/>
    <w:rsid w:val="00FC5E89"/>
    <w:rsid w:val="00FC5F26"/>
    <w:rsid w:val="00FC5FE7"/>
    <w:rsid w:val="00FC615F"/>
    <w:rsid w:val="00FC61D6"/>
    <w:rsid w:val="00FC61D7"/>
    <w:rsid w:val="00FC6394"/>
    <w:rsid w:val="00FC6421"/>
    <w:rsid w:val="00FC6439"/>
    <w:rsid w:val="00FC653E"/>
    <w:rsid w:val="00FC65D0"/>
    <w:rsid w:val="00FC65E9"/>
    <w:rsid w:val="00FC668C"/>
    <w:rsid w:val="00FC68A4"/>
    <w:rsid w:val="00FC6B09"/>
    <w:rsid w:val="00FC6BF4"/>
    <w:rsid w:val="00FC6C01"/>
    <w:rsid w:val="00FC6C3D"/>
    <w:rsid w:val="00FC6E08"/>
    <w:rsid w:val="00FC6EA6"/>
    <w:rsid w:val="00FC6ED3"/>
    <w:rsid w:val="00FC6EF2"/>
    <w:rsid w:val="00FC6F65"/>
    <w:rsid w:val="00FC70B3"/>
    <w:rsid w:val="00FC7151"/>
    <w:rsid w:val="00FC71E1"/>
    <w:rsid w:val="00FC729C"/>
    <w:rsid w:val="00FC7311"/>
    <w:rsid w:val="00FC7493"/>
    <w:rsid w:val="00FC756B"/>
    <w:rsid w:val="00FC758A"/>
    <w:rsid w:val="00FC7624"/>
    <w:rsid w:val="00FC76BA"/>
    <w:rsid w:val="00FC76E3"/>
    <w:rsid w:val="00FC7784"/>
    <w:rsid w:val="00FC77DD"/>
    <w:rsid w:val="00FC7AD7"/>
    <w:rsid w:val="00FC7AFE"/>
    <w:rsid w:val="00FC7B59"/>
    <w:rsid w:val="00FC7BBD"/>
    <w:rsid w:val="00FC7BD5"/>
    <w:rsid w:val="00FC7C72"/>
    <w:rsid w:val="00FC7CA9"/>
    <w:rsid w:val="00FC7F74"/>
    <w:rsid w:val="00FC7FBF"/>
    <w:rsid w:val="00FD0057"/>
    <w:rsid w:val="00FD016A"/>
    <w:rsid w:val="00FD03A2"/>
    <w:rsid w:val="00FD049A"/>
    <w:rsid w:val="00FD04DF"/>
    <w:rsid w:val="00FD0513"/>
    <w:rsid w:val="00FD0518"/>
    <w:rsid w:val="00FD0814"/>
    <w:rsid w:val="00FD0863"/>
    <w:rsid w:val="00FD0904"/>
    <w:rsid w:val="00FD09CD"/>
    <w:rsid w:val="00FD09D7"/>
    <w:rsid w:val="00FD0A70"/>
    <w:rsid w:val="00FD0AC4"/>
    <w:rsid w:val="00FD0B2A"/>
    <w:rsid w:val="00FD0C6C"/>
    <w:rsid w:val="00FD0CB8"/>
    <w:rsid w:val="00FD0CE7"/>
    <w:rsid w:val="00FD0D04"/>
    <w:rsid w:val="00FD12AD"/>
    <w:rsid w:val="00FD1562"/>
    <w:rsid w:val="00FD15BC"/>
    <w:rsid w:val="00FD17C3"/>
    <w:rsid w:val="00FD17D5"/>
    <w:rsid w:val="00FD181B"/>
    <w:rsid w:val="00FD1895"/>
    <w:rsid w:val="00FD1896"/>
    <w:rsid w:val="00FD18F7"/>
    <w:rsid w:val="00FD1989"/>
    <w:rsid w:val="00FD1995"/>
    <w:rsid w:val="00FD19EB"/>
    <w:rsid w:val="00FD19F7"/>
    <w:rsid w:val="00FD1D2E"/>
    <w:rsid w:val="00FD1E1E"/>
    <w:rsid w:val="00FD1E35"/>
    <w:rsid w:val="00FD1FCB"/>
    <w:rsid w:val="00FD1FFB"/>
    <w:rsid w:val="00FD20F9"/>
    <w:rsid w:val="00FD2348"/>
    <w:rsid w:val="00FD23B0"/>
    <w:rsid w:val="00FD2531"/>
    <w:rsid w:val="00FD25EB"/>
    <w:rsid w:val="00FD28F2"/>
    <w:rsid w:val="00FD2A24"/>
    <w:rsid w:val="00FD2AEA"/>
    <w:rsid w:val="00FD2BA2"/>
    <w:rsid w:val="00FD2D48"/>
    <w:rsid w:val="00FD2EDF"/>
    <w:rsid w:val="00FD2F26"/>
    <w:rsid w:val="00FD34C0"/>
    <w:rsid w:val="00FD3536"/>
    <w:rsid w:val="00FD362E"/>
    <w:rsid w:val="00FD366B"/>
    <w:rsid w:val="00FD36C2"/>
    <w:rsid w:val="00FD37C3"/>
    <w:rsid w:val="00FD3961"/>
    <w:rsid w:val="00FD39DD"/>
    <w:rsid w:val="00FD3A93"/>
    <w:rsid w:val="00FD3B21"/>
    <w:rsid w:val="00FD3C3A"/>
    <w:rsid w:val="00FD3D3A"/>
    <w:rsid w:val="00FD3D65"/>
    <w:rsid w:val="00FD3EF7"/>
    <w:rsid w:val="00FD404B"/>
    <w:rsid w:val="00FD4155"/>
    <w:rsid w:val="00FD42EA"/>
    <w:rsid w:val="00FD42FB"/>
    <w:rsid w:val="00FD4336"/>
    <w:rsid w:val="00FD43F2"/>
    <w:rsid w:val="00FD4B7B"/>
    <w:rsid w:val="00FD4D07"/>
    <w:rsid w:val="00FD4D1D"/>
    <w:rsid w:val="00FD4D3A"/>
    <w:rsid w:val="00FD4DD4"/>
    <w:rsid w:val="00FD4EC6"/>
    <w:rsid w:val="00FD4FD2"/>
    <w:rsid w:val="00FD5177"/>
    <w:rsid w:val="00FD51EC"/>
    <w:rsid w:val="00FD5229"/>
    <w:rsid w:val="00FD54D8"/>
    <w:rsid w:val="00FD5600"/>
    <w:rsid w:val="00FD562C"/>
    <w:rsid w:val="00FD564A"/>
    <w:rsid w:val="00FD57A9"/>
    <w:rsid w:val="00FD58FF"/>
    <w:rsid w:val="00FD594F"/>
    <w:rsid w:val="00FD5955"/>
    <w:rsid w:val="00FD5A48"/>
    <w:rsid w:val="00FD5A6A"/>
    <w:rsid w:val="00FD5ACE"/>
    <w:rsid w:val="00FD5CFF"/>
    <w:rsid w:val="00FD5D36"/>
    <w:rsid w:val="00FD5E0E"/>
    <w:rsid w:val="00FD5E9B"/>
    <w:rsid w:val="00FD6184"/>
    <w:rsid w:val="00FD618B"/>
    <w:rsid w:val="00FD6417"/>
    <w:rsid w:val="00FD6451"/>
    <w:rsid w:val="00FD659F"/>
    <w:rsid w:val="00FD6626"/>
    <w:rsid w:val="00FD66EA"/>
    <w:rsid w:val="00FD6939"/>
    <w:rsid w:val="00FD6A35"/>
    <w:rsid w:val="00FD6BA9"/>
    <w:rsid w:val="00FD6C50"/>
    <w:rsid w:val="00FD6D98"/>
    <w:rsid w:val="00FD6E3C"/>
    <w:rsid w:val="00FD6FA6"/>
    <w:rsid w:val="00FD722C"/>
    <w:rsid w:val="00FD7305"/>
    <w:rsid w:val="00FD74AA"/>
    <w:rsid w:val="00FD762A"/>
    <w:rsid w:val="00FD79A3"/>
    <w:rsid w:val="00FD79A5"/>
    <w:rsid w:val="00FD7C9F"/>
    <w:rsid w:val="00FD7FD4"/>
    <w:rsid w:val="00FE0130"/>
    <w:rsid w:val="00FE02FD"/>
    <w:rsid w:val="00FE03B4"/>
    <w:rsid w:val="00FE060A"/>
    <w:rsid w:val="00FE0636"/>
    <w:rsid w:val="00FE07ED"/>
    <w:rsid w:val="00FE092C"/>
    <w:rsid w:val="00FE0AB1"/>
    <w:rsid w:val="00FE0E60"/>
    <w:rsid w:val="00FE1015"/>
    <w:rsid w:val="00FE105A"/>
    <w:rsid w:val="00FE10C8"/>
    <w:rsid w:val="00FE1391"/>
    <w:rsid w:val="00FE1421"/>
    <w:rsid w:val="00FE1501"/>
    <w:rsid w:val="00FE1580"/>
    <w:rsid w:val="00FE161E"/>
    <w:rsid w:val="00FE169A"/>
    <w:rsid w:val="00FE1765"/>
    <w:rsid w:val="00FE181B"/>
    <w:rsid w:val="00FE183F"/>
    <w:rsid w:val="00FE1850"/>
    <w:rsid w:val="00FE1853"/>
    <w:rsid w:val="00FE1877"/>
    <w:rsid w:val="00FE1A5D"/>
    <w:rsid w:val="00FE1BA0"/>
    <w:rsid w:val="00FE1C3E"/>
    <w:rsid w:val="00FE1D69"/>
    <w:rsid w:val="00FE1E0D"/>
    <w:rsid w:val="00FE1EB4"/>
    <w:rsid w:val="00FE208B"/>
    <w:rsid w:val="00FE22FE"/>
    <w:rsid w:val="00FE248D"/>
    <w:rsid w:val="00FE262B"/>
    <w:rsid w:val="00FE26A1"/>
    <w:rsid w:val="00FE26CE"/>
    <w:rsid w:val="00FE288D"/>
    <w:rsid w:val="00FE2A9E"/>
    <w:rsid w:val="00FE2AD9"/>
    <w:rsid w:val="00FE2BA8"/>
    <w:rsid w:val="00FE2BD4"/>
    <w:rsid w:val="00FE2C7B"/>
    <w:rsid w:val="00FE2DA2"/>
    <w:rsid w:val="00FE2EE9"/>
    <w:rsid w:val="00FE3216"/>
    <w:rsid w:val="00FE3252"/>
    <w:rsid w:val="00FE3324"/>
    <w:rsid w:val="00FE345D"/>
    <w:rsid w:val="00FE382F"/>
    <w:rsid w:val="00FE387E"/>
    <w:rsid w:val="00FE3885"/>
    <w:rsid w:val="00FE3A64"/>
    <w:rsid w:val="00FE3AB2"/>
    <w:rsid w:val="00FE3B15"/>
    <w:rsid w:val="00FE3BE5"/>
    <w:rsid w:val="00FE3C01"/>
    <w:rsid w:val="00FE3D4B"/>
    <w:rsid w:val="00FE3D9F"/>
    <w:rsid w:val="00FE416B"/>
    <w:rsid w:val="00FE42C2"/>
    <w:rsid w:val="00FE43B5"/>
    <w:rsid w:val="00FE43BA"/>
    <w:rsid w:val="00FE43FB"/>
    <w:rsid w:val="00FE490A"/>
    <w:rsid w:val="00FE4DB4"/>
    <w:rsid w:val="00FE4EA8"/>
    <w:rsid w:val="00FE4FBA"/>
    <w:rsid w:val="00FE51CA"/>
    <w:rsid w:val="00FE5263"/>
    <w:rsid w:val="00FE52BE"/>
    <w:rsid w:val="00FE5603"/>
    <w:rsid w:val="00FE5618"/>
    <w:rsid w:val="00FE58A2"/>
    <w:rsid w:val="00FE59F5"/>
    <w:rsid w:val="00FE5D99"/>
    <w:rsid w:val="00FE5EC5"/>
    <w:rsid w:val="00FE5FC1"/>
    <w:rsid w:val="00FE6055"/>
    <w:rsid w:val="00FE6093"/>
    <w:rsid w:val="00FE60FF"/>
    <w:rsid w:val="00FE64EC"/>
    <w:rsid w:val="00FE656E"/>
    <w:rsid w:val="00FE65A4"/>
    <w:rsid w:val="00FE65BF"/>
    <w:rsid w:val="00FE6757"/>
    <w:rsid w:val="00FE6782"/>
    <w:rsid w:val="00FE6795"/>
    <w:rsid w:val="00FE695A"/>
    <w:rsid w:val="00FE6A15"/>
    <w:rsid w:val="00FE6A57"/>
    <w:rsid w:val="00FE6A5E"/>
    <w:rsid w:val="00FE6B40"/>
    <w:rsid w:val="00FE6CAD"/>
    <w:rsid w:val="00FE6D40"/>
    <w:rsid w:val="00FE6F63"/>
    <w:rsid w:val="00FE70BD"/>
    <w:rsid w:val="00FE70D6"/>
    <w:rsid w:val="00FE7216"/>
    <w:rsid w:val="00FE728A"/>
    <w:rsid w:val="00FE7366"/>
    <w:rsid w:val="00FE736F"/>
    <w:rsid w:val="00FE7387"/>
    <w:rsid w:val="00FE73B2"/>
    <w:rsid w:val="00FE7511"/>
    <w:rsid w:val="00FE7534"/>
    <w:rsid w:val="00FE757C"/>
    <w:rsid w:val="00FE79FF"/>
    <w:rsid w:val="00FE7C70"/>
    <w:rsid w:val="00FE7CBC"/>
    <w:rsid w:val="00FE7D13"/>
    <w:rsid w:val="00FE7DC4"/>
    <w:rsid w:val="00FE7F6E"/>
    <w:rsid w:val="00FE7FCE"/>
    <w:rsid w:val="00FF05DD"/>
    <w:rsid w:val="00FF0A36"/>
    <w:rsid w:val="00FF0A88"/>
    <w:rsid w:val="00FF0C59"/>
    <w:rsid w:val="00FF1408"/>
    <w:rsid w:val="00FF1676"/>
    <w:rsid w:val="00FF1A23"/>
    <w:rsid w:val="00FF1A36"/>
    <w:rsid w:val="00FF1A3C"/>
    <w:rsid w:val="00FF1D62"/>
    <w:rsid w:val="00FF1D71"/>
    <w:rsid w:val="00FF1ED2"/>
    <w:rsid w:val="00FF203D"/>
    <w:rsid w:val="00FF21C8"/>
    <w:rsid w:val="00FF2375"/>
    <w:rsid w:val="00FF245C"/>
    <w:rsid w:val="00FF24E0"/>
    <w:rsid w:val="00FF257B"/>
    <w:rsid w:val="00FF28AB"/>
    <w:rsid w:val="00FF2AD0"/>
    <w:rsid w:val="00FF2DD1"/>
    <w:rsid w:val="00FF2E79"/>
    <w:rsid w:val="00FF2EC4"/>
    <w:rsid w:val="00FF3066"/>
    <w:rsid w:val="00FF33D5"/>
    <w:rsid w:val="00FF3520"/>
    <w:rsid w:val="00FF358B"/>
    <w:rsid w:val="00FF3749"/>
    <w:rsid w:val="00FF37A1"/>
    <w:rsid w:val="00FF3815"/>
    <w:rsid w:val="00FF3871"/>
    <w:rsid w:val="00FF3966"/>
    <w:rsid w:val="00FF3A03"/>
    <w:rsid w:val="00FF3A16"/>
    <w:rsid w:val="00FF3ABE"/>
    <w:rsid w:val="00FF3BF4"/>
    <w:rsid w:val="00FF3DD6"/>
    <w:rsid w:val="00FF3F05"/>
    <w:rsid w:val="00FF3F72"/>
    <w:rsid w:val="00FF3F91"/>
    <w:rsid w:val="00FF3FD4"/>
    <w:rsid w:val="00FF4168"/>
    <w:rsid w:val="00FF4493"/>
    <w:rsid w:val="00FF48F4"/>
    <w:rsid w:val="00FF4A0F"/>
    <w:rsid w:val="00FF4B7B"/>
    <w:rsid w:val="00FF4B90"/>
    <w:rsid w:val="00FF4C72"/>
    <w:rsid w:val="00FF4DDF"/>
    <w:rsid w:val="00FF4E31"/>
    <w:rsid w:val="00FF5451"/>
    <w:rsid w:val="00FF54E7"/>
    <w:rsid w:val="00FF55AF"/>
    <w:rsid w:val="00FF5816"/>
    <w:rsid w:val="00FF5AA3"/>
    <w:rsid w:val="00FF5B30"/>
    <w:rsid w:val="00FF5C59"/>
    <w:rsid w:val="00FF5D1C"/>
    <w:rsid w:val="00FF5DA2"/>
    <w:rsid w:val="00FF5E29"/>
    <w:rsid w:val="00FF5E9B"/>
    <w:rsid w:val="00FF5EA8"/>
    <w:rsid w:val="00FF5FC7"/>
    <w:rsid w:val="00FF6028"/>
    <w:rsid w:val="00FF6298"/>
    <w:rsid w:val="00FF62DD"/>
    <w:rsid w:val="00FF63FA"/>
    <w:rsid w:val="00FF64EE"/>
    <w:rsid w:val="00FF651A"/>
    <w:rsid w:val="00FF655E"/>
    <w:rsid w:val="00FF65D5"/>
    <w:rsid w:val="00FF6608"/>
    <w:rsid w:val="00FF6666"/>
    <w:rsid w:val="00FF67E6"/>
    <w:rsid w:val="00FF687A"/>
    <w:rsid w:val="00FF6891"/>
    <w:rsid w:val="00FF696B"/>
    <w:rsid w:val="00FF69E9"/>
    <w:rsid w:val="00FF69F9"/>
    <w:rsid w:val="00FF6B05"/>
    <w:rsid w:val="00FF6B69"/>
    <w:rsid w:val="00FF6C38"/>
    <w:rsid w:val="00FF6CD3"/>
    <w:rsid w:val="00FF6DED"/>
    <w:rsid w:val="00FF6F83"/>
    <w:rsid w:val="00FF74F9"/>
    <w:rsid w:val="00FF75F3"/>
    <w:rsid w:val="00FF7689"/>
    <w:rsid w:val="00FF7811"/>
    <w:rsid w:val="00FF7C24"/>
    <w:rsid w:val="00FF7D2B"/>
    <w:rsid w:val="00FF7DD1"/>
    <w:rsid w:val="00FF7E60"/>
    <w:rsid w:val="00FF7F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227C4-155B-44AA-9820-4029D8C1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3FBF"/>
    <w:rPr>
      <w:rFonts w:ascii="Times New Roman" w:hAnsi="Times New Roman" w:cs="Times New Roman"/>
      <w:lang w:val="en-US"/>
    </w:rPr>
  </w:style>
  <w:style w:type="paragraph" w:styleId="Naslov1">
    <w:name w:val="heading 1"/>
    <w:basedOn w:val="Navaden"/>
    <w:next w:val="Navaden"/>
    <w:link w:val="Naslov1Znak"/>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Glava">
    <w:name w:val="header"/>
    <w:basedOn w:val="Navaden"/>
    <w:link w:val="GlavaZnak"/>
    <w:uiPriority w:val="99"/>
    <w:unhideWhenUsed/>
    <w:rsid w:val="00B20629"/>
    <w:pPr>
      <w:tabs>
        <w:tab w:val="center" w:pos="4536"/>
        <w:tab w:val="right" w:pos="9072"/>
      </w:tabs>
    </w:pPr>
  </w:style>
  <w:style w:type="character" w:customStyle="1" w:styleId="GlavaZnak">
    <w:name w:val="Glava Znak"/>
    <w:basedOn w:val="Privzetapisavaodstavka"/>
    <w:link w:val="Glava"/>
    <w:uiPriority w:val="99"/>
    <w:rsid w:val="00B20629"/>
    <w:rPr>
      <w:rFonts w:ascii="Times New Roman" w:hAnsi="Times New Roman" w:cs="Times New Roman"/>
      <w:lang w:val="en-US"/>
    </w:rPr>
  </w:style>
  <w:style w:type="paragraph" w:styleId="Noga">
    <w:name w:val="footer"/>
    <w:basedOn w:val="Navaden"/>
    <w:link w:val="NogaZnak"/>
    <w:uiPriority w:val="99"/>
    <w:unhideWhenUsed/>
    <w:rsid w:val="00B20629"/>
    <w:pPr>
      <w:tabs>
        <w:tab w:val="center" w:pos="4536"/>
        <w:tab w:val="right" w:pos="9072"/>
      </w:tabs>
    </w:pPr>
  </w:style>
  <w:style w:type="character" w:customStyle="1" w:styleId="NogaZnak">
    <w:name w:val="Noga Znak"/>
    <w:basedOn w:val="Privzetapisavaodstavka"/>
    <w:link w:val="Noga"/>
    <w:uiPriority w:val="99"/>
    <w:rsid w:val="00B20629"/>
    <w:rPr>
      <w:rFonts w:ascii="Times New Roman" w:hAnsi="Times New Roman" w:cs="Times New Roman"/>
      <w:lang w:val="en-US"/>
    </w:rPr>
  </w:style>
  <w:style w:type="paragraph" w:styleId="Odstavekseznama">
    <w:name w:val="List Paragraph"/>
    <w:basedOn w:val="Navaden"/>
    <w:link w:val="OdstavekseznamaZnak"/>
    <w:uiPriority w:val="34"/>
    <w:qFormat/>
    <w:rsid w:val="007F5391"/>
    <w:pPr>
      <w:ind w:left="720"/>
      <w:contextualSpacing/>
    </w:pPr>
  </w:style>
  <w:style w:type="table" w:styleId="Tabelamrea">
    <w:name w:val="Table Grid"/>
    <w:basedOn w:val="Navadnatabela"/>
    <w:uiPriority w:val="59"/>
    <w:rsid w:val="0067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2E78F8"/>
    <w:rPr>
      <w:sz w:val="20"/>
      <w:szCs w:val="20"/>
    </w:rPr>
  </w:style>
  <w:style w:type="character" w:customStyle="1" w:styleId="Sprotnaopomba-besediloZnak">
    <w:name w:val="Sprotna opomba - besedilo Znak"/>
    <w:basedOn w:val="Privzetapisavaodstavka"/>
    <w:link w:val="Sprotnaopomba-besedilo"/>
    <w:uiPriority w:val="99"/>
    <w:semiHidden/>
    <w:rsid w:val="002E78F8"/>
    <w:rPr>
      <w:rFonts w:ascii="Times New Roman" w:hAnsi="Times New Roman" w:cs="Times New Roman"/>
      <w:sz w:val="20"/>
      <w:szCs w:val="20"/>
      <w:lang w:val="en-US"/>
    </w:rPr>
  </w:style>
  <w:style w:type="character" w:styleId="Sprotnaopomba-sklic">
    <w:name w:val="footnote reference"/>
    <w:basedOn w:val="Privzetapisavaodstavka"/>
    <w:uiPriority w:val="99"/>
    <w:semiHidden/>
    <w:unhideWhenUsed/>
    <w:rsid w:val="002E78F8"/>
    <w:rPr>
      <w:vertAlign w:val="superscript"/>
    </w:rPr>
  </w:style>
  <w:style w:type="paragraph" w:customStyle="1" w:styleId="Default">
    <w:name w:val="Default"/>
    <w:rsid w:val="005A3724"/>
    <w:pPr>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sid w:val="006873F5"/>
    <w:rPr>
      <w:rFonts w:ascii="EUAlbertina" w:hAnsi="EUAlbertina" w:cstheme="minorBidi"/>
      <w:color w:val="auto"/>
    </w:rPr>
  </w:style>
  <w:style w:type="paragraph" w:customStyle="1" w:styleId="CM3">
    <w:name w:val="CM3"/>
    <w:basedOn w:val="Default"/>
    <w:next w:val="Default"/>
    <w:uiPriority w:val="99"/>
    <w:rsid w:val="006873F5"/>
    <w:rPr>
      <w:rFonts w:ascii="EUAlbertina" w:hAnsi="EUAlbertina" w:cstheme="minorBidi"/>
      <w:color w:val="auto"/>
    </w:rPr>
  </w:style>
  <w:style w:type="character" w:styleId="Pripombasklic">
    <w:name w:val="annotation reference"/>
    <w:basedOn w:val="Privzetapisavaodstavka"/>
    <w:unhideWhenUsed/>
    <w:rsid w:val="006234D3"/>
    <w:rPr>
      <w:sz w:val="16"/>
      <w:szCs w:val="16"/>
    </w:rPr>
  </w:style>
  <w:style w:type="paragraph" w:styleId="Pripombabesedilo">
    <w:name w:val="annotation text"/>
    <w:basedOn w:val="Navaden"/>
    <w:link w:val="PripombabesediloZnak"/>
    <w:unhideWhenUsed/>
    <w:rsid w:val="006234D3"/>
    <w:rPr>
      <w:sz w:val="20"/>
      <w:szCs w:val="20"/>
    </w:rPr>
  </w:style>
  <w:style w:type="character" w:customStyle="1" w:styleId="PripombabesediloZnak">
    <w:name w:val="Pripomba – besedilo Znak"/>
    <w:basedOn w:val="Privzetapisavaodstavka"/>
    <w:link w:val="Pripombabesedilo"/>
    <w:rsid w:val="006234D3"/>
    <w:rPr>
      <w:rFonts w:ascii="Times New Roman" w:hAnsi="Times New Roman"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6234D3"/>
    <w:rPr>
      <w:b/>
      <w:bCs/>
    </w:rPr>
  </w:style>
  <w:style w:type="character" w:customStyle="1" w:styleId="ZadevapripombeZnak">
    <w:name w:val="Zadeva pripombe Znak"/>
    <w:basedOn w:val="PripombabesediloZnak"/>
    <w:link w:val="Zadevapripombe"/>
    <w:uiPriority w:val="99"/>
    <w:semiHidden/>
    <w:rsid w:val="006234D3"/>
    <w:rPr>
      <w:rFonts w:ascii="Times New Roman" w:hAnsi="Times New Roman" w:cs="Times New Roman"/>
      <w:b/>
      <w:bCs/>
      <w:sz w:val="20"/>
      <w:szCs w:val="20"/>
      <w:lang w:val="en-US"/>
    </w:rPr>
  </w:style>
  <w:style w:type="paragraph" w:styleId="Revizija">
    <w:name w:val="Revision"/>
    <w:hidden/>
    <w:uiPriority w:val="99"/>
    <w:semiHidden/>
    <w:rsid w:val="006234D3"/>
    <w:rPr>
      <w:rFonts w:ascii="Times New Roman" w:hAnsi="Times New Roman" w:cs="Times New Roman"/>
      <w:lang w:val="en-US"/>
    </w:rPr>
  </w:style>
  <w:style w:type="paragraph" w:styleId="Besedilooblaka">
    <w:name w:val="Balloon Text"/>
    <w:basedOn w:val="Navaden"/>
    <w:link w:val="BesedilooblakaZnak"/>
    <w:uiPriority w:val="99"/>
    <w:semiHidden/>
    <w:unhideWhenUsed/>
    <w:rsid w:val="006234D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234D3"/>
    <w:rPr>
      <w:rFonts w:ascii="Tahoma" w:hAnsi="Tahoma" w:cs="Tahoma"/>
      <w:sz w:val="16"/>
      <w:szCs w:val="16"/>
      <w:lang w:val="en-US"/>
    </w:rPr>
  </w:style>
  <w:style w:type="paragraph" w:styleId="Telobesedila3">
    <w:name w:val="Body Text 3"/>
    <w:basedOn w:val="Navaden"/>
    <w:link w:val="Telobesedila3Znak"/>
    <w:rsid w:val="0065301D"/>
    <w:pPr>
      <w:spacing w:before="120" w:after="120"/>
      <w:jc w:val="both"/>
    </w:pPr>
    <w:rPr>
      <w:rFonts w:eastAsia="Times New Roman"/>
      <w:snapToGrid w:val="0"/>
      <w:color w:val="0000FF"/>
      <w:szCs w:val="20"/>
      <w:lang w:val="sl-SI" w:eastAsia="sl-SI"/>
    </w:rPr>
  </w:style>
  <w:style w:type="character" w:customStyle="1" w:styleId="Telobesedila3Znak">
    <w:name w:val="Telo besedila 3 Znak"/>
    <w:basedOn w:val="Privzetapisavaodstavka"/>
    <w:link w:val="Telobesedila3"/>
    <w:rsid w:val="0065301D"/>
    <w:rPr>
      <w:rFonts w:ascii="Times New Roman" w:eastAsia="Times New Roman" w:hAnsi="Times New Roman" w:cs="Times New Roman"/>
      <w:snapToGrid w:val="0"/>
      <w:color w:val="0000FF"/>
      <w:szCs w:val="20"/>
      <w:lang w:eastAsia="sl-SI"/>
    </w:rPr>
  </w:style>
  <w:style w:type="paragraph" w:styleId="Telobesedila2">
    <w:name w:val="Body Text 2"/>
    <w:basedOn w:val="Navaden"/>
    <w:link w:val="Telobesedila2Znak"/>
    <w:uiPriority w:val="99"/>
    <w:semiHidden/>
    <w:unhideWhenUsed/>
    <w:rsid w:val="00D129B0"/>
    <w:pPr>
      <w:spacing w:after="120" w:line="480" w:lineRule="auto"/>
    </w:pPr>
  </w:style>
  <w:style w:type="character" w:customStyle="1" w:styleId="Telobesedila2Znak">
    <w:name w:val="Telo besedila 2 Znak"/>
    <w:basedOn w:val="Privzetapisavaodstavka"/>
    <w:link w:val="Telobesedila2"/>
    <w:uiPriority w:val="99"/>
    <w:semiHidden/>
    <w:rsid w:val="00D129B0"/>
    <w:rPr>
      <w:rFonts w:ascii="Times New Roman" w:hAnsi="Times New Roman" w:cs="Times New Roman"/>
      <w:lang w:val="en-US"/>
    </w:rPr>
  </w:style>
  <w:style w:type="character" w:customStyle="1" w:styleId="hps">
    <w:name w:val="hps"/>
    <w:basedOn w:val="Privzetapisavaodstavka"/>
    <w:rsid w:val="00540D5B"/>
  </w:style>
  <w:style w:type="character" w:styleId="Hiperpovezava">
    <w:name w:val="Hyperlink"/>
    <w:basedOn w:val="Privzetapisavaodstavka"/>
    <w:uiPriority w:val="99"/>
    <w:unhideWhenUsed/>
    <w:rsid w:val="00757627"/>
    <w:rPr>
      <w:color w:val="0000FF" w:themeColor="hyperlink"/>
      <w:u w:val="single"/>
    </w:rPr>
  </w:style>
  <w:style w:type="paragraph" w:customStyle="1" w:styleId="esegmenth4">
    <w:name w:val="esegment_h4"/>
    <w:basedOn w:val="Navaden"/>
    <w:rsid w:val="0072083A"/>
    <w:pPr>
      <w:spacing w:after="135"/>
    </w:pPr>
    <w:rPr>
      <w:rFonts w:eastAsia="Times New Roman"/>
      <w:b/>
      <w:bCs/>
      <w:color w:val="333333"/>
      <w:sz w:val="12"/>
      <w:szCs w:val="12"/>
      <w:lang w:val="sl-SI" w:eastAsia="sl-SI"/>
    </w:rPr>
  </w:style>
  <w:style w:type="paragraph" w:styleId="Navadensplet">
    <w:name w:val="Normal (Web)"/>
    <w:basedOn w:val="Navaden"/>
    <w:uiPriority w:val="99"/>
    <w:unhideWhenUsed/>
    <w:rsid w:val="009E0452"/>
    <w:pPr>
      <w:spacing w:after="135"/>
      <w:jc w:val="left"/>
    </w:pPr>
    <w:rPr>
      <w:rFonts w:eastAsia="Times New Roman"/>
      <w:color w:val="333333"/>
      <w:sz w:val="12"/>
      <w:szCs w:val="12"/>
      <w:lang w:val="sl-SI" w:eastAsia="sl-SI"/>
    </w:rPr>
  </w:style>
  <w:style w:type="paragraph" w:customStyle="1" w:styleId="esegmentp1">
    <w:name w:val="esegment_p1"/>
    <w:basedOn w:val="Navaden"/>
    <w:rsid w:val="009E0452"/>
    <w:pPr>
      <w:spacing w:after="135"/>
    </w:pPr>
    <w:rPr>
      <w:rFonts w:eastAsia="Times New Roman"/>
      <w:color w:val="333333"/>
      <w:sz w:val="12"/>
      <w:szCs w:val="12"/>
      <w:lang w:val="sl-SI" w:eastAsia="sl-SI"/>
    </w:rPr>
  </w:style>
  <w:style w:type="paragraph" w:customStyle="1" w:styleId="esegmentc1">
    <w:name w:val="esegment_c1"/>
    <w:basedOn w:val="Navaden"/>
    <w:rsid w:val="009E0452"/>
    <w:pPr>
      <w:spacing w:after="135"/>
      <w:jc w:val="left"/>
    </w:pPr>
    <w:rPr>
      <w:rFonts w:eastAsia="Times New Roman"/>
      <w:color w:val="333333"/>
      <w:sz w:val="12"/>
      <w:szCs w:val="12"/>
      <w:lang w:val="sl-SI" w:eastAsia="sl-SI"/>
    </w:rPr>
  </w:style>
  <w:style w:type="paragraph" w:customStyle="1" w:styleId="Odstavek">
    <w:name w:val="Odstavek"/>
    <w:basedOn w:val="Navaden"/>
    <w:link w:val="OdstavekZnak"/>
    <w:rsid w:val="007B2AE6"/>
    <w:pPr>
      <w:spacing w:before="240"/>
      <w:jc w:val="both"/>
    </w:pPr>
    <w:rPr>
      <w:rFonts w:eastAsia="Times New Roman"/>
      <w:lang w:val="sl-SI" w:eastAsia="sl-SI"/>
    </w:rPr>
  </w:style>
  <w:style w:type="character" w:customStyle="1" w:styleId="OdstavekZnak">
    <w:name w:val="Odstavek Znak"/>
    <w:basedOn w:val="Privzetapisavaodstavka"/>
    <w:link w:val="Odstavek"/>
    <w:rsid w:val="007B2AE6"/>
    <w:rPr>
      <w:rFonts w:ascii="Times New Roman" w:eastAsia="Times New Roman" w:hAnsi="Times New Roman" w:cs="Times New Roman"/>
      <w:lang w:eastAsia="sl-SI"/>
    </w:rPr>
  </w:style>
  <w:style w:type="paragraph" w:styleId="NaslovTOC">
    <w:name w:val="TOC Heading"/>
    <w:basedOn w:val="Naslov1"/>
    <w:next w:val="Navaden"/>
    <w:uiPriority w:val="39"/>
    <w:unhideWhenUsed/>
    <w:qFormat/>
    <w:rsid w:val="00F83E0C"/>
    <w:pPr>
      <w:spacing w:line="276" w:lineRule="auto"/>
      <w:jc w:val="left"/>
      <w:outlineLvl w:val="9"/>
    </w:pPr>
    <w:rPr>
      <w:rFonts w:asciiTheme="majorHAnsi" w:hAnsiTheme="majorHAnsi"/>
      <w:lang w:val="sl-SI"/>
    </w:rPr>
  </w:style>
  <w:style w:type="paragraph" w:styleId="Kazalovsebine2">
    <w:name w:val="toc 2"/>
    <w:basedOn w:val="Navaden"/>
    <w:next w:val="Navaden"/>
    <w:autoRedefine/>
    <w:uiPriority w:val="39"/>
    <w:unhideWhenUsed/>
    <w:qFormat/>
    <w:rsid w:val="00F83E0C"/>
    <w:pPr>
      <w:spacing w:after="100" w:line="276" w:lineRule="auto"/>
      <w:ind w:left="220"/>
      <w:jc w:val="left"/>
    </w:pPr>
    <w:rPr>
      <w:rFonts w:asciiTheme="minorHAnsi" w:eastAsiaTheme="minorEastAsia" w:hAnsiTheme="minorHAnsi" w:cstheme="minorBidi"/>
      <w:lang w:val="sl-SI"/>
    </w:rPr>
  </w:style>
  <w:style w:type="paragraph" w:styleId="Kazalovsebine1">
    <w:name w:val="toc 1"/>
    <w:basedOn w:val="Navaden"/>
    <w:next w:val="Navaden"/>
    <w:autoRedefine/>
    <w:uiPriority w:val="39"/>
    <w:unhideWhenUsed/>
    <w:qFormat/>
    <w:rsid w:val="00F83E0C"/>
    <w:pPr>
      <w:spacing w:after="100" w:line="276" w:lineRule="auto"/>
      <w:jc w:val="left"/>
    </w:pPr>
    <w:rPr>
      <w:rFonts w:asciiTheme="minorHAnsi" w:eastAsiaTheme="minorEastAsia" w:hAnsiTheme="minorHAnsi" w:cstheme="minorBidi"/>
      <w:lang w:val="sl-SI"/>
    </w:rPr>
  </w:style>
  <w:style w:type="paragraph" w:styleId="Kazalovsebine3">
    <w:name w:val="toc 3"/>
    <w:basedOn w:val="Navaden"/>
    <w:next w:val="Navaden"/>
    <w:autoRedefine/>
    <w:uiPriority w:val="39"/>
    <w:unhideWhenUsed/>
    <w:qFormat/>
    <w:rsid w:val="00F83E0C"/>
    <w:pPr>
      <w:spacing w:after="100" w:line="276" w:lineRule="auto"/>
      <w:ind w:left="440"/>
      <w:jc w:val="left"/>
    </w:pPr>
    <w:rPr>
      <w:rFonts w:asciiTheme="minorHAnsi" w:eastAsiaTheme="minorEastAsia" w:hAnsiTheme="minorHAnsi" w:cstheme="minorBidi"/>
      <w:lang w:val="sl-SI"/>
    </w:rPr>
  </w:style>
  <w:style w:type="paragraph" w:styleId="Kazalovsebine4">
    <w:name w:val="toc 4"/>
    <w:basedOn w:val="Navaden"/>
    <w:next w:val="Navaden"/>
    <w:autoRedefine/>
    <w:uiPriority w:val="39"/>
    <w:unhideWhenUsed/>
    <w:rsid w:val="00F83E0C"/>
    <w:pPr>
      <w:spacing w:after="100"/>
      <w:ind w:left="600"/>
      <w:jc w:val="left"/>
    </w:pPr>
    <w:rPr>
      <w:rFonts w:ascii="Arial" w:eastAsia="Times New Roman" w:hAnsi="Arial"/>
      <w:sz w:val="20"/>
      <w:szCs w:val="20"/>
      <w:lang w:val="sl-SI" w:eastAsia="sl-SI"/>
    </w:rPr>
  </w:style>
  <w:style w:type="paragraph" w:customStyle="1" w:styleId="Point1letter">
    <w:name w:val="Point 1 (letter)"/>
    <w:basedOn w:val="Navaden"/>
    <w:rsid w:val="00F83E0C"/>
    <w:pPr>
      <w:tabs>
        <w:tab w:val="num" w:pos="360"/>
      </w:tabs>
      <w:spacing w:before="120" w:after="120"/>
      <w:ind w:left="1417" w:hanging="567"/>
      <w:jc w:val="both"/>
    </w:pPr>
    <w:rPr>
      <w:rFonts w:eastAsia="Times New Roman"/>
      <w:sz w:val="24"/>
      <w:szCs w:val="24"/>
      <w:lang w:val="en-GB"/>
    </w:rPr>
  </w:style>
  <w:style w:type="character" w:customStyle="1" w:styleId="librios-ddef">
    <w:name w:val="librios-ddef"/>
    <w:basedOn w:val="Privzetapisavaodstavka"/>
    <w:rsid w:val="00F83E0C"/>
  </w:style>
  <w:style w:type="character" w:styleId="Poudarek">
    <w:name w:val="Emphasis"/>
    <w:basedOn w:val="Privzetapisavaodstavka"/>
    <w:uiPriority w:val="20"/>
    <w:qFormat/>
    <w:rsid w:val="005F3FA7"/>
    <w:rPr>
      <w:i/>
      <w:iCs/>
    </w:rPr>
  </w:style>
  <w:style w:type="character" w:styleId="Neenpoudarek">
    <w:name w:val="Subtle Emphasis"/>
    <w:basedOn w:val="Privzetapisavaodstavka"/>
    <w:uiPriority w:val="19"/>
    <w:qFormat/>
    <w:rsid w:val="005F3FA7"/>
    <w:rPr>
      <w:i/>
      <w:iCs/>
      <w:color w:val="404040" w:themeColor="text1" w:themeTint="BF"/>
    </w:rPr>
  </w:style>
  <w:style w:type="paragraph" w:customStyle="1" w:styleId="odstavek1">
    <w:name w:val="odstavek1"/>
    <w:basedOn w:val="Navaden"/>
    <w:rsid w:val="00FB0380"/>
    <w:pPr>
      <w:spacing w:before="240"/>
      <w:ind w:firstLine="1021"/>
      <w:jc w:val="both"/>
    </w:pPr>
    <w:rPr>
      <w:rFonts w:ascii="Arial" w:eastAsia="Times New Roman" w:hAnsi="Arial" w:cs="Arial"/>
      <w:lang w:val="sl-SI" w:eastAsia="sl-SI"/>
    </w:rPr>
  </w:style>
  <w:style w:type="paragraph" w:customStyle="1" w:styleId="rkovnatokazaodstavkom1">
    <w:name w:val="rkovnatokazaodstavkom1"/>
    <w:basedOn w:val="Navaden"/>
    <w:rsid w:val="00FB0380"/>
    <w:pPr>
      <w:ind w:left="425" w:hanging="425"/>
      <w:jc w:val="both"/>
    </w:pPr>
    <w:rPr>
      <w:rFonts w:ascii="Arial" w:eastAsia="Times New Roman" w:hAnsi="Arial" w:cs="Arial"/>
      <w:lang w:val="sl-SI" w:eastAsia="sl-SI"/>
    </w:rPr>
  </w:style>
  <w:style w:type="character" w:styleId="SledenaHiperpovezava">
    <w:name w:val="FollowedHyperlink"/>
    <w:basedOn w:val="Privzetapisavaodstavka"/>
    <w:uiPriority w:val="99"/>
    <w:semiHidden/>
    <w:unhideWhenUsed/>
    <w:rsid w:val="00981B45"/>
    <w:rPr>
      <w:color w:val="800080" w:themeColor="followedHyperlink"/>
      <w:u w:val="single"/>
    </w:rPr>
  </w:style>
  <w:style w:type="character" w:customStyle="1" w:styleId="OdstavekseznamaZnak">
    <w:name w:val="Odstavek seznama Znak"/>
    <w:link w:val="Odstavekseznama"/>
    <w:uiPriority w:val="34"/>
    <w:locked/>
    <w:rsid w:val="008C7F0B"/>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34">
      <w:bodyDiv w:val="1"/>
      <w:marLeft w:val="0"/>
      <w:marRight w:val="0"/>
      <w:marTop w:val="0"/>
      <w:marBottom w:val="0"/>
      <w:divBdr>
        <w:top w:val="none" w:sz="0" w:space="0" w:color="auto"/>
        <w:left w:val="none" w:sz="0" w:space="0" w:color="auto"/>
        <w:bottom w:val="none" w:sz="0" w:space="0" w:color="auto"/>
        <w:right w:val="none" w:sz="0" w:space="0" w:color="auto"/>
      </w:divBdr>
      <w:divsChild>
        <w:div w:id="266278607">
          <w:marLeft w:val="0"/>
          <w:marRight w:val="0"/>
          <w:marTop w:val="0"/>
          <w:marBottom w:val="0"/>
          <w:divBdr>
            <w:top w:val="none" w:sz="0" w:space="0" w:color="auto"/>
            <w:left w:val="none" w:sz="0" w:space="0" w:color="auto"/>
            <w:bottom w:val="none" w:sz="0" w:space="0" w:color="auto"/>
            <w:right w:val="none" w:sz="0" w:space="0" w:color="auto"/>
          </w:divBdr>
        </w:div>
        <w:div w:id="996805204">
          <w:marLeft w:val="0"/>
          <w:marRight w:val="0"/>
          <w:marTop w:val="0"/>
          <w:marBottom w:val="0"/>
          <w:divBdr>
            <w:top w:val="none" w:sz="0" w:space="0" w:color="auto"/>
            <w:left w:val="none" w:sz="0" w:space="0" w:color="auto"/>
            <w:bottom w:val="none" w:sz="0" w:space="0" w:color="auto"/>
            <w:right w:val="none" w:sz="0" w:space="0" w:color="auto"/>
          </w:divBdr>
        </w:div>
        <w:div w:id="1368873340">
          <w:marLeft w:val="0"/>
          <w:marRight w:val="0"/>
          <w:marTop w:val="0"/>
          <w:marBottom w:val="0"/>
          <w:divBdr>
            <w:top w:val="none" w:sz="0" w:space="0" w:color="auto"/>
            <w:left w:val="none" w:sz="0" w:space="0" w:color="auto"/>
            <w:bottom w:val="none" w:sz="0" w:space="0" w:color="auto"/>
            <w:right w:val="none" w:sz="0" w:space="0" w:color="auto"/>
          </w:divBdr>
        </w:div>
      </w:divsChild>
    </w:div>
    <w:div w:id="90205758">
      <w:bodyDiv w:val="1"/>
      <w:marLeft w:val="0"/>
      <w:marRight w:val="0"/>
      <w:marTop w:val="0"/>
      <w:marBottom w:val="0"/>
      <w:divBdr>
        <w:top w:val="none" w:sz="0" w:space="0" w:color="auto"/>
        <w:left w:val="none" w:sz="0" w:space="0" w:color="auto"/>
        <w:bottom w:val="none" w:sz="0" w:space="0" w:color="auto"/>
        <w:right w:val="none" w:sz="0" w:space="0" w:color="auto"/>
      </w:divBdr>
    </w:div>
    <w:div w:id="116992848">
      <w:bodyDiv w:val="1"/>
      <w:marLeft w:val="0"/>
      <w:marRight w:val="0"/>
      <w:marTop w:val="0"/>
      <w:marBottom w:val="0"/>
      <w:divBdr>
        <w:top w:val="none" w:sz="0" w:space="0" w:color="auto"/>
        <w:left w:val="none" w:sz="0" w:space="0" w:color="auto"/>
        <w:bottom w:val="none" w:sz="0" w:space="0" w:color="auto"/>
        <w:right w:val="none" w:sz="0" w:space="0" w:color="auto"/>
      </w:divBdr>
      <w:divsChild>
        <w:div w:id="446313926">
          <w:marLeft w:val="0"/>
          <w:marRight w:val="0"/>
          <w:marTop w:val="0"/>
          <w:marBottom w:val="0"/>
          <w:divBdr>
            <w:top w:val="none" w:sz="0" w:space="0" w:color="auto"/>
            <w:left w:val="none" w:sz="0" w:space="0" w:color="auto"/>
            <w:bottom w:val="none" w:sz="0" w:space="0" w:color="auto"/>
            <w:right w:val="none" w:sz="0" w:space="0" w:color="auto"/>
          </w:divBdr>
          <w:divsChild>
            <w:div w:id="187649730">
              <w:marLeft w:val="0"/>
              <w:marRight w:val="0"/>
              <w:marTop w:val="0"/>
              <w:marBottom w:val="0"/>
              <w:divBdr>
                <w:top w:val="none" w:sz="0" w:space="0" w:color="auto"/>
                <w:left w:val="none" w:sz="0" w:space="0" w:color="auto"/>
                <w:bottom w:val="none" w:sz="0" w:space="0" w:color="auto"/>
                <w:right w:val="none" w:sz="0" w:space="0" w:color="auto"/>
              </w:divBdr>
              <w:divsChild>
                <w:div w:id="258225106">
                  <w:marLeft w:val="0"/>
                  <w:marRight w:val="0"/>
                  <w:marTop w:val="0"/>
                  <w:marBottom w:val="0"/>
                  <w:divBdr>
                    <w:top w:val="none" w:sz="0" w:space="0" w:color="auto"/>
                    <w:left w:val="none" w:sz="0" w:space="0" w:color="auto"/>
                    <w:bottom w:val="none" w:sz="0" w:space="0" w:color="auto"/>
                    <w:right w:val="none" w:sz="0" w:space="0" w:color="auto"/>
                  </w:divBdr>
                  <w:divsChild>
                    <w:div w:id="1026827260">
                      <w:marLeft w:val="0"/>
                      <w:marRight w:val="0"/>
                      <w:marTop w:val="0"/>
                      <w:marBottom w:val="0"/>
                      <w:divBdr>
                        <w:top w:val="none" w:sz="0" w:space="0" w:color="auto"/>
                        <w:left w:val="none" w:sz="0" w:space="0" w:color="auto"/>
                        <w:bottom w:val="none" w:sz="0" w:space="0" w:color="auto"/>
                        <w:right w:val="none" w:sz="0" w:space="0" w:color="auto"/>
                      </w:divBdr>
                      <w:divsChild>
                        <w:div w:id="90517339">
                          <w:marLeft w:val="0"/>
                          <w:marRight w:val="0"/>
                          <w:marTop w:val="0"/>
                          <w:marBottom w:val="0"/>
                          <w:divBdr>
                            <w:top w:val="none" w:sz="0" w:space="0" w:color="auto"/>
                            <w:left w:val="none" w:sz="0" w:space="0" w:color="auto"/>
                            <w:bottom w:val="none" w:sz="0" w:space="0" w:color="auto"/>
                            <w:right w:val="none" w:sz="0" w:space="0" w:color="auto"/>
                          </w:divBdr>
                          <w:divsChild>
                            <w:div w:id="144319080">
                              <w:marLeft w:val="0"/>
                              <w:marRight w:val="0"/>
                              <w:marTop w:val="0"/>
                              <w:marBottom w:val="0"/>
                              <w:divBdr>
                                <w:top w:val="none" w:sz="0" w:space="0" w:color="auto"/>
                                <w:left w:val="none" w:sz="0" w:space="0" w:color="auto"/>
                                <w:bottom w:val="none" w:sz="0" w:space="0" w:color="auto"/>
                                <w:right w:val="none" w:sz="0" w:space="0" w:color="auto"/>
                              </w:divBdr>
                              <w:divsChild>
                                <w:div w:id="1698651233">
                                  <w:marLeft w:val="0"/>
                                  <w:marRight w:val="0"/>
                                  <w:marTop w:val="0"/>
                                  <w:marBottom w:val="0"/>
                                  <w:divBdr>
                                    <w:top w:val="none" w:sz="0" w:space="0" w:color="auto"/>
                                    <w:left w:val="none" w:sz="0" w:space="0" w:color="auto"/>
                                    <w:bottom w:val="none" w:sz="0" w:space="0" w:color="auto"/>
                                    <w:right w:val="none" w:sz="0" w:space="0" w:color="auto"/>
                                  </w:divBdr>
                                  <w:divsChild>
                                    <w:div w:id="374083878">
                                      <w:marLeft w:val="0"/>
                                      <w:marRight w:val="0"/>
                                      <w:marTop w:val="0"/>
                                      <w:marBottom w:val="0"/>
                                      <w:divBdr>
                                        <w:top w:val="none" w:sz="0" w:space="0" w:color="auto"/>
                                        <w:left w:val="none" w:sz="0" w:space="0" w:color="auto"/>
                                        <w:bottom w:val="none" w:sz="0" w:space="0" w:color="auto"/>
                                        <w:right w:val="none" w:sz="0" w:space="0" w:color="auto"/>
                                      </w:divBdr>
                                      <w:divsChild>
                                        <w:div w:id="1897620631">
                                          <w:marLeft w:val="0"/>
                                          <w:marRight w:val="0"/>
                                          <w:marTop w:val="0"/>
                                          <w:marBottom w:val="0"/>
                                          <w:divBdr>
                                            <w:top w:val="none" w:sz="0" w:space="0" w:color="auto"/>
                                            <w:left w:val="none" w:sz="0" w:space="0" w:color="auto"/>
                                            <w:bottom w:val="none" w:sz="0" w:space="0" w:color="auto"/>
                                            <w:right w:val="none" w:sz="0" w:space="0" w:color="auto"/>
                                          </w:divBdr>
                                          <w:divsChild>
                                            <w:div w:id="1226338979">
                                              <w:marLeft w:val="0"/>
                                              <w:marRight w:val="0"/>
                                              <w:marTop w:val="0"/>
                                              <w:marBottom w:val="0"/>
                                              <w:divBdr>
                                                <w:top w:val="single" w:sz="4" w:space="1" w:color="FFFFCC"/>
                                                <w:left w:val="single" w:sz="4" w:space="1" w:color="FFFFCC"/>
                                                <w:bottom w:val="single" w:sz="4" w:space="1" w:color="FFFFCC"/>
                                                <w:right w:val="single" w:sz="4" w:space="0" w:color="FFFFCC"/>
                                              </w:divBdr>
                                              <w:divsChild>
                                                <w:div w:id="200826228">
                                                  <w:marLeft w:val="0"/>
                                                  <w:marRight w:val="0"/>
                                                  <w:marTop w:val="0"/>
                                                  <w:marBottom w:val="0"/>
                                                  <w:divBdr>
                                                    <w:top w:val="none" w:sz="0" w:space="0" w:color="auto"/>
                                                    <w:left w:val="none" w:sz="0" w:space="0" w:color="auto"/>
                                                    <w:bottom w:val="none" w:sz="0" w:space="0" w:color="auto"/>
                                                    <w:right w:val="none" w:sz="0" w:space="0" w:color="auto"/>
                                                  </w:divBdr>
                                                  <w:divsChild>
                                                    <w:div w:id="747776627">
                                                      <w:marLeft w:val="0"/>
                                                      <w:marRight w:val="0"/>
                                                      <w:marTop w:val="0"/>
                                                      <w:marBottom w:val="0"/>
                                                      <w:divBdr>
                                                        <w:top w:val="none" w:sz="0" w:space="0" w:color="auto"/>
                                                        <w:left w:val="none" w:sz="0" w:space="0" w:color="auto"/>
                                                        <w:bottom w:val="none" w:sz="0" w:space="0" w:color="auto"/>
                                                        <w:right w:val="none" w:sz="0" w:space="0" w:color="auto"/>
                                                      </w:divBdr>
                                                      <w:divsChild>
                                                        <w:div w:id="1755081717">
                                                          <w:marLeft w:val="0"/>
                                                          <w:marRight w:val="0"/>
                                                          <w:marTop w:val="0"/>
                                                          <w:marBottom w:val="0"/>
                                                          <w:divBdr>
                                                            <w:top w:val="none" w:sz="0" w:space="0" w:color="auto"/>
                                                            <w:left w:val="none" w:sz="0" w:space="0" w:color="auto"/>
                                                            <w:bottom w:val="none" w:sz="0" w:space="0" w:color="auto"/>
                                                            <w:right w:val="none" w:sz="0" w:space="0" w:color="auto"/>
                                                          </w:divBdr>
                                                          <w:divsChild>
                                                            <w:div w:id="1024673379">
                                                              <w:marLeft w:val="0"/>
                                                              <w:marRight w:val="0"/>
                                                              <w:marTop w:val="0"/>
                                                              <w:marBottom w:val="0"/>
                                                              <w:divBdr>
                                                                <w:top w:val="none" w:sz="0" w:space="0" w:color="auto"/>
                                                                <w:left w:val="none" w:sz="0" w:space="0" w:color="auto"/>
                                                                <w:bottom w:val="none" w:sz="0" w:space="0" w:color="auto"/>
                                                                <w:right w:val="none" w:sz="0" w:space="0" w:color="auto"/>
                                                              </w:divBdr>
                                                              <w:divsChild>
                                                                <w:div w:id="1832941291">
                                                                  <w:marLeft w:val="0"/>
                                                                  <w:marRight w:val="0"/>
                                                                  <w:marTop w:val="0"/>
                                                                  <w:marBottom w:val="0"/>
                                                                  <w:divBdr>
                                                                    <w:top w:val="none" w:sz="0" w:space="0" w:color="auto"/>
                                                                    <w:left w:val="none" w:sz="0" w:space="0" w:color="auto"/>
                                                                    <w:bottom w:val="none" w:sz="0" w:space="0" w:color="auto"/>
                                                                    <w:right w:val="none" w:sz="0" w:space="0" w:color="auto"/>
                                                                  </w:divBdr>
                                                                  <w:divsChild>
                                                                    <w:div w:id="812217385">
                                                                      <w:marLeft w:val="0"/>
                                                                      <w:marRight w:val="0"/>
                                                                      <w:marTop w:val="0"/>
                                                                      <w:marBottom w:val="0"/>
                                                                      <w:divBdr>
                                                                        <w:top w:val="none" w:sz="0" w:space="0" w:color="auto"/>
                                                                        <w:left w:val="none" w:sz="0" w:space="0" w:color="auto"/>
                                                                        <w:bottom w:val="none" w:sz="0" w:space="0" w:color="auto"/>
                                                                        <w:right w:val="none" w:sz="0" w:space="0" w:color="auto"/>
                                                                      </w:divBdr>
                                                                      <w:divsChild>
                                                                        <w:div w:id="594821800">
                                                                          <w:marLeft w:val="0"/>
                                                                          <w:marRight w:val="0"/>
                                                                          <w:marTop w:val="0"/>
                                                                          <w:marBottom w:val="0"/>
                                                                          <w:divBdr>
                                                                            <w:top w:val="none" w:sz="0" w:space="0" w:color="auto"/>
                                                                            <w:left w:val="none" w:sz="0" w:space="0" w:color="auto"/>
                                                                            <w:bottom w:val="none" w:sz="0" w:space="0" w:color="auto"/>
                                                                            <w:right w:val="none" w:sz="0" w:space="0" w:color="auto"/>
                                                                          </w:divBdr>
                                                                          <w:divsChild>
                                                                            <w:div w:id="1505630064">
                                                                              <w:marLeft w:val="0"/>
                                                                              <w:marRight w:val="0"/>
                                                                              <w:marTop w:val="0"/>
                                                                              <w:marBottom w:val="0"/>
                                                                              <w:divBdr>
                                                                                <w:top w:val="none" w:sz="0" w:space="0" w:color="auto"/>
                                                                                <w:left w:val="none" w:sz="0" w:space="0" w:color="auto"/>
                                                                                <w:bottom w:val="none" w:sz="0" w:space="0" w:color="auto"/>
                                                                                <w:right w:val="none" w:sz="0" w:space="0" w:color="auto"/>
                                                                              </w:divBdr>
                                                                              <w:divsChild>
                                                                                <w:div w:id="969893574">
                                                                                  <w:marLeft w:val="0"/>
                                                                                  <w:marRight w:val="0"/>
                                                                                  <w:marTop w:val="0"/>
                                                                                  <w:marBottom w:val="0"/>
                                                                                  <w:divBdr>
                                                                                    <w:top w:val="none" w:sz="0" w:space="0" w:color="auto"/>
                                                                                    <w:left w:val="none" w:sz="0" w:space="0" w:color="auto"/>
                                                                                    <w:bottom w:val="none" w:sz="0" w:space="0" w:color="auto"/>
                                                                                    <w:right w:val="none" w:sz="0" w:space="0" w:color="auto"/>
                                                                                  </w:divBdr>
                                                                                  <w:divsChild>
                                                                                    <w:div w:id="1965310852">
                                                                                      <w:marLeft w:val="0"/>
                                                                                      <w:marRight w:val="0"/>
                                                                                      <w:marTop w:val="0"/>
                                                                                      <w:marBottom w:val="0"/>
                                                                                      <w:divBdr>
                                                                                        <w:top w:val="none" w:sz="0" w:space="0" w:color="auto"/>
                                                                                        <w:left w:val="none" w:sz="0" w:space="0" w:color="auto"/>
                                                                                        <w:bottom w:val="none" w:sz="0" w:space="0" w:color="auto"/>
                                                                                        <w:right w:val="none" w:sz="0" w:space="0" w:color="auto"/>
                                                                                      </w:divBdr>
                                                                                      <w:divsChild>
                                                                                        <w:div w:id="1996759008">
                                                                                          <w:marLeft w:val="0"/>
                                                                                          <w:marRight w:val="53"/>
                                                                                          <w:marTop w:val="0"/>
                                                                                          <w:marBottom w:val="67"/>
                                                                                          <w:divBdr>
                                                                                            <w:top w:val="single" w:sz="2" w:space="0" w:color="EFEFEF"/>
                                                                                            <w:left w:val="single" w:sz="2" w:space="0" w:color="EFEFEF"/>
                                                                                            <w:bottom w:val="single" w:sz="2" w:space="0" w:color="E2E2E2"/>
                                                                                            <w:right w:val="single" w:sz="2" w:space="0" w:color="EFEFEF"/>
                                                                                          </w:divBdr>
                                                                                          <w:divsChild>
                                                                                            <w:div w:id="923417117">
                                                                                              <w:marLeft w:val="0"/>
                                                                                              <w:marRight w:val="0"/>
                                                                                              <w:marTop w:val="0"/>
                                                                                              <w:marBottom w:val="0"/>
                                                                                              <w:divBdr>
                                                                                                <w:top w:val="none" w:sz="0" w:space="0" w:color="auto"/>
                                                                                                <w:left w:val="none" w:sz="0" w:space="0" w:color="auto"/>
                                                                                                <w:bottom w:val="none" w:sz="0" w:space="0" w:color="auto"/>
                                                                                                <w:right w:val="none" w:sz="0" w:space="0" w:color="auto"/>
                                                                                              </w:divBdr>
                                                                                              <w:divsChild>
                                                                                                <w:div w:id="2109692539">
                                                                                                  <w:marLeft w:val="0"/>
                                                                                                  <w:marRight w:val="0"/>
                                                                                                  <w:marTop w:val="0"/>
                                                                                                  <w:marBottom w:val="0"/>
                                                                                                  <w:divBdr>
                                                                                                    <w:top w:val="none" w:sz="0" w:space="0" w:color="auto"/>
                                                                                                    <w:left w:val="none" w:sz="0" w:space="0" w:color="auto"/>
                                                                                                    <w:bottom w:val="none" w:sz="0" w:space="0" w:color="auto"/>
                                                                                                    <w:right w:val="none" w:sz="0" w:space="0" w:color="auto"/>
                                                                                                  </w:divBdr>
                                                                                                  <w:divsChild>
                                                                                                    <w:div w:id="318004747">
                                                                                                      <w:marLeft w:val="0"/>
                                                                                                      <w:marRight w:val="0"/>
                                                                                                      <w:marTop w:val="0"/>
                                                                                                      <w:marBottom w:val="0"/>
                                                                                                      <w:divBdr>
                                                                                                        <w:top w:val="none" w:sz="0" w:space="0" w:color="auto"/>
                                                                                                        <w:left w:val="none" w:sz="0" w:space="0" w:color="auto"/>
                                                                                                        <w:bottom w:val="none" w:sz="0" w:space="0" w:color="auto"/>
                                                                                                        <w:right w:val="none" w:sz="0" w:space="0" w:color="auto"/>
                                                                                                      </w:divBdr>
                                                                                                      <w:divsChild>
                                                                                                        <w:div w:id="1766346434">
                                                                                                          <w:marLeft w:val="0"/>
                                                                                                          <w:marRight w:val="0"/>
                                                                                                          <w:marTop w:val="0"/>
                                                                                                          <w:marBottom w:val="0"/>
                                                                                                          <w:divBdr>
                                                                                                            <w:top w:val="none" w:sz="0" w:space="0" w:color="auto"/>
                                                                                                            <w:left w:val="none" w:sz="0" w:space="0" w:color="auto"/>
                                                                                                            <w:bottom w:val="none" w:sz="0" w:space="0" w:color="auto"/>
                                                                                                            <w:right w:val="none" w:sz="0" w:space="0" w:color="auto"/>
                                                                                                          </w:divBdr>
                                                                                                          <w:divsChild>
                                                                                                            <w:div w:id="179902485">
                                                                                                              <w:marLeft w:val="0"/>
                                                                                                              <w:marRight w:val="0"/>
                                                                                                              <w:marTop w:val="0"/>
                                                                                                              <w:marBottom w:val="0"/>
                                                                                                              <w:divBdr>
                                                                                                                <w:top w:val="single" w:sz="2" w:space="2" w:color="D8D8D8"/>
                                                                                                                <w:left w:val="single" w:sz="2" w:space="0" w:color="D8D8D8"/>
                                                                                                                <w:bottom w:val="single" w:sz="2" w:space="2" w:color="D8D8D8"/>
                                                                                                                <w:right w:val="single" w:sz="2" w:space="0" w:color="D8D8D8"/>
                                                                                                              </w:divBdr>
                                                                                                              <w:divsChild>
                                                                                                                <w:div w:id="527722573">
                                                                                                                  <w:marLeft w:val="100"/>
                                                                                                                  <w:marRight w:val="100"/>
                                                                                                                  <w:marTop w:val="33"/>
                                                                                                                  <w:marBottom w:val="33"/>
                                                                                                                  <w:divBdr>
                                                                                                                    <w:top w:val="none" w:sz="0" w:space="0" w:color="auto"/>
                                                                                                                    <w:left w:val="none" w:sz="0" w:space="0" w:color="auto"/>
                                                                                                                    <w:bottom w:val="none" w:sz="0" w:space="0" w:color="auto"/>
                                                                                                                    <w:right w:val="none" w:sz="0" w:space="0" w:color="auto"/>
                                                                                                                  </w:divBdr>
                                                                                                                  <w:divsChild>
                                                                                                                    <w:div w:id="1821460693">
                                                                                                                      <w:marLeft w:val="0"/>
                                                                                                                      <w:marRight w:val="0"/>
                                                                                                                      <w:marTop w:val="0"/>
                                                                                                                      <w:marBottom w:val="0"/>
                                                                                                                      <w:divBdr>
                                                                                                                        <w:top w:val="single" w:sz="2" w:space="0" w:color="auto"/>
                                                                                                                        <w:left w:val="single" w:sz="2" w:space="0" w:color="auto"/>
                                                                                                                        <w:bottom w:val="single" w:sz="2" w:space="0" w:color="auto"/>
                                                                                                                        <w:right w:val="single" w:sz="2" w:space="0" w:color="auto"/>
                                                                                                                      </w:divBdr>
                                                                                                                      <w:divsChild>
                                                                                                                        <w:div w:id="1112938519">
                                                                                                                          <w:marLeft w:val="0"/>
                                                                                                                          <w:marRight w:val="0"/>
                                                                                                                          <w:marTop w:val="0"/>
                                                                                                                          <w:marBottom w:val="0"/>
                                                                                                                          <w:divBdr>
                                                                                                                            <w:top w:val="none" w:sz="0" w:space="0" w:color="auto"/>
                                                                                                                            <w:left w:val="none" w:sz="0" w:space="0" w:color="auto"/>
                                                                                                                            <w:bottom w:val="none" w:sz="0" w:space="0" w:color="auto"/>
                                                                                                                            <w:right w:val="none" w:sz="0" w:space="0" w:color="auto"/>
                                                                                                                          </w:divBdr>
                                                                                                                        </w:div>
                                                                                                                        <w:div w:id="1163813952">
                                                                                                                          <w:marLeft w:val="0"/>
                                                                                                                          <w:marRight w:val="0"/>
                                                                                                                          <w:marTop w:val="0"/>
                                                                                                                          <w:marBottom w:val="0"/>
                                                                                                                          <w:divBdr>
                                                                                                                            <w:top w:val="none" w:sz="0" w:space="0" w:color="auto"/>
                                                                                                                            <w:left w:val="none" w:sz="0" w:space="0" w:color="auto"/>
                                                                                                                            <w:bottom w:val="none" w:sz="0" w:space="0" w:color="auto"/>
                                                                                                                            <w:right w:val="none" w:sz="0" w:space="0" w:color="auto"/>
                                                                                                                          </w:divBdr>
                                                                                                                        </w:div>
                                                                                                                        <w:div w:id="325020319">
                                                                                                                          <w:marLeft w:val="0"/>
                                                                                                                          <w:marRight w:val="0"/>
                                                                                                                          <w:marTop w:val="0"/>
                                                                                                                          <w:marBottom w:val="0"/>
                                                                                                                          <w:divBdr>
                                                                                                                            <w:top w:val="none" w:sz="0" w:space="0" w:color="auto"/>
                                                                                                                            <w:left w:val="none" w:sz="0" w:space="0" w:color="auto"/>
                                                                                                                            <w:bottom w:val="none" w:sz="0" w:space="0" w:color="auto"/>
                                                                                                                            <w:right w:val="none" w:sz="0" w:space="0" w:color="auto"/>
                                                                                                                          </w:divBdr>
                                                                                                                        </w:div>
                                                                                                                        <w:div w:id="2021539993">
                                                                                                                          <w:marLeft w:val="0"/>
                                                                                                                          <w:marRight w:val="0"/>
                                                                                                                          <w:marTop w:val="0"/>
                                                                                                                          <w:marBottom w:val="0"/>
                                                                                                                          <w:divBdr>
                                                                                                                            <w:top w:val="none" w:sz="0" w:space="0" w:color="auto"/>
                                                                                                                            <w:left w:val="none" w:sz="0" w:space="0" w:color="auto"/>
                                                                                                                            <w:bottom w:val="none" w:sz="0" w:space="0" w:color="auto"/>
                                                                                                                            <w:right w:val="none" w:sz="0" w:space="0" w:color="auto"/>
                                                                                                                          </w:divBdr>
                                                                                                                        </w:div>
                                                                                                                        <w:div w:id="11134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88048">
      <w:bodyDiv w:val="1"/>
      <w:marLeft w:val="0"/>
      <w:marRight w:val="0"/>
      <w:marTop w:val="0"/>
      <w:marBottom w:val="0"/>
      <w:divBdr>
        <w:top w:val="none" w:sz="0" w:space="0" w:color="auto"/>
        <w:left w:val="none" w:sz="0" w:space="0" w:color="auto"/>
        <w:bottom w:val="none" w:sz="0" w:space="0" w:color="auto"/>
        <w:right w:val="none" w:sz="0" w:space="0" w:color="auto"/>
      </w:divBdr>
    </w:div>
    <w:div w:id="228735777">
      <w:bodyDiv w:val="1"/>
      <w:marLeft w:val="0"/>
      <w:marRight w:val="0"/>
      <w:marTop w:val="0"/>
      <w:marBottom w:val="0"/>
      <w:divBdr>
        <w:top w:val="none" w:sz="0" w:space="0" w:color="auto"/>
        <w:left w:val="none" w:sz="0" w:space="0" w:color="auto"/>
        <w:bottom w:val="none" w:sz="0" w:space="0" w:color="auto"/>
        <w:right w:val="none" w:sz="0" w:space="0" w:color="auto"/>
      </w:divBdr>
    </w:div>
    <w:div w:id="371730472">
      <w:bodyDiv w:val="1"/>
      <w:marLeft w:val="0"/>
      <w:marRight w:val="0"/>
      <w:marTop w:val="0"/>
      <w:marBottom w:val="0"/>
      <w:divBdr>
        <w:top w:val="none" w:sz="0" w:space="0" w:color="auto"/>
        <w:left w:val="none" w:sz="0" w:space="0" w:color="auto"/>
        <w:bottom w:val="none" w:sz="0" w:space="0" w:color="auto"/>
        <w:right w:val="none" w:sz="0" w:space="0" w:color="auto"/>
      </w:divBdr>
    </w:div>
    <w:div w:id="439372058">
      <w:bodyDiv w:val="1"/>
      <w:marLeft w:val="0"/>
      <w:marRight w:val="0"/>
      <w:marTop w:val="0"/>
      <w:marBottom w:val="0"/>
      <w:divBdr>
        <w:top w:val="none" w:sz="0" w:space="0" w:color="auto"/>
        <w:left w:val="none" w:sz="0" w:space="0" w:color="auto"/>
        <w:bottom w:val="none" w:sz="0" w:space="0" w:color="auto"/>
        <w:right w:val="none" w:sz="0" w:space="0" w:color="auto"/>
      </w:divBdr>
    </w:div>
    <w:div w:id="613756642">
      <w:bodyDiv w:val="1"/>
      <w:marLeft w:val="0"/>
      <w:marRight w:val="0"/>
      <w:marTop w:val="0"/>
      <w:marBottom w:val="0"/>
      <w:divBdr>
        <w:top w:val="none" w:sz="0" w:space="0" w:color="auto"/>
        <w:left w:val="none" w:sz="0" w:space="0" w:color="auto"/>
        <w:bottom w:val="none" w:sz="0" w:space="0" w:color="auto"/>
        <w:right w:val="none" w:sz="0" w:space="0" w:color="auto"/>
      </w:divBdr>
      <w:divsChild>
        <w:div w:id="1370297146">
          <w:marLeft w:val="0"/>
          <w:marRight w:val="0"/>
          <w:marTop w:val="0"/>
          <w:marBottom w:val="0"/>
          <w:divBdr>
            <w:top w:val="none" w:sz="0" w:space="0" w:color="auto"/>
            <w:left w:val="none" w:sz="0" w:space="0" w:color="auto"/>
            <w:bottom w:val="none" w:sz="0" w:space="0" w:color="auto"/>
            <w:right w:val="none" w:sz="0" w:space="0" w:color="auto"/>
          </w:divBdr>
          <w:divsChild>
            <w:div w:id="449932655">
              <w:marLeft w:val="0"/>
              <w:marRight w:val="0"/>
              <w:marTop w:val="100"/>
              <w:marBottom w:val="100"/>
              <w:divBdr>
                <w:top w:val="none" w:sz="0" w:space="0" w:color="auto"/>
                <w:left w:val="none" w:sz="0" w:space="0" w:color="auto"/>
                <w:bottom w:val="none" w:sz="0" w:space="0" w:color="auto"/>
                <w:right w:val="none" w:sz="0" w:space="0" w:color="auto"/>
              </w:divBdr>
              <w:divsChild>
                <w:div w:id="279457843">
                  <w:marLeft w:val="0"/>
                  <w:marRight w:val="0"/>
                  <w:marTop w:val="0"/>
                  <w:marBottom w:val="0"/>
                  <w:divBdr>
                    <w:top w:val="none" w:sz="0" w:space="0" w:color="auto"/>
                    <w:left w:val="none" w:sz="0" w:space="0" w:color="auto"/>
                    <w:bottom w:val="none" w:sz="0" w:space="0" w:color="auto"/>
                    <w:right w:val="none" w:sz="0" w:space="0" w:color="auto"/>
                  </w:divBdr>
                  <w:divsChild>
                    <w:div w:id="1242831010">
                      <w:marLeft w:val="0"/>
                      <w:marRight w:val="0"/>
                      <w:marTop w:val="0"/>
                      <w:marBottom w:val="0"/>
                      <w:divBdr>
                        <w:top w:val="none" w:sz="0" w:space="0" w:color="auto"/>
                        <w:left w:val="none" w:sz="0" w:space="0" w:color="auto"/>
                        <w:bottom w:val="none" w:sz="0" w:space="0" w:color="auto"/>
                        <w:right w:val="none" w:sz="0" w:space="0" w:color="auto"/>
                      </w:divBdr>
                      <w:divsChild>
                        <w:div w:id="1583874520">
                          <w:marLeft w:val="0"/>
                          <w:marRight w:val="0"/>
                          <w:marTop w:val="0"/>
                          <w:marBottom w:val="0"/>
                          <w:divBdr>
                            <w:top w:val="none" w:sz="0" w:space="0" w:color="auto"/>
                            <w:left w:val="none" w:sz="0" w:space="0" w:color="auto"/>
                            <w:bottom w:val="none" w:sz="0" w:space="0" w:color="auto"/>
                            <w:right w:val="none" w:sz="0" w:space="0" w:color="auto"/>
                          </w:divBdr>
                          <w:divsChild>
                            <w:div w:id="1286042398">
                              <w:marLeft w:val="0"/>
                              <w:marRight w:val="0"/>
                              <w:marTop w:val="0"/>
                              <w:marBottom w:val="0"/>
                              <w:divBdr>
                                <w:top w:val="none" w:sz="0" w:space="0" w:color="auto"/>
                                <w:left w:val="none" w:sz="0" w:space="0" w:color="auto"/>
                                <w:bottom w:val="none" w:sz="0" w:space="0" w:color="auto"/>
                                <w:right w:val="none" w:sz="0" w:space="0" w:color="auto"/>
                              </w:divBdr>
                              <w:divsChild>
                                <w:div w:id="343360388">
                                  <w:marLeft w:val="0"/>
                                  <w:marRight w:val="0"/>
                                  <w:marTop w:val="0"/>
                                  <w:marBottom w:val="0"/>
                                  <w:divBdr>
                                    <w:top w:val="none" w:sz="0" w:space="0" w:color="auto"/>
                                    <w:left w:val="none" w:sz="0" w:space="0" w:color="auto"/>
                                    <w:bottom w:val="none" w:sz="0" w:space="0" w:color="auto"/>
                                    <w:right w:val="none" w:sz="0" w:space="0" w:color="auto"/>
                                  </w:divBdr>
                                  <w:divsChild>
                                    <w:div w:id="1191801801">
                                      <w:marLeft w:val="0"/>
                                      <w:marRight w:val="0"/>
                                      <w:marTop w:val="0"/>
                                      <w:marBottom w:val="0"/>
                                      <w:divBdr>
                                        <w:top w:val="none" w:sz="0" w:space="0" w:color="auto"/>
                                        <w:left w:val="none" w:sz="0" w:space="0" w:color="auto"/>
                                        <w:bottom w:val="none" w:sz="0" w:space="0" w:color="auto"/>
                                        <w:right w:val="none" w:sz="0" w:space="0" w:color="auto"/>
                                      </w:divBdr>
                                      <w:divsChild>
                                        <w:div w:id="11392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5630">
      <w:bodyDiv w:val="1"/>
      <w:marLeft w:val="0"/>
      <w:marRight w:val="0"/>
      <w:marTop w:val="0"/>
      <w:marBottom w:val="0"/>
      <w:divBdr>
        <w:top w:val="none" w:sz="0" w:space="0" w:color="auto"/>
        <w:left w:val="none" w:sz="0" w:space="0" w:color="auto"/>
        <w:bottom w:val="none" w:sz="0" w:space="0" w:color="auto"/>
        <w:right w:val="none" w:sz="0" w:space="0" w:color="auto"/>
      </w:divBdr>
    </w:div>
    <w:div w:id="719552427">
      <w:bodyDiv w:val="1"/>
      <w:marLeft w:val="0"/>
      <w:marRight w:val="0"/>
      <w:marTop w:val="0"/>
      <w:marBottom w:val="0"/>
      <w:divBdr>
        <w:top w:val="none" w:sz="0" w:space="0" w:color="auto"/>
        <w:left w:val="none" w:sz="0" w:space="0" w:color="auto"/>
        <w:bottom w:val="none" w:sz="0" w:space="0" w:color="auto"/>
        <w:right w:val="none" w:sz="0" w:space="0" w:color="auto"/>
      </w:divBdr>
    </w:div>
    <w:div w:id="865212772">
      <w:bodyDiv w:val="1"/>
      <w:marLeft w:val="0"/>
      <w:marRight w:val="0"/>
      <w:marTop w:val="0"/>
      <w:marBottom w:val="0"/>
      <w:divBdr>
        <w:top w:val="none" w:sz="0" w:space="0" w:color="auto"/>
        <w:left w:val="none" w:sz="0" w:space="0" w:color="auto"/>
        <w:bottom w:val="none" w:sz="0" w:space="0" w:color="auto"/>
        <w:right w:val="none" w:sz="0" w:space="0" w:color="auto"/>
      </w:divBdr>
    </w:div>
    <w:div w:id="952639946">
      <w:bodyDiv w:val="1"/>
      <w:marLeft w:val="0"/>
      <w:marRight w:val="0"/>
      <w:marTop w:val="0"/>
      <w:marBottom w:val="0"/>
      <w:divBdr>
        <w:top w:val="none" w:sz="0" w:space="0" w:color="auto"/>
        <w:left w:val="none" w:sz="0" w:space="0" w:color="auto"/>
        <w:bottom w:val="none" w:sz="0" w:space="0" w:color="auto"/>
        <w:right w:val="none" w:sz="0" w:space="0" w:color="auto"/>
      </w:divBdr>
    </w:div>
    <w:div w:id="1052735861">
      <w:bodyDiv w:val="1"/>
      <w:marLeft w:val="0"/>
      <w:marRight w:val="0"/>
      <w:marTop w:val="0"/>
      <w:marBottom w:val="0"/>
      <w:divBdr>
        <w:top w:val="none" w:sz="0" w:space="0" w:color="auto"/>
        <w:left w:val="none" w:sz="0" w:space="0" w:color="auto"/>
        <w:bottom w:val="none" w:sz="0" w:space="0" w:color="auto"/>
        <w:right w:val="none" w:sz="0" w:space="0" w:color="auto"/>
      </w:divBdr>
    </w:div>
    <w:div w:id="1061949528">
      <w:bodyDiv w:val="1"/>
      <w:marLeft w:val="0"/>
      <w:marRight w:val="0"/>
      <w:marTop w:val="0"/>
      <w:marBottom w:val="0"/>
      <w:divBdr>
        <w:top w:val="none" w:sz="0" w:space="0" w:color="auto"/>
        <w:left w:val="none" w:sz="0" w:space="0" w:color="auto"/>
        <w:bottom w:val="none" w:sz="0" w:space="0" w:color="auto"/>
        <w:right w:val="none" w:sz="0" w:space="0" w:color="auto"/>
      </w:divBdr>
    </w:div>
    <w:div w:id="1153182675">
      <w:bodyDiv w:val="1"/>
      <w:marLeft w:val="0"/>
      <w:marRight w:val="0"/>
      <w:marTop w:val="0"/>
      <w:marBottom w:val="0"/>
      <w:divBdr>
        <w:top w:val="none" w:sz="0" w:space="0" w:color="auto"/>
        <w:left w:val="none" w:sz="0" w:space="0" w:color="auto"/>
        <w:bottom w:val="none" w:sz="0" w:space="0" w:color="auto"/>
        <w:right w:val="none" w:sz="0" w:space="0" w:color="auto"/>
      </w:divBdr>
    </w:div>
    <w:div w:id="1231621503">
      <w:bodyDiv w:val="1"/>
      <w:marLeft w:val="0"/>
      <w:marRight w:val="0"/>
      <w:marTop w:val="0"/>
      <w:marBottom w:val="0"/>
      <w:divBdr>
        <w:top w:val="none" w:sz="0" w:space="0" w:color="auto"/>
        <w:left w:val="none" w:sz="0" w:space="0" w:color="auto"/>
        <w:bottom w:val="none" w:sz="0" w:space="0" w:color="auto"/>
        <w:right w:val="none" w:sz="0" w:space="0" w:color="auto"/>
      </w:divBdr>
    </w:div>
    <w:div w:id="1336882771">
      <w:bodyDiv w:val="1"/>
      <w:marLeft w:val="0"/>
      <w:marRight w:val="0"/>
      <w:marTop w:val="0"/>
      <w:marBottom w:val="0"/>
      <w:divBdr>
        <w:top w:val="none" w:sz="0" w:space="0" w:color="auto"/>
        <w:left w:val="none" w:sz="0" w:space="0" w:color="auto"/>
        <w:bottom w:val="none" w:sz="0" w:space="0" w:color="auto"/>
        <w:right w:val="none" w:sz="0" w:space="0" w:color="auto"/>
      </w:divBdr>
      <w:divsChild>
        <w:div w:id="439187576">
          <w:marLeft w:val="0"/>
          <w:marRight w:val="0"/>
          <w:marTop w:val="0"/>
          <w:marBottom w:val="0"/>
          <w:divBdr>
            <w:top w:val="none" w:sz="0" w:space="0" w:color="auto"/>
            <w:left w:val="none" w:sz="0" w:space="0" w:color="auto"/>
            <w:bottom w:val="none" w:sz="0" w:space="0" w:color="auto"/>
            <w:right w:val="none" w:sz="0" w:space="0" w:color="auto"/>
          </w:divBdr>
          <w:divsChild>
            <w:div w:id="408232142">
              <w:marLeft w:val="0"/>
              <w:marRight w:val="0"/>
              <w:marTop w:val="100"/>
              <w:marBottom w:val="100"/>
              <w:divBdr>
                <w:top w:val="none" w:sz="0" w:space="0" w:color="auto"/>
                <w:left w:val="none" w:sz="0" w:space="0" w:color="auto"/>
                <w:bottom w:val="none" w:sz="0" w:space="0" w:color="auto"/>
                <w:right w:val="none" w:sz="0" w:space="0" w:color="auto"/>
              </w:divBdr>
              <w:divsChild>
                <w:div w:id="468937192">
                  <w:marLeft w:val="0"/>
                  <w:marRight w:val="0"/>
                  <w:marTop w:val="0"/>
                  <w:marBottom w:val="0"/>
                  <w:divBdr>
                    <w:top w:val="none" w:sz="0" w:space="0" w:color="auto"/>
                    <w:left w:val="none" w:sz="0" w:space="0" w:color="auto"/>
                    <w:bottom w:val="none" w:sz="0" w:space="0" w:color="auto"/>
                    <w:right w:val="none" w:sz="0" w:space="0" w:color="auto"/>
                  </w:divBdr>
                  <w:divsChild>
                    <w:div w:id="883516240">
                      <w:marLeft w:val="0"/>
                      <w:marRight w:val="0"/>
                      <w:marTop w:val="0"/>
                      <w:marBottom w:val="0"/>
                      <w:divBdr>
                        <w:top w:val="none" w:sz="0" w:space="0" w:color="auto"/>
                        <w:left w:val="none" w:sz="0" w:space="0" w:color="auto"/>
                        <w:bottom w:val="none" w:sz="0" w:space="0" w:color="auto"/>
                        <w:right w:val="none" w:sz="0" w:space="0" w:color="auto"/>
                      </w:divBdr>
                      <w:divsChild>
                        <w:div w:id="1624532437">
                          <w:marLeft w:val="0"/>
                          <w:marRight w:val="0"/>
                          <w:marTop w:val="0"/>
                          <w:marBottom w:val="0"/>
                          <w:divBdr>
                            <w:top w:val="none" w:sz="0" w:space="0" w:color="auto"/>
                            <w:left w:val="none" w:sz="0" w:space="0" w:color="auto"/>
                            <w:bottom w:val="none" w:sz="0" w:space="0" w:color="auto"/>
                            <w:right w:val="none" w:sz="0" w:space="0" w:color="auto"/>
                          </w:divBdr>
                          <w:divsChild>
                            <w:div w:id="258873758">
                              <w:marLeft w:val="0"/>
                              <w:marRight w:val="0"/>
                              <w:marTop w:val="0"/>
                              <w:marBottom w:val="0"/>
                              <w:divBdr>
                                <w:top w:val="none" w:sz="0" w:space="0" w:color="auto"/>
                                <w:left w:val="none" w:sz="0" w:space="0" w:color="auto"/>
                                <w:bottom w:val="none" w:sz="0" w:space="0" w:color="auto"/>
                                <w:right w:val="none" w:sz="0" w:space="0" w:color="auto"/>
                              </w:divBdr>
                              <w:divsChild>
                                <w:div w:id="1582256124">
                                  <w:marLeft w:val="0"/>
                                  <w:marRight w:val="0"/>
                                  <w:marTop w:val="0"/>
                                  <w:marBottom w:val="0"/>
                                  <w:divBdr>
                                    <w:top w:val="none" w:sz="0" w:space="0" w:color="auto"/>
                                    <w:left w:val="none" w:sz="0" w:space="0" w:color="auto"/>
                                    <w:bottom w:val="none" w:sz="0" w:space="0" w:color="auto"/>
                                    <w:right w:val="none" w:sz="0" w:space="0" w:color="auto"/>
                                  </w:divBdr>
                                  <w:divsChild>
                                    <w:div w:id="29574481">
                                      <w:marLeft w:val="0"/>
                                      <w:marRight w:val="0"/>
                                      <w:marTop w:val="0"/>
                                      <w:marBottom w:val="0"/>
                                      <w:divBdr>
                                        <w:top w:val="none" w:sz="0" w:space="0" w:color="auto"/>
                                        <w:left w:val="none" w:sz="0" w:space="0" w:color="auto"/>
                                        <w:bottom w:val="none" w:sz="0" w:space="0" w:color="auto"/>
                                        <w:right w:val="none" w:sz="0" w:space="0" w:color="auto"/>
                                      </w:divBdr>
                                      <w:divsChild>
                                        <w:div w:id="15575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823839">
      <w:bodyDiv w:val="1"/>
      <w:marLeft w:val="0"/>
      <w:marRight w:val="0"/>
      <w:marTop w:val="0"/>
      <w:marBottom w:val="0"/>
      <w:divBdr>
        <w:top w:val="none" w:sz="0" w:space="0" w:color="auto"/>
        <w:left w:val="none" w:sz="0" w:space="0" w:color="auto"/>
        <w:bottom w:val="none" w:sz="0" w:space="0" w:color="auto"/>
        <w:right w:val="none" w:sz="0" w:space="0" w:color="auto"/>
      </w:divBdr>
    </w:div>
    <w:div w:id="1396468455">
      <w:bodyDiv w:val="1"/>
      <w:marLeft w:val="0"/>
      <w:marRight w:val="0"/>
      <w:marTop w:val="0"/>
      <w:marBottom w:val="0"/>
      <w:divBdr>
        <w:top w:val="none" w:sz="0" w:space="0" w:color="auto"/>
        <w:left w:val="none" w:sz="0" w:space="0" w:color="auto"/>
        <w:bottom w:val="none" w:sz="0" w:space="0" w:color="auto"/>
        <w:right w:val="none" w:sz="0" w:space="0" w:color="auto"/>
      </w:divBdr>
    </w:div>
    <w:div w:id="1478720017">
      <w:bodyDiv w:val="1"/>
      <w:marLeft w:val="0"/>
      <w:marRight w:val="0"/>
      <w:marTop w:val="0"/>
      <w:marBottom w:val="0"/>
      <w:divBdr>
        <w:top w:val="none" w:sz="0" w:space="0" w:color="auto"/>
        <w:left w:val="none" w:sz="0" w:space="0" w:color="auto"/>
        <w:bottom w:val="none" w:sz="0" w:space="0" w:color="auto"/>
        <w:right w:val="none" w:sz="0" w:space="0" w:color="auto"/>
      </w:divBdr>
    </w:div>
    <w:div w:id="1659505061">
      <w:bodyDiv w:val="1"/>
      <w:marLeft w:val="0"/>
      <w:marRight w:val="0"/>
      <w:marTop w:val="0"/>
      <w:marBottom w:val="0"/>
      <w:divBdr>
        <w:top w:val="none" w:sz="0" w:space="0" w:color="auto"/>
        <w:left w:val="none" w:sz="0" w:space="0" w:color="auto"/>
        <w:bottom w:val="none" w:sz="0" w:space="0" w:color="auto"/>
        <w:right w:val="none" w:sz="0" w:space="0" w:color="auto"/>
      </w:divBdr>
      <w:divsChild>
        <w:div w:id="62456598">
          <w:marLeft w:val="0"/>
          <w:marRight w:val="0"/>
          <w:marTop w:val="0"/>
          <w:marBottom w:val="0"/>
          <w:divBdr>
            <w:top w:val="none" w:sz="0" w:space="0" w:color="auto"/>
            <w:left w:val="none" w:sz="0" w:space="0" w:color="auto"/>
            <w:bottom w:val="none" w:sz="0" w:space="0" w:color="auto"/>
            <w:right w:val="none" w:sz="0" w:space="0" w:color="auto"/>
          </w:divBdr>
          <w:divsChild>
            <w:div w:id="7417680">
              <w:marLeft w:val="0"/>
              <w:marRight w:val="0"/>
              <w:marTop w:val="0"/>
              <w:marBottom w:val="0"/>
              <w:divBdr>
                <w:top w:val="none" w:sz="0" w:space="0" w:color="auto"/>
                <w:left w:val="none" w:sz="0" w:space="0" w:color="auto"/>
                <w:bottom w:val="none" w:sz="0" w:space="0" w:color="auto"/>
                <w:right w:val="none" w:sz="0" w:space="0" w:color="auto"/>
              </w:divBdr>
            </w:div>
            <w:div w:id="17243755">
              <w:marLeft w:val="0"/>
              <w:marRight w:val="0"/>
              <w:marTop w:val="0"/>
              <w:marBottom w:val="0"/>
              <w:divBdr>
                <w:top w:val="none" w:sz="0" w:space="0" w:color="auto"/>
                <w:left w:val="none" w:sz="0" w:space="0" w:color="auto"/>
                <w:bottom w:val="none" w:sz="0" w:space="0" w:color="auto"/>
                <w:right w:val="none" w:sz="0" w:space="0" w:color="auto"/>
              </w:divBdr>
            </w:div>
            <w:div w:id="28647708">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69810336">
              <w:marLeft w:val="0"/>
              <w:marRight w:val="0"/>
              <w:marTop w:val="0"/>
              <w:marBottom w:val="0"/>
              <w:divBdr>
                <w:top w:val="none" w:sz="0" w:space="0" w:color="auto"/>
                <w:left w:val="none" w:sz="0" w:space="0" w:color="auto"/>
                <w:bottom w:val="none" w:sz="0" w:space="0" w:color="auto"/>
                <w:right w:val="none" w:sz="0" w:space="0" w:color="auto"/>
              </w:divBdr>
            </w:div>
            <w:div w:id="101002775">
              <w:marLeft w:val="0"/>
              <w:marRight w:val="0"/>
              <w:marTop w:val="0"/>
              <w:marBottom w:val="0"/>
              <w:divBdr>
                <w:top w:val="none" w:sz="0" w:space="0" w:color="auto"/>
                <w:left w:val="none" w:sz="0" w:space="0" w:color="auto"/>
                <w:bottom w:val="none" w:sz="0" w:space="0" w:color="auto"/>
                <w:right w:val="none" w:sz="0" w:space="0" w:color="auto"/>
              </w:divBdr>
            </w:div>
            <w:div w:id="145098008">
              <w:marLeft w:val="0"/>
              <w:marRight w:val="0"/>
              <w:marTop w:val="0"/>
              <w:marBottom w:val="0"/>
              <w:divBdr>
                <w:top w:val="none" w:sz="0" w:space="0" w:color="auto"/>
                <w:left w:val="none" w:sz="0" w:space="0" w:color="auto"/>
                <w:bottom w:val="none" w:sz="0" w:space="0" w:color="auto"/>
                <w:right w:val="none" w:sz="0" w:space="0" w:color="auto"/>
              </w:divBdr>
            </w:div>
            <w:div w:id="163475792">
              <w:marLeft w:val="0"/>
              <w:marRight w:val="0"/>
              <w:marTop w:val="0"/>
              <w:marBottom w:val="0"/>
              <w:divBdr>
                <w:top w:val="none" w:sz="0" w:space="0" w:color="auto"/>
                <w:left w:val="none" w:sz="0" w:space="0" w:color="auto"/>
                <w:bottom w:val="none" w:sz="0" w:space="0" w:color="auto"/>
                <w:right w:val="none" w:sz="0" w:space="0" w:color="auto"/>
              </w:divBdr>
            </w:div>
            <w:div w:id="282152620">
              <w:marLeft w:val="0"/>
              <w:marRight w:val="0"/>
              <w:marTop w:val="0"/>
              <w:marBottom w:val="0"/>
              <w:divBdr>
                <w:top w:val="none" w:sz="0" w:space="0" w:color="auto"/>
                <w:left w:val="none" w:sz="0" w:space="0" w:color="auto"/>
                <w:bottom w:val="none" w:sz="0" w:space="0" w:color="auto"/>
                <w:right w:val="none" w:sz="0" w:space="0" w:color="auto"/>
              </w:divBdr>
            </w:div>
            <w:div w:id="306474006">
              <w:marLeft w:val="0"/>
              <w:marRight w:val="0"/>
              <w:marTop w:val="0"/>
              <w:marBottom w:val="0"/>
              <w:divBdr>
                <w:top w:val="none" w:sz="0" w:space="0" w:color="auto"/>
                <w:left w:val="none" w:sz="0" w:space="0" w:color="auto"/>
                <w:bottom w:val="none" w:sz="0" w:space="0" w:color="auto"/>
                <w:right w:val="none" w:sz="0" w:space="0" w:color="auto"/>
              </w:divBdr>
            </w:div>
            <w:div w:id="320306272">
              <w:marLeft w:val="0"/>
              <w:marRight w:val="0"/>
              <w:marTop w:val="0"/>
              <w:marBottom w:val="0"/>
              <w:divBdr>
                <w:top w:val="none" w:sz="0" w:space="0" w:color="auto"/>
                <w:left w:val="none" w:sz="0" w:space="0" w:color="auto"/>
                <w:bottom w:val="none" w:sz="0" w:space="0" w:color="auto"/>
                <w:right w:val="none" w:sz="0" w:space="0" w:color="auto"/>
              </w:divBdr>
            </w:div>
            <w:div w:id="405617376">
              <w:marLeft w:val="0"/>
              <w:marRight w:val="0"/>
              <w:marTop w:val="0"/>
              <w:marBottom w:val="0"/>
              <w:divBdr>
                <w:top w:val="none" w:sz="0" w:space="0" w:color="auto"/>
                <w:left w:val="none" w:sz="0" w:space="0" w:color="auto"/>
                <w:bottom w:val="none" w:sz="0" w:space="0" w:color="auto"/>
                <w:right w:val="none" w:sz="0" w:space="0" w:color="auto"/>
              </w:divBdr>
            </w:div>
            <w:div w:id="415515355">
              <w:marLeft w:val="0"/>
              <w:marRight w:val="0"/>
              <w:marTop w:val="0"/>
              <w:marBottom w:val="0"/>
              <w:divBdr>
                <w:top w:val="none" w:sz="0" w:space="0" w:color="auto"/>
                <w:left w:val="none" w:sz="0" w:space="0" w:color="auto"/>
                <w:bottom w:val="none" w:sz="0" w:space="0" w:color="auto"/>
                <w:right w:val="none" w:sz="0" w:space="0" w:color="auto"/>
              </w:divBdr>
            </w:div>
            <w:div w:id="437405701">
              <w:marLeft w:val="0"/>
              <w:marRight w:val="0"/>
              <w:marTop w:val="0"/>
              <w:marBottom w:val="0"/>
              <w:divBdr>
                <w:top w:val="none" w:sz="0" w:space="0" w:color="auto"/>
                <w:left w:val="none" w:sz="0" w:space="0" w:color="auto"/>
                <w:bottom w:val="none" w:sz="0" w:space="0" w:color="auto"/>
                <w:right w:val="none" w:sz="0" w:space="0" w:color="auto"/>
              </w:divBdr>
            </w:div>
            <w:div w:id="621958883">
              <w:marLeft w:val="0"/>
              <w:marRight w:val="0"/>
              <w:marTop w:val="0"/>
              <w:marBottom w:val="0"/>
              <w:divBdr>
                <w:top w:val="none" w:sz="0" w:space="0" w:color="auto"/>
                <w:left w:val="none" w:sz="0" w:space="0" w:color="auto"/>
                <w:bottom w:val="none" w:sz="0" w:space="0" w:color="auto"/>
                <w:right w:val="none" w:sz="0" w:space="0" w:color="auto"/>
              </w:divBdr>
            </w:div>
            <w:div w:id="652607558">
              <w:marLeft w:val="0"/>
              <w:marRight w:val="0"/>
              <w:marTop w:val="0"/>
              <w:marBottom w:val="0"/>
              <w:divBdr>
                <w:top w:val="none" w:sz="0" w:space="0" w:color="auto"/>
                <w:left w:val="none" w:sz="0" w:space="0" w:color="auto"/>
                <w:bottom w:val="none" w:sz="0" w:space="0" w:color="auto"/>
                <w:right w:val="none" w:sz="0" w:space="0" w:color="auto"/>
              </w:divBdr>
            </w:div>
            <w:div w:id="657657219">
              <w:marLeft w:val="0"/>
              <w:marRight w:val="0"/>
              <w:marTop w:val="0"/>
              <w:marBottom w:val="0"/>
              <w:divBdr>
                <w:top w:val="none" w:sz="0" w:space="0" w:color="auto"/>
                <w:left w:val="none" w:sz="0" w:space="0" w:color="auto"/>
                <w:bottom w:val="none" w:sz="0" w:space="0" w:color="auto"/>
                <w:right w:val="none" w:sz="0" w:space="0" w:color="auto"/>
              </w:divBdr>
            </w:div>
            <w:div w:id="667516763">
              <w:marLeft w:val="0"/>
              <w:marRight w:val="0"/>
              <w:marTop w:val="0"/>
              <w:marBottom w:val="0"/>
              <w:divBdr>
                <w:top w:val="none" w:sz="0" w:space="0" w:color="auto"/>
                <w:left w:val="none" w:sz="0" w:space="0" w:color="auto"/>
                <w:bottom w:val="none" w:sz="0" w:space="0" w:color="auto"/>
                <w:right w:val="none" w:sz="0" w:space="0" w:color="auto"/>
              </w:divBdr>
            </w:div>
            <w:div w:id="739329289">
              <w:marLeft w:val="0"/>
              <w:marRight w:val="0"/>
              <w:marTop w:val="0"/>
              <w:marBottom w:val="0"/>
              <w:divBdr>
                <w:top w:val="none" w:sz="0" w:space="0" w:color="auto"/>
                <w:left w:val="none" w:sz="0" w:space="0" w:color="auto"/>
                <w:bottom w:val="none" w:sz="0" w:space="0" w:color="auto"/>
                <w:right w:val="none" w:sz="0" w:space="0" w:color="auto"/>
              </w:divBdr>
            </w:div>
            <w:div w:id="761146346">
              <w:marLeft w:val="0"/>
              <w:marRight w:val="0"/>
              <w:marTop w:val="0"/>
              <w:marBottom w:val="0"/>
              <w:divBdr>
                <w:top w:val="none" w:sz="0" w:space="0" w:color="auto"/>
                <w:left w:val="none" w:sz="0" w:space="0" w:color="auto"/>
                <w:bottom w:val="none" w:sz="0" w:space="0" w:color="auto"/>
                <w:right w:val="none" w:sz="0" w:space="0" w:color="auto"/>
              </w:divBdr>
            </w:div>
            <w:div w:id="763651484">
              <w:marLeft w:val="0"/>
              <w:marRight w:val="0"/>
              <w:marTop w:val="0"/>
              <w:marBottom w:val="0"/>
              <w:divBdr>
                <w:top w:val="none" w:sz="0" w:space="0" w:color="auto"/>
                <w:left w:val="none" w:sz="0" w:space="0" w:color="auto"/>
                <w:bottom w:val="none" w:sz="0" w:space="0" w:color="auto"/>
                <w:right w:val="none" w:sz="0" w:space="0" w:color="auto"/>
              </w:divBdr>
            </w:div>
            <w:div w:id="833495973">
              <w:marLeft w:val="0"/>
              <w:marRight w:val="0"/>
              <w:marTop w:val="0"/>
              <w:marBottom w:val="0"/>
              <w:divBdr>
                <w:top w:val="none" w:sz="0" w:space="0" w:color="auto"/>
                <w:left w:val="none" w:sz="0" w:space="0" w:color="auto"/>
                <w:bottom w:val="none" w:sz="0" w:space="0" w:color="auto"/>
                <w:right w:val="none" w:sz="0" w:space="0" w:color="auto"/>
              </w:divBdr>
            </w:div>
            <w:div w:id="849366666">
              <w:marLeft w:val="0"/>
              <w:marRight w:val="0"/>
              <w:marTop w:val="0"/>
              <w:marBottom w:val="0"/>
              <w:divBdr>
                <w:top w:val="none" w:sz="0" w:space="0" w:color="auto"/>
                <w:left w:val="none" w:sz="0" w:space="0" w:color="auto"/>
                <w:bottom w:val="none" w:sz="0" w:space="0" w:color="auto"/>
                <w:right w:val="none" w:sz="0" w:space="0" w:color="auto"/>
              </w:divBdr>
            </w:div>
            <w:div w:id="905188539">
              <w:marLeft w:val="0"/>
              <w:marRight w:val="0"/>
              <w:marTop w:val="0"/>
              <w:marBottom w:val="0"/>
              <w:divBdr>
                <w:top w:val="none" w:sz="0" w:space="0" w:color="auto"/>
                <w:left w:val="none" w:sz="0" w:space="0" w:color="auto"/>
                <w:bottom w:val="none" w:sz="0" w:space="0" w:color="auto"/>
                <w:right w:val="none" w:sz="0" w:space="0" w:color="auto"/>
              </w:divBdr>
            </w:div>
            <w:div w:id="947471891">
              <w:marLeft w:val="0"/>
              <w:marRight w:val="0"/>
              <w:marTop w:val="0"/>
              <w:marBottom w:val="0"/>
              <w:divBdr>
                <w:top w:val="none" w:sz="0" w:space="0" w:color="auto"/>
                <w:left w:val="none" w:sz="0" w:space="0" w:color="auto"/>
                <w:bottom w:val="none" w:sz="0" w:space="0" w:color="auto"/>
                <w:right w:val="none" w:sz="0" w:space="0" w:color="auto"/>
              </w:divBdr>
            </w:div>
            <w:div w:id="957683857">
              <w:marLeft w:val="0"/>
              <w:marRight w:val="0"/>
              <w:marTop w:val="0"/>
              <w:marBottom w:val="0"/>
              <w:divBdr>
                <w:top w:val="none" w:sz="0" w:space="0" w:color="auto"/>
                <w:left w:val="none" w:sz="0" w:space="0" w:color="auto"/>
                <w:bottom w:val="none" w:sz="0" w:space="0" w:color="auto"/>
                <w:right w:val="none" w:sz="0" w:space="0" w:color="auto"/>
              </w:divBdr>
            </w:div>
            <w:div w:id="1011686065">
              <w:marLeft w:val="0"/>
              <w:marRight w:val="0"/>
              <w:marTop w:val="0"/>
              <w:marBottom w:val="0"/>
              <w:divBdr>
                <w:top w:val="none" w:sz="0" w:space="0" w:color="auto"/>
                <w:left w:val="none" w:sz="0" w:space="0" w:color="auto"/>
                <w:bottom w:val="none" w:sz="0" w:space="0" w:color="auto"/>
                <w:right w:val="none" w:sz="0" w:space="0" w:color="auto"/>
              </w:divBdr>
            </w:div>
            <w:div w:id="1075780744">
              <w:marLeft w:val="0"/>
              <w:marRight w:val="0"/>
              <w:marTop w:val="0"/>
              <w:marBottom w:val="0"/>
              <w:divBdr>
                <w:top w:val="none" w:sz="0" w:space="0" w:color="auto"/>
                <w:left w:val="none" w:sz="0" w:space="0" w:color="auto"/>
                <w:bottom w:val="none" w:sz="0" w:space="0" w:color="auto"/>
                <w:right w:val="none" w:sz="0" w:space="0" w:color="auto"/>
              </w:divBdr>
            </w:div>
            <w:div w:id="1092626892">
              <w:marLeft w:val="0"/>
              <w:marRight w:val="0"/>
              <w:marTop w:val="0"/>
              <w:marBottom w:val="0"/>
              <w:divBdr>
                <w:top w:val="none" w:sz="0" w:space="0" w:color="auto"/>
                <w:left w:val="none" w:sz="0" w:space="0" w:color="auto"/>
                <w:bottom w:val="none" w:sz="0" w:space="0" w:color="auto"/>
                <w:right w:val="none" w:sz="0" w:space="0" w:color="auto"/>
              </w:divBdr>
            </w:div>
            <w:div w:id="1125999251">
              <w:marLeft w:val="0"/>
              <w:marRight w:val="0"/>
              <w:marTop w:val="0"/>
              <w:marBottom w:val="0"/>
              <w:divBdr>
                <w:top w:val="none" w:sz="0" w:space="0" w:color="auto"/>
                <w:left w:val="none" w:sz="0" w:space="0" w:color="auto"/>
                <w:bottom w:val="none" w:sz="0" w:space="0" w:color="auto"/>
                <w:right w:val="none" w:sz="0" w:space="0" w:color="auto"/>
              </w:divBdr>
            </w:div>
            <w:div w:id="1260748653">
              <w:marLeft w:val="0"/>
              <w:marRight w:val="0"/>
              <w:marTop w:val="0"/>
              <w:marBottom w:val="0"/>
              <w:divBdr>
                <w:top w:val="none" w:sz="0" w:space="0" w:color="auto"/>
                <w:left w:val="none" w:sz="0" w:space="0" w:color="auto"/>
                <w:bottom w:val="none" w:sz="0" w:space="0" w:color="auto"/>
                <w:right w:val="none" w:sz="0" w:space="0" w:color="auto"/>
              </w:divBdr>
            </w:div>
            <w:div w:id="1275668699">
              <w:marLeft w:val="0"/>
              <w:marRight w:val="0"/>
              <w:marTop w:val="0"/>
              <w:marBottom w:val="0"/>
              <w:divBdr>
                <w:top w:val="none" w:sz="0" w:space="0" w:color="auto"/>
                <w:left w:val="none" w:sz="0" w:space="0" w:color="auto"/>
                <w:bottom w:val="none" w:sz="0" w:space="0" w:color="auto"/>
                <w:right w:val="none" w:sz="0" w:space="0" w:color="auto"/>
              </w:divBdr>
            </w:div>
            <w:div w:id="1341270899">
              <w:marLeft w:val="0"/>
              <w:marRight w:val="0"/>
              <w:marTop w:val="0"/>
              <w:marBottom w:val="0"/>
              <w:divBdr>
                <w:top w:val="none" w:sz="0" w:space="0" w:color="auto"/>
                <w:left w:val="none" w:sz="0" w:space="0" w:color="auto"/>
                <w:bottom w:val="none" w:sz="0" w:space="0" w:color="auto"/>
                <w:right w:val="none" w:sz="0" w:space="0" w:color="auto"/>
              </w:divBdr>
            </w:div>
            <w:div w:id="1356423562">
              <w:marLeft w:val="0"/>
              <w:marRight w:val="0"/>
              <w:marTop w:val="0"/>
              <w:marBottom w:val="0"/>
              <w:divBdr>
                <w:top w:val="none" w:sz="0" w:space="0" w:color="auto"/>
                <w:left w:val="none" w:sz="0" w:space="0" w:color="auto"/>
                <w:bottom w:val="none" w:sz="0" w:space="0" w:color="auto"/>
                <w:right w:val="none" w:sz="0" w:space="0" w:color="auto"/>
              </w:divBdr>
            </w:div>
            <w:div w:id="1398089104">
              <w:marLeft w:val="0"/>
              <w:marRight w:val="0"/>
              <w:marTop w:val="0"/>
              <w:marBottom w:val="0"/>
              <w:divBdr>
                <w:top w:val="none" w:sz="0" w:space="0" w:color="auto"/>
                <w:left w:val="none" w:sz="0" w:space="0" w:color="auto"/>
                <w:bottom w:val="none" w:sz="0" w:space="0" w:color="auto"/>
                <w:right w:val="none" w:sz="0" w:space="0" w:color="auto"/>
              </w:divBdr>
            </w:div>
            <w:div w:id="1407608179">
              <w:marLeft w:val="0"/>
              <w:marRight w:val="0"/>
              <w:marTop w:val="0"/>
              <w:marBottom w:val="0"/>
              <w:divBdr>
                <w:top w:val="none" w:sz="0" w:space="0" w:color="auto"/>
                <w:left w:val="none" w:sz="0" w:space="0" w:color="auto"/>
                <w:bottom w:val="none" w:sz="0" w:space="0" w:color="auto"/>
                <w:right w:val="none" w:sz="0" w:space="0" w:color="auto"/>
              </w:divBdr>
            </w:div>
            <w:div w:id="1433234299">
              <w:marLeft w:val="0"/>
              <w:marRight w:val="0"/>
              <w:marTop w:val="0"/>
              <w:marBottom w:val="0"/>
              <w:divBdr>
                <w:top w:val="none" w:sz="0" w:space="0" w:color="auto"/>
                <w:left w:val="none" w:sz="0" w:space="0" w:color="auto"/>
                <w:bottom w:val="none" w:sz="0" w:space="0" w:color="auto"/>
                <w:right w:val="none" w:sz="0" w:space="0" w:color="auto"/>
              </w:divBdr>
            </w:div>
            <w:div w:id="1448619505">
              <w:marLeft w:val="0"/>
              <w:marRight w:val="0"/>
              <w:marTop w:val="0"/>
              <w:marBottom w:val="0"/>
              <w:divBdr>
                <w:top w:val="none" w:sz="0" w:space="0" w:color="auto"/>
                <w:left w:val="none" w:sz="0" w:space="0" w:color="auto"/>
                <w:bottom w:val="none" w:sz="0" w:space="0" w:color="auto"/>
                <w:right w:val="none" w:sz="0" w:space="0" w:color="auto"/>
              </w:divBdr>
            </w:div>
            <w:div w:id="1463840762">
              <w:marLeft w:val="0"/>
              <w:marRight w:val="0"/>
              <w:marTop w:val="0"/>
              <w:marBottom w:val="0"/>
              <w:divBdr>
                <w:top w:val="none" w:sz="0" w:space="0" w:color="auto"/>
                <w:left w:val="none" w:sz="0" w:space="0" w:color="auto"/>
                <w:bottom w:val="none" w:sz="0" w:space="0" w:color="auto"/>
                <w:right w:val="none" w:sz="0" w:space="0" w:color="auto"/>
              </w:divBdr>
            </w:div>
            <w:div w:id="1515418193">
              <w:marLeft w:val="0"/>
              <w:marRight w:val="0"/>
              <w:marTop w:val="0"/>
              <w:marBottom w:val="0"/>
              <w:divBdr>
                <w:top w:val="none" w:sz="0" w:space="0" w:color="auto"/>
                <w:left w:val="none" w:sz="0" w:space="0" w:color="auto"/>
                <w:bottom w:val="none" w:sz="0" w:space="0" w:color="auto"/>
                <w:right w:val="none" w:sz="0" w:space="0" w:color="auto"/>
              </w:divBdr>
            </w:div>
            <w:div w:id="1537506388">
              <w:marLeft w:val="0"/>
              <w:marRight w:val="0"/>
              <w:marTop w:val="0"/>
              <w:marBottom w:val="0"/>
              <w:divBdr>
                <w:top w:val="none" w:sz="0" w:space="0" w:color="auto"/>
                <w:left w:val="none" w:sz="0" w:space="0" w:color="auto"/>
                <w:bottom w:val="none" w:sz="0" w:space="0" w:color="auto"/>
                <w:right w:val="none" w:sz="0" w:space="0" w:color="auto"/>
              </w:divBdr>
            </w:div>
            <w:div w:id="1551186590">
              <w:marLeft w:val="0"/>
              <w:marRight w:val="0"/>
              <w:marTop w:val="0"/>
              <w:marBottom w:val="0"/>
              <w:divBdr>
                <w:top w:val="none" w:sz="0" w:space="0" w:color="auto"/>
                <w:left w:val="none" w:sz="0" w:space="0" w:color="auto"/>
                <w:bottom w:val="none" w:sz="0" w:space="0" w:color="auto"/>
                <w:right w:val="none" w:sz="0" w:space="0" w:color="auto"/>
              </w:divBdr>
            </w:div>
            <w:div w:id="1556313362">
              <w:marLeft w:val="0"/>
              <w:marRight w:val="0"/>
              <w:marTop w:val="0"/>
              <w:marBottom w:val="0"/>
              <w:divBdr>
                <w:top w:val="none" w:sz="0" w:space="0" w:color="auto"/>
                <w:left w:val="none" w:sz="0" w:space="0" w:color="auto"/>
                <w:bottom w:val="none" w:sz="0" w:space="0" w:color="auto"/>
                <w:right w:val="none" w:sz="0" w:space="0" w:color="auto"/>
              </w:divBdr>
            </w:div>
            <w:div w:id="1627079877">
              <w:marLeft w:val="0"/>
              <w:marRight w:val="0"/>
              <w:marTop w:val="0"/>
              <w:marBottom w:val="0"/>
              <w:divBdr>
                <w:top w:val="none" w:sz="0" w:space="0" w:color="auto"/>
                <w:left w:val="none" w:sz="0" w:space="0" w:color="auto"/>
                <w:bottom w:val="none" w:sz="0" w:space="0" w:color="auto"/>
                <w:right w:val="none" w:sz="0" w:space="0" w:color="auto"/>
              </w:divBdr>
            </w:div>
            <w:div w:id="1694259061">
              <w:marLeft w:val="0"/>
              <w:marRight w:val="0"/>
              <w:marTop w:val="0"/>
              <w:marBottom w:val="0"/>
              <w:divBdr>
                <w:top w:val="none" w:sz="0" w:space="0" w:color="auto"/>
                <w:left w:val="none" w:sz="0" w:space="0" w:color="auto"/>
                <w:bottom w:val="none" w:sz="0" w:space="0" w:color="auto"/>
                <w:right w:val="none" w:sz="0" w:space="0" w:color="auto"/>
              </w:divBdr>
            </w:div>
            <w:div w:id="1734814088">
              <w:marLeft w:val="0"/>
              <w:marRight w:val="0"/>
              <w:marTop w:val="0"/>
              <w:marBottom w:val="0"/>
              <w:divBdr>
                <w:top w:val="none" w:sz="0" w:space="0" w:color="auto"/>
                <w:left w:val="none" w:sz="0" w:space="0" w:color="auto"/>
                <w:bottom w:val="none" w:sz="0" w:space="0" w:color="auto"/>
                <w:right w:val="none" w:sz="0" w:space="0" w:color="auto"/>
              </w:divBdr>
            </w:div>
            <w:div w:id="1829663508">
              <w:marLeft w:val="0"/>
              <w:marRight w:val="0"/>
              <w:marTop w:val="0"/>
              <w:marBottom w:val="0"/>
              <w:divBdr>
                <w:top w:val="none" w:sz="0" w:space="0" w:color="auto"/>
                <w:left w:val="none" w:sz="0" w:space="0" w:color="auto"/>
                <w:bottom w:val="none" w:sz="0" w:space="0" w:color="auto"/>
                <w:right w:val="none" w:sz="0" w:space="0" w:color="auto"/>
              </w:divBdr>
            </w:div>
            <w:div w:id="1888640078">
              <w:marLeft w:val="0"/>
              <w:marRight w:val="0"/>
              <w:marTop w:val="0"/>
              <w:marBottom w:val="0"/>
              <w:divBdr>
                <w:top w:val="none" w:sz="0" w:space="0" w:color="auto"/>
                <w:left w:val="none" w:sz="0" w:space="0" w:color="auto"/>
                <w:bottom w:val="none" w:sz="0" w:space="0" w:color="auto"/>
                <w:right w:val="none" w:sz="0" w:space="0" w:color="auto"/>
              </w:divBdr>
            </w:div>
            <w:div w:id="1892307116">
              <w:marLeft w:val="0"/>
              <w:marRight w:val="0"/>
              <w:marTop w:val="0"/>
              <w:marBottom w:val="0"/>
              <w:divBdr>
                <w:top w:val="none" w:sz="0" w:space="0" w:color="auto"/>
                <w:left w:val="none" w:sz="0" w:space="0" w:color="auto"/>
                <w:bottom w:val="none" w:sz="0" w:space="0" w:color="auto"/>
                <w:right w:val="none" w:sz="0" w:space="0" w:color="auto"/>
              </w:divBdr>
            </w:div>
            <w:div w:id="1930112244">
              <w:marLeft w:val="0"/>
              <w:marRight w:val="0"/>
              <w:marTop w:val="0"/>
              <w:marBottom w:val="0"/>
              <w:divBdr>
                <w:top w:val="none" w:sz="0" w:space="0" w:color="auto"/>
                <w:left w:val="none" w:sz="0" w:space="0" w:color="auto"/>
                <w:bottom w:val="none" w:sz="0" w:space="0" w:color="auto"/>
                <w:right w:val="none" w:sz="0" w:space="0" w:color="auto"/>
              </w:divBdr>
            </w:div>
            <w:div w:id="1963417905">
              <w:marLeft w:val="0"/>
              <w:marRight w:val="0"/>
              <w:marTop w:val="0"/>
              <w:marBottom w:val="0"/>
              <w:divBdr>
                <w:top w:val="none" w:sz="0" w:space="0" w:color="auto"/>
                <w:left w:val="none" w:sz="0" w:space="0" w:color="auto"/>
                <w:bottom w:val="none" w:sz="0" w:space="0" w:color="auto"/>
                <w:right w:val="none" w:sz="0" w:space="0" w:color="auto"/>
              </w:divBdr>
            </w:div>
            <w:div w:id="1993173233">
              <w:marLeft w:val="0"/>
              <w:marRight w:val="0"/>
              <w:marTop w:val="0"/>
              <w:marBottom w:val="0"/>
              <w:divBdr>
                <w:top w:val="none" w:sz="0" w:space="0" w:color="auto"/>
                <w:left w:val="none" w:sz="0" w:space="0" w:color="auto"/>
                <w:bottom w:val="none" w:sz="0" w:space="0" w:color="auto"/>
                <w:right w:val="none" w:sz="0" w:space="0" w:color="auto"/>
              </w:divBdr>
            </w:div>
            <w:div w:id="20887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25836">
      <w:bodyDiv w:val="1"/>
      <w:marLeft w:val="0"/>
      <w:marRight w:val="0"/>
      <w:marTop w:val="0"/>
      <w:marBottom w:val="0"/>
      <w:divBdr>
        <w:top w:val="none" w:sz="0" w:space="0" w:color="auto"/>
        <w:left w:val="none" w:sz="0" w:space="0" w:color="auto"/>
        <w:bottom w:val="none" w:sz="0" w:space="0" w:color="auto"/>
        <w:right w:val="none" w:sz="0" w:space="0" w:color="auto"/>
      </w:divBdr>
    </w:div>
    <w:div w:id="1799646244">
      <w:bodyDiv w:val="1"/>
      <w:marLeft w:val="0"/>
      <w:marRight w:val="0"/>
      <w:marTop w:val="0"/>
      <w:marBottom w:val="0"/>
      <w:divBdr>
        <w:top w:val="none" w:sz="0" w:space="0" w:color="auto"/>
        <w:left w:val="none" w:sz="0" w:space="0" w:color="auto"/>
        <w:bottom w:val="none" w:sz="0" w:space="0" w:color="auto"/>
        <w:right w:val="none" w:sz="0" w:space="0" w:color="auto"/>
      </w:divBdr>
    </w:div>
    <w:div w:id="1801414827">
      <w:bodyDiv w:val="1"/>
      <w:marLeft w:val="0"/>
      <w:marRight w:val="0"/>
      <w:marTop w:val="0"/>
      <w:marBottom w:val="0"/>
      <w:divBdr>
        <w:top w:val="none" w:sz="0" w:space="0" w:color="auto"/>
        <w:left w:val="none" w:sz="0" w:space="0" w:color="auto"/>
        <w:bottom w:val="none" w:sz="0" w:space="0" w:color="auto"/>
        <w:right w:val="none" w:sz="0" w:space="0" w:color="auto"/>
      </w:divBdr>
    </w:div>
    <w:div w:id="1911230175">
      <w:bodyDiv w:val="1"/>
      <w:marLeft w:val="0"/>
      <w:marRight w:val="0"/>
      <w:marTop w:val="0"/>
      <w:marBottom w:val="0"/>
      <w:divBdr>
        <w:top w:val="none" w:sz="0" w:space="0" w:color="auto"/>
        <w:left w:val="none" w:sz="0" w:space="0" w:color="auto"/>
        <w:bottom w:val="none" w:sz="0" w:space="0" w:color="auto"/>
        <w:right w:val="none" w:sz="0" w:space="0" w:color="auto"/>
      </w:divBdr>
    </w:div>
    <w:div w:id="1940260239">
      <w:bodyDiv w:val="1"/>
      <w:marLeft w:val="0"/>
      <w:marRight w:val="0"/>
      <w:marTop w:val="0"/>
      <w:marBottom w:val="0"/>
      <w:divBdr>
        <w:top w:val="none" w:sz="0" w:space="0" w:color="auto"/>
        <w:left w:val="none" w:sz="0" w:space="0" w:color="auto"/>
        <w:bottom w:val="none" w:sz="0" w:space="0" w:color="auto"/>
        <w:right w:val="none" w:sz="0" w:space="0" w:color="auto"/>
      </w:divBdr>
    </w:div>
    <w:div w:id="2004509155">
      <w:bodyDiv w:val="1"/>
      <w:marLeft w:val="0"/>
      <w:marRight w:val="0"/>
      <w:marTop w:val="0"/>
      <w:marBottom w:val="0"/>
      <w:divBdr>
        <w:top w:val="none" w:sz="0" w:space="0" w:color="auto"/>
        <w:left w:val="none" w:sz="0" w:space="0" w:color="auto"/>
        <w:bottom w:val="none" w:sz="0" w:space="0" w:color="auto"/>
        <w:right w:val="none" w:sz="0" w:space="0" w:color="auto"/>
      </w:divBdr>
      <w:divsChild>
        <w:div w:id="34239025">
          <w:marLeft w:val="0"/>
          <w:marRight w:val="0"/>
          <w:marTop w:val="0"/>
          <w:marBottom w:val="0"/>
          <w:divBdr>
            <w:top w:val="none" w:sz="0" w:space="0" w:color="auto"/>
            <w:left w:val="none" w:sz="0" w:space="0" w:color="auto"/>
            <w:bottom w:val="none" w:sz="0" w:space="0" w:color="auto"/>
            <w:right w:val="none" w:sz="0" w:space="0" w:color="auto"/>
          </w:divBdr>
        </w:div>
        <w:div w:id="435638365">
          <w:marLeft w:val="0"/>
          <w:marRight w:val="0"/>
          <w:marTop w:val="0"/>
          <w:marBottom w:val="0"/>
          <w:divBdr>
            <w:top w:val="none" w:sz="0" w:space="0" w:color="auto"/>
            <w:left w:val="none" w:sz="0" w:space="0" w:color="auto"/>
            <w:bottom w:val="none" w:sz="0" w:space="0" w:color="auto"/>
            <w:right w:val="none" w:sz="0" w:space="0" w:color="auto"/>
          </w:divBdr>
        </w:div>
        <w:div w:id="818109589">
          <w:marLeft w:val="0"/>
          <w:marRight w:val="0"/>
          <w:marTop w:val="0"/>
          <w:marBottom w:val="0"/>
          <w:divBdr>
            <w:top w:val="none" w:sz="0" w:space="0" w:color="auto"/>
            <w:left w:val="none" w:sz="0" w:space="0" w:color="auto"/>
            <w:bottom w:val="none" w:sz="0" w:space="0" w:color="auto"/>
            <w:right w:val="none" w:sz="0" w:space="0" w:color="auto"/>
          </w:divBdr>
        </w:div>
        <w:div w:id="1050765089">
          <w:marLeft w:val="0"/>
          <w:marRight w:val="0"/>
          <w:marTop w:val="0"/>
          <w:marBottom w:val="0"/>
          <w:divBdr>
            <w:top w:val="none" w:sz="0" w:space="0" w:color="auto"/>
            <w:left w:val="none" w:sz="0" w:space="0" w:color="auto"/>
            <w:bottom w:val="none" w:sz="0" w:space="0" w:color="auto"/>
            <w:right w:val="none" w:sz="0" w:space="0" w:color="auto"/>
          </w:divBdr>
        </w:div>
        <w:div w:id="1362585936">
          <w:marLeft w:val="0"/>
          <w:marRight w:val="0"/>
          <w:marTop w:val="0"/>
          <w:marBottom w:val="0"/>
          <w:divBdr>
            <w:top w:val="none" w:sz="0" w:space="0" w:color="auto"/>
            <w:left w:val="none" w:sz="0" w:space="0" w:color="auto"/>
            <w:bottom w:val="none" w:sz="0" w:space="0" w:color="auto"/>
            <w:right w:val="none" w:sz="0" w:space="0" w:color="auto"/>
          </w:divBdr>
        </w:div>
        <w:div w:id="2089231860">
          <w:marLeft w:val="0"/>
          <w:marRight w:val="0"/>
          <w:marTop w:val="0"/>
          <w:marBottom w:val="0"/>
          <w:divBdr>
            <w:top w:val="none" w:sz="0" w:space="0" w:color="auto"/>
            <w:left w:val="none" w:sz="0" w:space="0" w:color="auto"/>
            <w:bottom w:val="none" w:sz="0" w:space="0" w:color="auto"/>
            <w:right w:val="none" w:sz="0" w:space="0" w:color="auto"/>
          </w:divBdr>
        </w:div>
      </w:divsChild>
    </w:div>
    <w:div w:id="20176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734AD-F06F-40FC-A641-88AC9DE72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15D3FB-3666-4618-B008-2367B67ACE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CC5215-88B6-4BE7-AA56-20E345A0FF97}">
  <ds:schemaRefs>
    <ds:schemaRef ds:uri="http://schemas.microsoft.com/sharepoint/v3/contenttype/forms"/>
  </ds:schemaRefs>
</ds:datastoreItem>
</file>

<file path=customXml/itemProps4.xml><?xml version="1.0" encoding="utf-8"?>
<ds:datastoreItem xmlns:ds="http://schemas.openxmlformats.org/officeDocument/2006/customXml" ds:itemID="{D5508ED0-3884-4859-B15C-747EA19C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30423</Words>
  <Characters>173415</Characters>
  <Application>Microsoft Office Word</Application>
  <DocSecurity>0</DocSecurity>
  <Lines>1445</Lines>
  <Paragraphs>406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Banka Slovenije</Company>
  <LinksUpToDate>false</LinksUpToDate>
  <CharactersWithSpaces>203432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Rotovnik</dc:creator>
  <cp:lastModifiedBy>Šupek Jure</cp:lastModifiedBy>
  <cp:revision>1</cp:revision>
  <cp:lastPrinted>2016-02-17T09:06:00Z</cp:lastPrinted>
  <dcterms:created xsi:type="dcterms:W3CDTF">2018-01-15T20:47:00Z</dcterms:created>
  <dcterms:modified xsi:type="dcterms:W3CDTF">2018-01-15T20:47:00Z</dcterms:modified>
</cp:coreProperties>
</file>